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rPr>
          <w:rFonts w:ascii="仿宋_GB2312" w:hAnsi="仿宋_GB2312" w:eastAsia="仿宋_GB2312" w:cs="仿宋_GB2312"/>
          <w:b/>
          <w:color w:val="auto"/>
          <w:sz w:val="44"/>
          <w:szCs w:val="44"/>
        </w:rPr>
      </w:pPr>
      <w:bookmarkStart w:id="0" w:name="_Toc114028927"/>
      <w:bookmarkStart w:id="1" w:name="_Toc131133981"/>
      <w:bookmarkStart w:id="2" w:name="_Toc131134226"/>
      <w:bookmarkStart w:id="3" w:name="_Toc183578143"/>
      <w:bookmarkStart w:id="4" w:name="_Toc131134327"/>
      <w:bookmarkStart w:id="5" w:name="_Toc131168595"/>
      <w:r>
        <w:rPr>
          <w:rFonts w:hint="eastAsia" w:ascii="黑体" w:hAnsi="黑体" w:eastAsia="黑体"/>
          <w:b/>
          <w:bCs/>
          <w:color w:val="auto"/>
          <w:sz w:val="44"/>
          <w:szCs w:val="44"/>
          <w:u w:val="single"/>
        </w:rPr>
        <w:t>数字电网科技公司2024年</w:t>
      </w:r>
      <w:r>
        <w:rPr>
          <w:rFonts w:hint="eastAsia" w:ascii="黑体" w:hAnsi="黑体" w:eastAsia="黑体"/>
          <w:b/>
          <w:bCs/>
          <w:color w:val="auto"/>
          <w:sz w:val="44"/>
          <w:szCs w:val="44"/>
          <w:u w:val="single"/>
          <w:lang w:val="en-US" w:eastAsia="zh-CN"/>
        </w:rPr>
        <w:t>智能配用电台区终端双4G通讯模组样机</w:t>
      </w:r>
      <w:r>
        <w:rPr>
          <w:rFonts w:hint="eastAsia" w:ascii="黑体" w:hAnsi="黑体" w:eastAsia="黑体"/>
          <w:b/>
          <w:bCs/>
          <w:color w:val="auto"/>
          <w:sz w:val="44"/>
          <w:szCs w:val="44"/>
          <w:u w:val="single"/>
        </w:rPr>
        <w:t>零星采购项目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  <w:t xml:space="preserve"> </w:t>
      </w: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color w:val="auto"/>
          <w:sz w:val="48"/>
          <w:szCs w:val="21"/>
        </w:rPr>
      </w:pPr>
      <w:bookmarkStart w:id="6" w:name="_Toc2621"/>
      <w:bookmarkStart w:id="7" w:name="_Toc28031"/>
      <w:bookmarkStart w:id="8" w:name="_Toc124496990"/>
      <w:bookmarkStart w:id="9" w:name="_Toc124534206"/>
      <w:bookmarkStart w:id="10" w:name="_Toc12389"/>
      <w:bookmarkStart w:id="11" w:name="_Toc1546"/>
      <w:bookmarkStart w:id="12" w:name="_Toc26117"/>
      <w:bookmarkStart w:id="13" w:name="_Toc127289271"/>
      <w:bookmarkStart w:id="14" w:name="_Toc21562"/>
      <w:bookmarkStart w:id="15" w:name="_Toc122702569"/>
      <w:bookmarkStart w:id="16" w:name="_Toc21712"/>
      <w:bookmarkStart w:id="17" w:name="_Toc6124"/>
      <w:r>
        <w:rPr>
          <w:rFonts w:hint="eastAsia" w:ascii="仿宋_GB2312" w:hAnsi="仿宋_GB2312" w:eastAsia="仿宋_GB2312" w:cs="仿宋_GB2312"/>
          <w:b/>
          <w:color w:val="auto"/>
          <w:sz w:val="48"/>
          <w:szCs w:val="21"/>
        </w:rPr>
        <w:t>技术规范书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pStyle w:val="9"/>
        <w:ind w:firstLine="480"/>
        <w:outlineLvl w:val="9"/>
        <w:rPr>
          <w:color w:val="auto"/>
        </w:rPr>
      </w:pPr>
    </w:p>
    <w:p>
      <w:pPr>
        <w:pStyle w:val="17"/>
        <w:outlineLvl w:val="9"/>
        <w:rPr>
          <w:color w:val="auto"/>
        </w:rPr>
      </w:pPr>
    </w:p>
    <w:p>
      <w:pPr>
        <w:outlineLvl w:val="9"/>
        <w:rPr>
          <w:color w:val="auto"/>
        </w:rPr>
      </w:pPr>
    </w:p>
    <w:p>
      <w:pPr>
        <w:pStyle w:val="9"/>
        <w:outlineLvl w:val="9"/>
        <w:rPr>
          <w:color w:val="auto"/>
        </w:rPr>
      </w:pPr>
    </w:p>
    <w:p>
      <w:pPr>
        <w:pStyle w:val="17"/>
        <w:outlineLvl w:val="9"/>
        <w:rPr>
          <w:color w:val="auto"/>
        </w:rPr>
      </w:pPr>
    </w:p>
    <w:p>
      <w:pPr>
        <w:rPr>
          <w:color w:val="auto"/>
        </w:rPr>
      </w:pPr>
    </w:p>
    <w:p>
      <w:pPr>
        <w:pStyle w:val="9"/>
        <w:rPr>
          <w:color w:val="auto"/>
        </w:rPr>
      </w:pPr>
    </w:p>
    <w:p>
      <w:pPr>
        <w:pStyle w:val="17"/>
        <w:rPr>
          <w:color w:val="auto"/>
        </w:rPr>
      </w:pPr>
    </w:p>
    <w:p>
      <w:pPr>
        <w:rPr>
          <w:color w:val="auto"/>
        </w:rPr>
      </w:pPr>
    </w:p>
    <w:p>
      <w:pPr>
        <w:pStyle w:val="9"/>
        <w:rPr>
          <w:rFonts w:hint="eastAsia" w:eastAsia="宋体"/>
          <w:color w:val="auto"/>
          <w:lang w:val="en-US" w:eastAsia="zh-CN"/>
        </w:rPr>
      </w:pPr>
    </w:p>
    <w:p>
      <w:pPr>
        <w:outlineLvl w:val="9"/>
        <w:rPr>
          <w:color w:val="auto"/>
        </w:rPr>
      </w:pPr>
    </w:p>
    <w:p>
      <w:pPr>
        <w:pStyle w:val="9"/>
        <w:outlineLvl w:val="9"/>
        <w:rPr>
          <w:color w:val="auto"/>
        </w:rPr>
      </w:pPr>
    </w:p>
    <w:p>
      <w:pPr>
        <w:pStyle w:val="17"/>
        <w:outlineLvl w:val="9"/>
        <w:rPr>
          <w:color w:val="auto"/>
        </w:rPr>
      </w:pPr>
    </w:p>
    <w:p>
      <w:pPr>
        <w:pStyle w:val="9"/>
        <w:ind w:left="0" w:leftChars="0" w:firstLine="0" w:firstLineChars="0"/>
        <w:jc w:val="both"/>
        <w:outlineLvl w:val="9"/>
        <w:rPr>
          <w:color w:val="auto"/>
        </w:rPr>
      </w:pP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color w:val="auto"/>
          <w:sz w:val="36"/>
        </w:rPr>
      </w:pPr>
      <w:bookmarkStart w:id="18" w:name="_Toc17545"/>
      <w:bookmarkStart w:id="19" w:name="_Toc620"/>
      <w:bookmarkStart w:id="20" w:name="_Toc6890"/>
      <w:bookmarkStart w:id="21" w:name="_Toc20233"/>
      <w:r>
        <w:rPr>
          <w:rFonts w:hint="eastAsia" w:ascii="仿宋_GB2312" w:hAnsi="仿宋_GB2312" w:eastAsia="仿宋_GB2312" w:cs="仿宋_GB2312"/>
          <w:b/>
          <w:color w:val="auto"/>
          <w:sz w:val="36"/>
        </w:rPr>
        <w:t>南方电网数字电网科技（广东）有限公司</w:t>
      </w:r>
      <w:r>
        <w:rPr>
          <w:rFonts w:ascii="宋体" w:hAnsi="宋体" w:cs="宋体"/>
          <w:color w:val="auto"/>
          <w:sz w:val="24"/>
        </w:rPr>
        <w:t> </w:t>
      </w:r>
      <w:bookmarkEnd w:id="18"/>
      <w:bookmarkEnd w:id="19"/>
      <w:bookmarkEnd w:id="20"/>
      <w:bookmarkEnd w:id="21"/>
    </w:p>
    <w:p>
      <w:pPr>
        <w:spacing w:line="360" w:lineRule="auto"/>
        <w:jc w:val="center"/>
        <w:rPr>
          <w:rFonts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6"/>
        </w:rPr>
        <w:t>202</w:t>
      </w:r>
      <w:r>
        <w:rPr>
          <w:rFonts w:hint="eastAsia" w:ascii="仿宋_GB2312" w:hAnsi="仿宋_GB2312" w:eastAsia="仿宋_GB2312" w:cs="仿宋_GB2312"/>
          <w:b/>
          <w:color w:val="auto"/>
          <w:sz w:val="36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color w:val="auto"/>
          <w:sz w:val="36"/>
        </w:rPr>
        <w:t>年0</w:t>
      </w:r>
      <w:r>
        <w:rPr>
          <w:rFonts w:hint="eastAsia" w:ascii="仿宋_GB2312" w:hAnsi="仿宋_GB2312" w:eastAsia="仿宋_GB2312" w:cs="仿宋_GB2312"/>
          <w:b/>
          <w:color w:val="auto"/>
          <w:sz w:val="36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/>
          <w:color w:val="auto"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  <w:r>
        <w:rPr>
          <w:rFonts w:hint="eastAsia" w:ascii="仿宋_GB2312" w:hAnsi="仿宋_GB2312" w:eastAsia="仿宋_GB2312" w:cs="仿宋_GB2312"/>
          <w:b/>
          <w:color w:val="auto"/>
          <w:sz w:val="36"/>
        </w:rPr>
        <w:br w:type="page"/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目 录</w:t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aps/>
          <w:color w:val="auto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b/>
          <w:bCs/>
          <w:caps/>
          <w:color w:val="auto"/>
          <w:sz w:val="28"/>
          <w:szCs w:val="28"/>
        </w:rPr>
        <w:instrText xml:space="preserve">TOC \o "1-2" \h \u </w:instrText>
      </w:r>
      <w:r>
        <w:rPr>
          <w:rFonts w:hint="eastAsia" w:ascii="仿宋" w:hAnsi="仿宋" w:eastAsia="仿宋" w:cs="仿宋"/>
          <w:b/>
          <w:bCs/>
          <w:caps/>
          <w:color w:val="auto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bCs/>
          <w:caps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/>
          <w:caps/>
          <w:szCs w:val="28"/>
        </w:rPr>
        <w:instrText xml:space="preserve"> HYPERLINK \l _Toc21681 </w:instrText>
      </w:r>
      <w:r>
        <w:rPr>
          <w:rFonts w:hint="eastAsia" w:ascii="仿宋" w:hAnsi="仿宋" w:eastAsia="仿宋" w:cs="仿宋"/>
          <w:bCs/>
          <w:caps/>
          <w:szCs w:val="28"/>
        </w:rPr>
        <w:fldChar w:fldCharType="separate"/>
      </w:r>
      <w:r>
        <w:rPr>
          <w:rFonts w:hint="eastAsia" w:ascii="仿宋" w:hAnsi="仿宋" w:eastAsia="仿宋" w:cs="仿宋"/>
        </w:rPr>
        <w:t>1. 总则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_Toc21681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/>
          <w:caps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_Toc32616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1.1. 概述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_Toc32616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_Toc12799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1.2. </w:t>
      </w:r>
      <w:r>
        <w:rPr>
          <w:rFonts w:hint="eastAsia" w:ascii="仿宋" w:hAnsi="仿宋" w:eastAsia="仿宋" w:cs="仿宋"/>
          <w:lang w:val="en-US" w:eastAsia="zh-CN"/>
        </w:rPr>
        <w:t>采购</w:t>
      </w:r>
      <w:r>
        <w:rPr>
          <w:rFonts w:hint="eastAsia" w:ascii="仿宋" w:hAnsi="仿宋" w:eastAsia="仿宋" w:cs="仿宋"/>
        </w:rPr>
        <w:t>范围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_Toc12799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_Toc17842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1.3. </w:t>
      </w:r>
      <w:r>
        <w:rPr>
          <w:rFonts w:hint="eastAsia" w:ascii="仿宋" w:hAnsi="仿宋" w:eastAsia="仿宋" w:cs="仿宋"/>
          <w:lang w:val="en-US" w:eastAsia="zh-CN"/>
        </w:rPr>
        <w:t>项目</w:t>
      </w:r>
      <w:r>
        <w:rPr>
          <w:rFonts w:hint="eastAsia" w:ascii="仿宋" w:hAnsi="仿宋" w:eastAsia="仿宋" w:cs="仿宋"/>
        </w:rPr>
        <w:t>保证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_Toc17842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2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_Toc32032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1.4. 依据标准及规范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_Toc32032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3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_Toc24691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2. 项目内容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_Toc24691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4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_Toc13844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2.1. 项目背景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_Toc13844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4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_Toc8465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2.2. </w:t>
      </w:r>
      <w:r>
        <w:rPr>
          <w:rFonts w:hint="eastAsia" w:ascii="仿宋" w:hAnsi="仿宋" w:eastAsia="仿宋" w:cs="仿宋"/>
          <w:lang w:val="en-US" w:eastAsia="zh-CN"/>
        </w:rPr>
        <w:t>技术要求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_Toc8465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4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_Toc7275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 质量及服务方式要求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_Toc7275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17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_Toc13719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3.1. 质量保证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_Toc13719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17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_Toc18393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3.2. 售后服务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_Toc18393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17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_Toc14708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4. 安全保密要求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_Toc14708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18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pStyle w:val="30"/>
        <w:tabs>
          <w:tab w:val="left" w:pos="420"/>
          <w:tab w:val="right" w:leader="dot" w:pos="8302"/>
        </w:tabs>
        <w:spacing w:line="360" w:lineRule="auto"/>
        <w:rPr>
          <w:rFonts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Cs w:val="0"/>
          <w:caps w:val="0"/>
          <w:color w:val="auto"/>
          <w:szCs w:val="28"/>
        </w:rPr>
        <w:fldChar w:fldCharType="end"/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24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lowerRoman" w:start="1"/>
          <w:cols w:space="720" w:num="1"/>
          <w:docGrid w:type="lines" w:linePitch="312" w:charSpace="0"/>
        </w:sectPr>
      </w:pPr>
    </w:p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eastAsia="仿宋_GB2312" w:cs="仿宋_GB2312"/>
          <w:color w:val="auto"/>
        </w:rPr>
      </w:pPr>
      <w:bookmarkStart w:id="22" w:name="_Toc192340308"/>
      <w:bookmarkEnd w:id="22"/>
      <w:bookmarkStart w:id="23" w:name="_Toc192340307"/>
      <w:bookmarkEnd w:id="23"/>
      <w:bookmarkStart w:id="24" w:name="_Toc10542"/>
      <w:bookmarkStart w:id="25" w:name="_Toc2861"/>
      <w:bookmarkStart w:id="26" w:name="_Toc17766"/>
      <w:bookmarkStart w:id="27" w:name="_Toc3246"/>
      <w:bookmarkStart w:id="28" w:name="_Toc27137"/>
      <w:bookmarkStart w:id="29" w:name="_Toc198288426"/>
      <w:bookmarkStart w:id="30" w:name="_Toc21681"/>
      <w:bookmarkStart w:id="31" w:name="_Toc27374"/>
      <w:bookmarkStart w:id="32" w:name="_Toc4967"/>
      <w:bookmarkStart w:id="33" w:name="_Toc8192"/>
      <w:bookmarkStart w:id="34" w:name="_Toc147371417"/>
      <w:r>
        <w:rPr>
          <w:rFonts w:hint="eastAsia" w:eastAsia="仿宋_GB2312" w:cs="仿宋_GB2312"/>
          <w:color w:val="auto"/>
        </w:rPr>
        <w:t>总则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cs="仿宋_GB2312"/>
          <w:color w:val="auto"/>
        </w:rPr>
      </w:pPr>
      <w:bookmarkStart w:id="35" w:name="_Toc270544309"/>
      <w:bookmarkStart w:id="36" w:name="_Toc23290"/>
      <w:bookmarkStart w:id="37" w:name="_Toc24317"/>
      <w:bookmarkStart w:id="38" w:name="_Toc9898"/>
      <w:bookmarkStart w:id="39" w:name="_Toc28067"/>
      <w:bookmarkStart w:id="40" w:name="_Toc5598"/>
      <w:bookmarkStart w:id="41" w:name="_Toc18895"/>
      <w:bookmarkStart w:id="42" w:name="_Toc32616"/>
      <w:bookmarkStart w:id="43" w:name="_Toc31589"/>
      <w:bookmarkStart w:id="44" w:name="_Toc296516184"/>
      <w:bookmarkStart w:id="45" w:name="_Toc25167"/>
      <w:r>
        <w:rPr>
          <w:rFonts w:hint="eastAsia" w:cs="仿宋_GB2312"/>
          <w:color w:val="auto"/>
        </w:rPr>
        <w:t>概述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本文件适用于南方电网数字电网科技（广东）有限公司</w:t>
      </w:r>
      <w:r>
        <w:rPr>
          <w:rFonts w:ascii="宋体" w:hAnsi="宋体" w:cs="宋体"/>
          <w:color w:val="auto"/>
          <w:szCs w:val="24"/>
        </w:rPr>
        <w:t> 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（以下简称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采购方）数字电网科技公司2024年配智能配用电台区终端双4G通讯模组样机零星采购项目，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本文件的最终解释权归南方电网数字电网科技（广东）有限公司。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可以就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认为的遗漏项目提请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注意，并详细说明理由。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将就此进行澄清。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应保证所提供的所有资料真实、完整、准确无误，否则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将有权取消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资格，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由此产生的一切后果由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承担。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在任何时候保留和拥有对本技术规范书的解释权。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未经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同意，不得以任何形式向第三方公开本技术规范书。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本技术规范书解释权属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所有。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充分理解本项目的项目背景、项目目标等，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提供符合本技术规范书要求的模组材料，并完成出厂制造、装配、试验、运输、包装、保管。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46" w:name="_Toc12799"/>
      <w:bookmarkStart w:id="47" w:name="_Toc12937"/>
      <w:bookmarkStart w:id="48" w:name="_Toc288466921"/>
      <w:bookmarkStart w:id="49" w:name="_Toc285723380"/>
      <w:bookmarkStart w:id="50" w:name="_Toc17569"/>
      <w:bookmarkStart w:id="51" w:name="_Toc956"/>
      <w:bookmarkStart w:id="52" w:name="_Toc270544311"/>
      <w:bookmarkStart w:id="53" w:name="_Toc3933"/>
      <w:bookmarkStart w:id="54" w:name="_Toc105396785"/>
      <w:bookmarkStart w:id="55" w:name="_Toc286929894"/>
      <w:bookmarkStart w:id="56" w:name="_Toc31046"/>
      <w:bookmarkStart w:id="57" w:name="_Toc296516186"/>
      <w:bookmarkStart w:id="58" w:name="_Toc113682936"/>
      <w:bookmarkStart w:id="59" w:name="_Toc32685"/>
      <w:bookmarkStart w:id="60" w:name="_Toc10272"/>
      <w:bookmarkStart w:id="61" w:name="_Toc30309"/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</w:rPr>
        <w:t>范围</w:t>
      </w:r>
      <w:bookmarkEnd w:id="46"/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bookmarkStart w:id="62" w:name="TXT_964B32BB4C6549149317C7DF75C889F5_1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本规范规定了南方电网数字电网科技（广东）有限公司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模组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功能、安全等技术要求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为满足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项目基于计量自动化检定线的配电智能网关产品硬件研发的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需求，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一批竞品智能配用电台区终端双4G通讯模组样机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双4G通讯模组，用于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测试使用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同时响应方需要提供响应的材料的系统调试技术支持服务。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应按本规范书的要求提供全新的、合格的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模组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材料。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方所提供的组件或附件如需向第三方外购时，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方应对质量向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方负责，并提供相应出厂和验收证明。</w:t>
      </w:r>
    </w:p>
    <w:p>
      <w:pPr>
        <w:pStyle w:val="29"/>
        <w:ind w:firstLine="56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范围</w:t>
      </w:r>
      <w:bookmarkStart w:id="63" w:name="_Toc283142589"/>
      <w:bookmarkStart w:id="64" w:name="_Toc282433715"/>
      <w:bookmarkStart w:id="65" w:name="_Toc283011667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一览表</w:t>
      </w:r>
      <w:bookmarkEnd w:id="63"/>
      <w:bookmarkEnd w:id="64"/>
      <w:bookmarkEnd w:id="65"/>
    </w:p>
    <w:p>
      <w:pPr>
        <w:pStyle w:val="29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Hans"/>
        </w:rPr>
        <w:t>采购范围一览表</w:t>
      </w:r>
    </w:p>
    <w:tbl>
      <w:tblPr>
        <w:tblStyle w:val="20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4703"/>
        <w:gridCol w:w="1308"/>
        <w:gridCol w:w="1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5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材料名称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单位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75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双4G通讯模组（含配套壳体）</w:t>
            </w:r>
          </w:p>
        </w:tc>
        <w:tc>
          <w:tcPr>
            <w:tcW w:w="76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套</w:t>
            </w:r>
          </w:p>
        </w:tc>
        <w:tc>
          <w:tcPr>
            <w:tcW w:w="76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</w:tr>
      <w:bookmarkEnd w:id="62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同时包含系统调试的技术支持服务。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66" w:name="_Toc17842"/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</w:rPr>
        <w:t>保证</w:t>
      </w:r>
      <w:bookmarkEnd w:id="66"/>
      <w:r>
        <w:rPr>
          <w:rFonts w:hint="eastAsia" w:ascii="仿宋_GB2312" w:hAnsi="仿宋_GB2312" w:eastAsia="仿宋_GB2312" w:cs="仿宋_GB2312"/>
          <w:color w:val="auto"/>
        </w:rPr>
        <w:t xml:space="preserve"> </w:t>
      </w:r>
    </w:p>
    <w:p>
      <w:pPr>
        <w:pStyle w:val="29"/>
        <w:ind w:firstLine="562"/>
        <w:rPr>
          <w:rFonts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 xml:space="preserve">（1）组织保证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 xml:space="preserve">响应方必须向采购方保证项目实施人员组织的稳定性，在本项目结束前，参加本项目的商务、材料交付、技术支持人员变动必须取得采购方同意。采购方有权要求响应方更换项目组中工作能力不足的工程师。 </w:t>
      </w:r>
    </w:p>
    <w:p>
      <w:pPr>
        <w:pStyle w:val="29"/>
        <w:ind w:firstLine="562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（2）质量保证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 xml:space="preserve">响应方必须保证所交付模组材料质量合格，外观无明显缺陷，零部件无异常、连接可靠，所有接口、功能正常可用。 </w:t>
      </w:r>
    </w:p>
    <w:p>
      <w:pPr>
        <w:pStyle w:val="29"/>
        <w:ind w:firstLine="562"/>
        <w:rPr>
          <w:rFonts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 xml:space="preserve">（3）进度保证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 xml:space="preserve">本项目要求所采购材料最终交付日期不晚于9月30日。 </w:t>
      </w:r>
    </w:p>
    <w:bookmarkEnd w:id="34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67" w:name="_Toc32032"/>
      <w:r>
        <w:rPr>
          <w:rFonts w:hint="eastAsia" w:ascii="仿宋_GB2312" w:hAnsi="仿宋_GB2312" w:eastAsia="仿宋_GB2312" w:cs="仿宋_GB2312"/>
          <w:color w:val="auto"/>
        </w:rPr>
        <w:t>依据标准及规范</w:t>
      </w:r>
      <w:bookmarkEnd w:id="67"/>
      <w:r>
        <w:rPr>
          <w:rFonts w:hint="eastAsia" w:ascii="仿宋_GB2312" w:hAnsi="仿宋_GB2312" w:eastAsia="仿宋_GB2312" w:cs="仿宋_GB2312"/>
          <w:color w:val="auto"/>
        </w:rPr>
        <w:t xml:space="preserve"> </w:t>
      </w:r>
    </w:p>
    <w:p>
      <w:pPr>
        <w:rPr>
          <w:rFonts w:hint="eastAsia" w:ascii="仿宋_GB2312" w:hAnsi="仿宋_GB2312" w:eastAsia="仿宋_GB2312" w:cs="仿宋_GB2312"/>
          <w:color w:val="auto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响应方应严格依据国家或国际有关标准进行材料生产、检测、包装、运输；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68" w:name="_Toc17189"/>
      <w:bookmarkStart w:id="69" w:name="_Toc26124"/>
      <w:bookmarkStart w:id="70" w:name="_Toc12257"/>
      <w:bookmarkStart w:id="71" w:name="_Toc29634"/>
      <w:bookmarkStart w:id="72" w:name="_Toc26011"/>
      <w:bookmarkStart w:id="73" w:name="_Toc32273"/>
      <w:bookmarkStart w:id="74" w:name="_Toc13844"/>
      <w:bookmarkStart w:id="75" w:name="_Toc10714"/>
      <w:bookmarkStart w:id="76" w:name="_Toc735"/>
      <w:r>
        <w:rPr>
          <w:rFonts w:hint="eastAsia" w:ascii="仿宋_GB2312" w:hAnsi="仿宋_GB2312" w:eastAsia="仿宋_GB2312" w:cs="仿宋_GB2312"/>
          <w:color w:val="auto"/>
        </w:rPr>
        <w:t>项目背景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为满足项目研制以及系统调试测试需求，拟采购一批双4G通讯模组，用于</w:t>
      </w:r>
      <w:bookmarkStart w:id="174" w:name="_GoBack"/>
      <w:bookmarkEnd w:id="174"/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测试使用。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77" w:name="_Toc8465"/>
      <w:bookmarkStart w:id="78" w:name="_Toc561"/>
      <w:bookmarkStart w:id="79" w:name="_Toc14303"/>
      <w:bookmarkStart w:id="80" w:name="_Toc24477"/>
      <w:bookmarkStart w:id="81" w:name="_Toc3531"/>
      <w:bookmarkStart w:id="82" w:name="_Toc17046"/>
      <w:bookmarkStart w:id="83" w:name="_Toc26770"/>
      <w:bookmarkStart w:id="84" w:name="_Toc31437"/>
      <w:bookmarkStart w:id="85" w:name="_Toc7017"/>
      <w:bookmarkStart w:id="86" w:name="_Toc30858"/>
      <w:bookmarkStart w:id="87" w:name="_Toc198288469"/>
      <w:bookmarkStart w:id="88" w:name="_Toc197719624"/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技术要求</w:t>
      </w:r>
      <w:bookmarkEnd w:id="77"/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基本规格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66"/>
        <w:gridCol w:w="65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规格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257" w:line="227" w:lineRule="auto"/>
              <w:ind w:left="11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尺寸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长*宽*高</w:t>
            </w: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52" w:line="284" w:lineRule="exact"/>
              <w:ind w:left="124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PCBA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尺寸：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130.55±0.5)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×(58.56±0.5)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×(20.83±0.5)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</w:p>
          <w:p>
            <w:pPr>
              <w:pStyle w:val="86"/>
              <w:spacing w:before="55" w:line="285" w:lineRule="exact"/>
              <w:ind w:left="117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整机尺寸：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134.25±0.8)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×(58.49±0.8)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  <w:r>
              <w:rPr>
                <w:rFonts w:hint="eastAsia" w:ascii="仿宋" w:hAnsi="仿宋" w:eastAsia="仿宋" w:cs="仿宋"/>
                <w:color w:val="auto"/>
                <w:spacing w:val="3"/>
                <w:position w:val="2"/>
                <w:sz w:val="21"/>
                <w:szCs w:val="21"/>
              </w:rPr>
              <w:t>×(29.00±0.8)</w:t>
            </w:r>
            <w:r>
              <w:rPr>
                <w:rFonts w:hint="eastAsia" w:ascii="仿宋" w:hAnsi="仿宋" w:eastAsia="仿宋" w:cs="仿宋"/>
                <w:color w:val="auto"/>
                <w:position w:val="2"/>
                <w:sz w:val="21"/>
                <w:szCs w:val="21"/>
              </w:rPr>
              <w:t>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58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0" w:line="228" w:lineRule="auto"/>
              <w:ind w:left="119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工作电压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89" w:line="228" w:lineRule="auto"/>
              <w:ind w:left="118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主电源：4.5V～5.5V，典型值：5.0V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65" w:line="228" w:lineRule="auto"/>
              <w:ind w:left="118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温度范围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92" w:line="228" w:lineRule="auto"/>
              <w:ind w:left="121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正常工作温度：-30°C~+70°C</w:t>
            </w:r>
          </w:p>
          <w:p>
            <w:pPr>
              <w:pStyle w:val="86"/>
              <w:spacing w:before="91" w:line="228" w:lineRule="auto"/>
              <w:ind w:left="11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</w:rPr>
              <w:t>扩展工作温度：-40°C~+85°C</w:t>
            </w:r>
          </w:p>
          <w:p>
            <w:pPr>
              <w:pStyle w:val="86"/>
              <w:spacing w:before="93" w:line="228" w:lineRule="auto"/>
              <w:ind w:left="11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存储温度：-40°C~+90°C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61" w:type="pct"/>
            <w:vMerge w:val="restart"/>
            <w:shd w:val="clear" w:color="auto" w:fill="auto"/>
            <w:vAlign w:val="center"/>
          </w:tcPr>
          <w:p>
            <w:pPr>
              <w:spacing w:before="65" w:line="229" w:lineRule="auto"/>
              <w:ind w:left="117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7"/>
                <w:sz w:val="21"/>
                <w:szCs w:val="21"/>
              </w:rPr>
              <w:t>应用接口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55" w:line="285" w:lineRule="exact"/>
              <w:ind w:left="114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position w:val="1"/>
                <w:sz w:val="21"/>
                <w:szCs w:val="21"/>
              </w:rPr>
              <w:t>2个2G/3G/4G天线接口，特征阻抗</w:t>
            </w:r>
            <w:r>
              <w:rPr>
                <w:rFonts w:hint="eastAsia" w:ascii="仿宋" w:hAnsi="仿宋" w:eastAsia="仿宋" w:cs="仿宋"/>
                <w:color w:val="auto"/>
                <w:spacing w:val="5"/>
                <w:position w:val="1"/>
                <w:sz w:val="21"/>
                <w:szCs w:val="21"/>
              </w:rPr>
              <w:t>为50Ω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061" w:type="pct"/>
            <w:vMerge w:val="continue"/>
            <w:shd w:val="clear" w:color="auto" w:fill="auto"/>
            <w:vAlign w:val="center"/>
          </w:tcPr>
          <w:p>
            <w:pPr>
              <w:pStyle w:val="8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53" w:line="285" w:lineRule="exact"/>
              <w:ind w:left="114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position w:val="1"/>
                <w:sz w:val="21"/>
                <w:szCs w:val="21"/>
              </w:rPr>
              <w:t>2个</w:t>
            </w:r>
            <w:r>
              <w:rPr>
                <w:rFonts w:hint="eastAsia" w:ascii="仿宋" w:hAnsi="仿宋" w:eastAsia="仿宋" w:cs="仿宋"/>
                <w:color w:val="auto"/>
                <w:position w:val="1"/>
                <w:sz w:val="21"/>
                <w:szCs w:val="21"/>
              </w:rPr>
              <w:t>USIM</w:t>
            </w:r>
            <w:r>
              <w:rPr>
                <w:rFonts w:hint="eastAsia" w:ascii="仿宋" w:hAnsi="仿宋" w:eastAsia="仿宋" w:cs="仿宋"/>
                <w:color w:val="auto"/>
                <w:spacing w:val="6"/>
                <w:position w:val="1"/>
                <w:sz w:val="21"/>
                <w:szCs w:val="21"/>
              </w:rPr>
              <w:t>接口，可自适应1.8V/3V，兼</w:t>
            </w:r>
            <w:r>
              <w:rPr>
                <w:rFonts w:hint="eastAsia" w:ascii="仿宋" w:hAnsi="仿宋" w:eastAsia="仿宋" w:cs="仿宋"/>
                <w:color w:val="auto"/>
                <w:spacing w:val="5"/>
                <w:position w:val="1"/>
                <w:sz w:val="21"/>
                <w:szCs w:val="21"/>
              </w:rPr>
              <w:t>容热插拔卡座设计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061" w:type="pct"/>
            <w:vMerge w:val="continue"/>
            <w:shd w:val="clear" w:color="auto" w:fill="auto"/>
            <w:vAlign w:val="center"/>
          </w:tcPr>
          <w:p>
            <w:pPr>
              <w:pStyle w:val="8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92" w:line="228" w:lineRule="auto"/>
              <w:ind w:left="131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2"/>
                <w:sz w:val="21"/>
                <w:szCs w:val="21"/>
              </w:rPr>
              <w:t>1个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USB</w:t>
            </w:r>
            <w:r>
              <w:rPr>
                <w:rFonts w:hint="eastAsia" w:ascii="仿宋" w:hAnsi="仿宋" w:eastAsia="仿宋" w:cs="仿宋"/>
                <w:color w:val="auto"/>
                <w:spacing w:val="2"/>
                <w:sz w:val="21"/>
                <w:szCs w:val="21"/>
              </w:rPr>
              <w:t>2.0高速接口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061" w:type="pct"/>
            <w:vMerge w:val="continue"/>
            <w:shd w:val="clear" w:color="auto" w:fill="auto"/>
            <w:vAlign w:val="center"/>
          </w:tcPr>
          <w:p>
            <w:pPr>
              <w:pStyle w:val="86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pStyle w:val="86"/>
              <w:spacing w:before="91" w:line="228" w:lineRule="auto"/>
              <w:ind w:left="114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4"/>
                <w:sz w:val="21"/>
                <w:szCs w:val="21"/>
              </w:rPr>
              <w:t>2个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RJ</w:t>
            </w:r>
            <w:r>
              <w:rPr>
                <w:rFonts w:hint="eastAsia" w:ascii="仿宋" w:hAnsi="仿宋" w:eastAsia="仿宋" w:cs="仿宋"/>
                <w:color w:val="auto"/>
                <w:spacing w:val="4"/>
                <w:sz w:val="21"/>
                <w:szCs w:val="21"/>
              </w:rPr>
              <w:t>45以太网通信接口</w:t>
            </w:r>
          </w:p>
        </w:tc>
      </w:tr>
    </w:tbl>
    <w:p>
      <w:pPr>
        <w:rPr>
          <w:color w:val="auto"/>
        </w:rPr>
      </w:pPr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eastAsia" w:eastAsia="仿宋_GB2312"/>
          <w:color w:val="auto"/>
          <w:lang w:val="en-US" w:eastAsia="zh-CN"/>
        </w:rPr>
      </w:pPr>
      <w:r>
        <w:rPr>
          <w:rFonts w:hint="eastAsia" w:eastAsia="仿宋_GB2312"/>
          <w:color w:val="auto"/>
          <w:lang w:val="en-US" w:eastAsia="zh-CN"/>
        </w:rPr>
        <w:t>射频基本参数</w:t>
      </w:r>
    </w:p>
    <w:tbl>
      <w:tblPr>
        <w:tblStyle w:val="85"/>
        <w:tblW w:w="501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70"/>
        <w:gridCol w:w="65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参数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GSM/GPRS/EDGE: 900/ 1800 MHz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WCDMA: B1, B5,B8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LTE-FDD: B1, B3, B5, B8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LTE-TDD:B34,B38,B39,B40,B41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无线速率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GPRS：Max85.6Kbps(DL)/Max85.6Kbps(UL)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EDGE：Max236.8Kbps(DL)/Max236.8Kbps(UL)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WCDMA：HSPA+,Max21Mbps(DL)/Max5.76Mbps(UL)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LTE-FDD：Cat4,no-CA,Max 75Mbps(DL)/Max 50Mbps(UL) LTE-TDD：Cat4, no-CA, Max 65Mbps(DL)/Max 30Mbps(UL)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8" w:hRule="atLeast"/>
        </w:trPr>
        <w:tc>
          <w:tcPr>
            <w:tcW w:w="10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功率等级</w:t>
            </w:r>
          </w:p>
        </w:tc>
        <w:tc>
          <w:tcPr>
            <w:tcW w:w="39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EGSM900：+33dBm (Power Class 4)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DCS1800：+30dBm (Power Class 1)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EDGE 900MHz：+27dBm (Power Class E2)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EDGE1800MHz：+26dBm (Power Class E2)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WCDMA：+24dBm (Power Class 3)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LTE：+23dBm(Power Class 3)</w:t>
            </w:r>
          </w:p>
        </w:tc>
      </w:tr>
    </w:tbl>
    <w:p>
      <w:pPr>
        <w:pStyle w:val="29"/>
        <w:ind w:left="0" w:leftChars="0" w:firstLine="0" w:firstLineChars="0"/>
        <w:rPr>
          <w:rFonts w:hint="eastAsia" w:cs="仿宋_GB2312"/>
          <w:color w:val="auto"/>
          <w:lang w:val="en-US" w:eastAsia="zh-CN"/>
        </w:rPr>
      </w:pPr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eastAsia" w:eastAsia="仿宋_GB2312"/>
          <w:color w:val="auto"/>
          <w:lang w:val="en-US" w:eastAsia="zh-CN"/>
        </w:rPr>
      </w:pPr>
      <w:r>
        <w:rPr>
          <w:rFonts w:hint="eastAsia" w:eastAsia="仿宋_GB2312"/>
          <w:color w:val="auto"/>
          <w:lang w:val="en-US" w:eastAsia="zh-CN"/>
        </w:rPr>
        <w:t>模组接口与配置功能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模组功能接口包含：USB2.0高速接口、USIM接口、射频接口等。</w:t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接口与配置功能</w:t>
      </w:r>
    </w:p>
    <w:p>
      <w:pPr>
        <w:pStyle w:val="7"/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</w:rPr>
        <w:t>接口与配置功能布局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63"/>
        <w:gridCol w:w="2234"/>
        <w:gridCol w:w="4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63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名称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功能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2*3 PIN 连接器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电源与通信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2*4 PIN 连接器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以太网通信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2G/3G/4G 天线接口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2G/3G/4G 天线接口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SMA 射频连接器，特征阻抗为 50Ω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USIM 卡座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全球用户识别卡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自适应 1.8 V/3.0 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11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LED 指示灯</w:t>
            </w:r>
          </w:p>
        </w:tc>
        <w:tc>
          <w:tcPr>
            <w:tcW w:w="134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模快状态指示灯</w:t>
            </w:r>
          </w:p>
        </w:tc>
        <w:tc>
          <w:tcPr>
            <w:tcW w:w="25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</w:tr>
    </w:tbl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连接器引脚说明</w:t>
      </w:r>
    </w:p>
    <w:p>
      <w:pPr>
        <w:pStyle w:val="7"/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2*3PIN连接器引脚说明</w:t>
      </w:r>
    </w:p>
    <w:tbl>
      <w:tblPr>
        <w:tblStyle w:val="85"/>
        <w:tblW w:w="503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3"/>
        <w:gridCol w:w="971"/>
        <w:gridCol w:w="1180"/>
        <w:gridCol w:w="3061"/>
        <w:gridCol w:w="2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63" w:hRule="atLeast"/>
        </w:trPr>
        <w:tc>
          <w:tcPr>
            <w:tcW w:w="6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引脚名称</w:t>
            </w:r>
          </w:p>
        </w:tc>
        <w:tc>
          <w:tcPr>
            <w:tcW w:w="57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引脚编号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信号方向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功能描述</w:t>
            </w:r>
          </w:p>
        </w:tc>
        <w:tc>
          <w:tcPr>
            <w:tcW w:w="126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6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Vin</w:t>
            </w:r>
          </w:p>
        </w:tc>
        <w:tc>
          <w:tcPr>
            <w:tcW w:w="57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1、2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5V 电源输入</w:t>
            </w:r>
          </w:p>
        </w:tc>
        <w:tc>
          <w:tcPr>
            <w:tcW w:w="126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Vmax=5.5V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Vmin=4.5V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Vnorm=5.0V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GND</w:t>
            </w:r>
          </w:p>
        </w:tc>
        <w:tc>
          <w:tcPr>
            <w:tcW w:w="57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3、4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电源地</w:t>
            </w:r>
          </w:p>
        </w:tc>
        <w:tc>
          <w:tcPr>
            <w:tcW w:w="126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6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USB_DM</w:t>
            </w:r>
          </w:p>
        </w:tc>
        <w:tc>
          <w:tcPr>
            <w:tcW w:w="57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输入/输出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USB 数据负信号</w:t>
            </w:r>
          </w:p>
        </w:tc>
        <w:tc>
          <w:tcPr>
            <w:tcW w:w="1267" w:type="pct"/>
            <w:vMerge w:val="restar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符合 USB2.0 标准规格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6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USB_DP</w:t>
            </w:r>
          </w:p>
        </w:tc>
        <w:tc>
          <w:tcPr>
            <w:tcW w:w="57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6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输入/输出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USB 数据正信号</w:t>
            </w:r>
          </w:p>
        </w:tc>
        <w:tc>
          <w:tcPr>
            <w:tcW w:w="1267" w:type="pct"/>
            <w:vMerge w:val="continue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</w:tr>
    </w:tbl>
    <w:p>
      <w:pPr>
        <w:rPr>
          <w:rFonts w:hint="eastAsia"/>
          <w:color w:val="auto"/>
          <w:lang w:val="en-US" w:eastAsia="zh-CN"/>
        </w:rPr>
      </w:pPr>
    </w:p>
    <w:p>
      <w:pPr>
        <w:pStyle w:val="7"/>
        <w:rPr>
          <w:rFonts w:hint="eastAsia" w:eastAsia="黑体"/>
          <w:lang w:val="en-US"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3</w:t>
      </w:r>
      <w:r>
        <w:fldChar w:fldCharType="end"/>
      </w:r>
      <w:r>
        <w:rPr>
          <w:rFonts w:hint="eastAsia"/>
          <w:lang w:val="en-US" w:eastAsia="zh-CN"/>
        </w:rPr>
        <w:t xml:space="preserve">  2*4 PIN 连接器引脚说明</w:t>
      </w:r>
    </w:p>
    <w:tbl>
      <w:tblPr>
        <w:tblStyle w:val="85"/>
        <w:tblW w:w="50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4"/>
        <w:gridCol w:w="947"/>
        <w:gridCol w:w="1238"/>
        <w:gridCol w:w="3030"/>
        <w:gridCol w:w="20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引脚名称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引脚编号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信号方向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针对模块方向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功能描述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LAN1_RD+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输出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第一路 10/ 100M  以太网接收 差分信号的正极性信号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LAN1_RD-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输出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第一路 10/ 100M  以太网接收 差分信号的负极性信号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LAN1_TD+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第一路 10/ 100M  以太网发送 差分信号的正极性信号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LAN1_TD-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4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第一路 10/ 100M  以太网发送 差分信号的负极性信号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LAN2_RD+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输出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第二路 10/ 100M  以太网接收 差分信号的正极性信号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LAN2_RD-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6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输出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第二路 10/ 100M  以太网接收 差分信号的负极性信号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LAN2_TD+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7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第二路 10/ 100M  以太网发送 差分信号的正极性信号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63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LAN2_TD-</w:t>
            </w:r>
          </w:p>
        </w:tc>
        <w:tc>
          <w:tcPr>
            <w:tcW w:w="56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</w:t>
            </w:r>
          </w:p>
        </w:tc>
        <w:tc>
          <w:tcPr>
            <w:tcW w:w="74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输入</w:t>
            </w:r>
          </w:p>
        </w:tc>
        <w:tc>
          <w:tcPr>
            <w:tcW w:w="181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第二路 10/ 100M  以太网发送 差分信号的负极性信号</w:t>
            </w:r>
          </w:p>
        </w:tc>
        <w:tc>
          <w:tcPr>
            <w:tcW w:w="125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</w:t>
            </w:r>
          </w:p>
        </w:tc>
      </w:tr>
    </w:tbl>
    <w:p>
      <w:pPr>
        <w:rPr>
          <w:rFonts w:hint="eastAsia"/>
          <w:color w:val="auto"/>
          <w:lang w:val="en-US" w:eastAsia="zh-CN"/>
        </w:rPr>
      </w:pP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LED功能说明</w:t>
      </w:r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4</w:t>
      </w:r>
      <w:r>
        <w:fldChar w:fldCharType="end"/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LED功能说明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64"/>
        <w:gridCol w:w="1638"/>
        <w:gridCol w:w="4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06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LED 功能</w:t>
            </w:r>
          </w:p>
        </w:tc>
        <w:tc>
          <w:tcPr>
            <w:tcW w:w="98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颜色</w:t>
            </w:r>
          </w:p>
        </w:tc>
        <w:tc>
          <w:tcPr>
            <w:tcW w:w="295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06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运行灯</w:t>
            </w:r>
          </w:p>
        </w:tc>
        <w:tc>
          <w:tcPr>
            <w:tcW w:w="98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红色</w:t>
            </w:r>
          </w:p>
        </w:tc>
        <w:tc>
          <w:tcPr>
            <w:tcW w:w="295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模块运行状态指示：正常上电常亮；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106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通信灯</w:t>
            </w:r>
          </w:p>
        </w:tc>
        <w:tc>
          <w:tcPr>
            <w:tcW w:w="98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绿色</w:t>
            </w:r>
          </w:p>
        </w:tc>
        <w:tc>
          <w:tcPr>
            <w:tcW w:w="295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常亮表明模组处于连接/激活状态，闪烁表明模组有数据传 输，常灭表明模组处于未连接/未激活状态；</w:t>
            </w:r>
          </w:p>
        </w:tc>
      </w:tr>
    </w:tbl>
    <w:p>
      <w:pPr>
        <w:rPr>
          <w:rFonts w:hint="eastAsia"/>
          <w:color w:val="auto"/>
          <w:lang w:val="en-US" w:eastAsia="zh-CN"/>
        </w:rPr>
      </w:pP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天线接口功能</w:t>
      </w:r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5</w:t>
      </w:r>
      <w:r>
        <w:fldChar w:fldCharType="end"/>
      </w:r>
      <w:r>
        <w:rPr>
          <w:rFonts w:hint="eastAsia"/>
          <w:lang w:eastAsia="zh-CN"/>
        </w:rPr>
        <w:t xml:space="preserve"> 天线接口说明</w:t>
      </w:r>
    </w:p>
    <w:tbl>
      <w:tblPr>
        <w:tblStyle w:val="85"/>
        <w:tblW w:w="500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84"/>
        <w:gridCol w:w="3036"/>
        <w:gridCol w:w="2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63" w:hRule="atLeast"/>
        </w:trPr>
        <w:tc>
          <w:tcPr>
            <w:tcW w:w="14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天线</w:t>
            </w:r>
          </w:p>
        </w:tc>
        <w:tc>
          <w:tcPr>
            <w:tcW w:w="18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功能配置</w:t>
            </w:r>
          </w:p>
        </w:tc>
        <w:tc>
          <w:tcPr>
            <w:tcW w:w="174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工作频率范围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14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2G/3G/4G 天线接口</w:t>
            </w:r>
          </w:p>
        </w:tc>
        <w:tc>
          <w:tcPr>
            <w:tcW w:w="18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GSM/GPRS/EDGE: 900/ 1800 MHz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WCDMA: B1, B5,B8</w:t>
            </w:r>
          </w:p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LTE-FDD: B1, B3, B5, B8    LTE-TDD:  B34, B38,  B39, B40, B41</w:t>
            </w:r>
          </w:p>
        </w:tc>
        <w:tc>
          <w:tcPr>
            <w:tcW w:w="174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824MHz~2655MHz</w:t>
            </w:r>
          </w:p>
        </w:tc>
      </w:tr>
    </w:tbl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eastAsia" w:eastAsia="仿宋_GB2312"/>
          <w:color w:val="auto"/>
          <w:lang w:val="en-US" w:eastAsia="zh-CN"/>
        </w:rPr>
      </w:pPr>
      <w:r>
        <w:rPr>
          <w:rFonts w:hint="eastAsia" w:eastAsia="仿宋_GB2312"/>
          <w:color w:val="auto"/>
          <w:lang w:val="en-US" w:eastAsia="zh-CN"/>
        </w:rPr>
        <w:t>电气特性及可靠性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模组的电气特性和可靠性，包括电源的输入输出电压和电流、工作和存储温度范围、ESD防护特性应满足下述要求。</w:t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89" w:name="bookmark40"/>
      <w:bookmarkEnd w:id="89"/>
      <w:bookmarkStart w:id="90" w:name="bookmark39"/>
      <w:bookmarkEnd w:id="90"/>
      <w:r>
        <w:rPr>
          <w:rFonts w:hint="eastAsia"/>
          <w:color w:val="auto"/>
          <w:lang w:val="en-US" w:eastAsia="zh-CN"/>
        </w:rPr>
        <w:t>电气特性</w:t>
      </w:r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6</w:t>
      </w:r>
      <w:r>
        <w:fldChar w:fldCharType="end"/>
      </w:r>
      <w:r>
        <w:rPr>
          <w:rFonts w:hint="eastAsia"/>
          <w:lang w:eastAsia="zh-CN"/>
        </w:rPr>
        <w:t xml:space="preserve"> 产品电气特性</w:t>
      </w:r>
    </w:p>
    <w:tbl>
      <w:tblPr>
        <w:tblStyle w:val="8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64"/>
        <w:gridCol w:w="2001"/>
        <w:gridCol w:w="2134"/>
        <w:gridCol w:w="2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1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电压电流</w:t>
            </w:r>
          </w:p>
        </w:tc>
        <w:tc>
          <w:tcPr>
            <w:tcW w:w="120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最小值（极限）</w:t>
            </w:r>
          </w:p>
        </w:tc>
        <w:tc>
          <w:tcPr>
            <w:tcW w:w="12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典型值</w:t>
            </w:r>
          </w:p>
        </w:tc>
        <w:tc>
          <w:tcPr>
            <w:tcW w:w="13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最大值（极限）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1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Vin</w:t>
            </w:r>
          </w:p>
        </w:tc>
        <w:tc>
          <w:tcPr>
            <w:tcW w:w="120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4.5V</w:t>
            </w:r>
          </w:p>
        </w:tc>
        <w:tc>
          <w:tcPr>
            <w:tcW w:w="12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5.0V</w:t>
            </w:r>
          </w:p>
        </w:tc>
        <w:tc>
          <w:tcPr>
            <w:tcW w:w="13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5.5V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1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Iin</w:t>
            </w:r>
          </w:p>
        </w:tc>
        <w:tc>
          <w:tcPr>
            <w:tcW w:w="120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/</w:t>
            </w:r>
          </w:p>
        </w:tc>
        <w:tc>
          <w:tcPr>
            <w:tcW w:w="12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/</w:t>
            </w:r>
          </w:p>
        </w:tc>
        <w:tc>
          <w:tcPr>
            <w:tcW w:w="13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2A</w:t>
            </w:r>
          </w:p>
        </w:tc>
      </w:tr>
    </w:tbl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温度特性</w:t>
      </w:r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7</w:t>
      </w:r>
      <w:r>
        <w:fldChar w:fldCharType="end"/>
      </w:r>
      <w:r>
        <w:rPr>
          <w:rFonts w:hint="eastAsia"/>
          <w:lang w:eastAsia="zh-CN"/>
        </w:rPr>
        <w:t xml:space="preserve"> 产品温度特性</w:t>
      </w:r>
    </w:p>
    <w:tbl>
      <w:tblPr>
        <w:tblStyle w:val="8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08"/>
        <w:gridCol w:w="1867"/>
        <w:gridCol w:w="2280"/>
        <w:gridCol w:w="2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90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模组状态</w:t>
            </w:r>
          </w:p>
        </w:tc>
        <w:tc>
          <w:tcPr>
            <w:tcW w:w="11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最小值</w:t>
            </w:r>
          </w:p>
        </w:tc>
        <w:tc>
          <w:tcPr>
            <w:tcW w:w="137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典型值</w:t>
            </w:r>
          </w:p>
        </w:tc>
        <w:tc>
          <w:tcPr>
            <w:tcW w:w="160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最大值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90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正常工作温度</w:t>
            </w:r>
          </w:p>
        </w:tc>
        <w:tc>
          <w:tcPr>
            <w:tcW w:w="11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-30℃</w:t>
            </w:r>
          </w:p>
        </w:tc>
        <w:tc>
          <w:tcPr>
            <w:tcW w:w="137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25℃</w:t>
            </w:r>
          </w:p>
        </w:tc>
        <w:tc>
          <w:tcPr>
            <w:tcW w:w="160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90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扩展工作温度</w:t>
            </w:r>
          </w:p>
        </w:tc>
        <w:tc>
          <w:tcPr>
            <w:tcW w:w="11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-40℃</w:t>
            </w:r>
          </w:p>
        </w:tc>
        <w:tc>
          <w:tcPr>
            <w:tcW w:w="137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  <w:tc>
          <w:tcPr>
            <w:tcW w:w="160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90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存储温度</w:t>
            </w:r>
          </w:p>
        </w:tc>
        <w:tc>
          <w:tcPr>
            <w:tcW w:w="11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-40℃</w:t>
            </w:r>
          </w:p>
        </w:tc>
        <w:tc>
          <w:tcPr>
            <w:tcW w:w="137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</w:p>
        </w:tc>
        <w:tc>
          <w:tcPr>
            <w:tcW w:w="160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90℃</w:t>
            </w:r>
          </w:p>
        </w:tc>
      </w:tr>
    </w:tbl>
    <w:p>
      <w:pPr>
        <w:bidi w:val="0"/>
        <w:rPr>
          <w:rFonts w:hint="default"/>
          <w:color w:val="auto"/>
          <w:lang w:val="en-US" w:eastAsia="zh-CN"/>
        </w:rPr>
      </w:pP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ESD防护特性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测试环境：湿度45%；温度25℃</w:t>
      </w:r>
    </w:p>
    <w:p>
      <w:pPr>
        <w:spacing w:line="73" w:lineRule="exact"/>
        <w:rPr>
          <w:color w:val="auto"/>
        </w:rPr>
      </w:pPr>
      <w:bookmarkStart w:id="91" w:name="bookmark103"/>
      <w:bookmarkEnd w:id="91"/>
      <w:bookmarkStart w:id="92" w:name="bookmark102"/>
      <w:bookmarkEnd w:id="92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8</w:t>
      </w:r>
      <w:r>
        <w:fldChar w:fldCharType="end"/>
      </w:r>
      <w:r>
        <w:rPr>
          <w:rFonts w:hint="eastAsia"/>
          <w:lang w:eastAsia="zh-CN"/>
        </w:rPr>
        <w:t xml:space="preserve"> ESD防护特性</w:t>
      </w:r>
    </w:p>
    <w:tbl>
      <w:tblPr>
        <w:tblStyle w:val="8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58"/>
        <w:gridCol w:w="3009"/>
        <w:gridCol w:w="2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47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测试位置</w:t>
            </w:r>
          </w:p>
        </w:tc>
        <w:tc>
          <w:tcPr>
            <w:tcW w:w="180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接触放电</w:t>
            </w:r>
          </w:p>
        </w:tc>
        <w:tc>
          <w:tcPr>
            <w:tcW w:w="17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空气放电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47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Vin</w:t>
            </w:r>
          </w:p>
        </w:tc>
        <w:tc>
          <w:tcPr>
            <w:tcW w:w="180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±8 kV</w:t>
            </w:r>
          </w:p>
        </w:tc>
        <w:tc>
          <w:tcPr>
            <w:tcW w:w="17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±15 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47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GND</w:t>
            </w:r>
          </w:p>
        </w:tc>
        <w:tc>
          <w:tcPr>
            <w:tcW w:w="180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±8 kV</w:t>
            </w:r>
          </w:p>
        </w:tc>
        <w:tc>
          <w:tcPr>
            <w:tcW w:w="17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±15 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47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ANT</w:t>
            </w:r>
          </w:p>
        </w:tc>
        <w:tc>
          <w:tcPr>
            <w:tcW w:w="180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±8 kV</w:t>
            </w:r>
          </w:p>
        </w:tc>
        <w:tc>
          <w:tcPr>
            <w:tcW w:w="17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±15 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47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其它</w:t>
            </w:r>
          </w:p>
        </w:tc>
        <w:tc>
          <w:tcPr>
            <w:tcW w:w="180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±2 kV</w:t>
            </w:r>
          </w:p>
        </w:tc>
        <w:tc>
          <w:tcPr>
            <w:tcW w:w="17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±4 kV</w:t>
            </w:r>
          </w:p>
        </w:tc>
      </w:tr>
    </w:tbl>
    <w:p>
      <w:pPr>
        <w:bidi w:val="0"/>
        <w:rPr>
          <w:rFonts w:hint="default"/>
          <w:color w:val="auto"/>
          <w:lang w:val="en-US" w:eastAsia="zh-CN"/>
        </w:rPr>
      </w:pPr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default" w:eastAsia="仿宋_GB2312"/>
          <w:color w:val="auto"/>
          <w:lang w:val="en-US" w:eastAsia="zh-CN"/>
        </w:rPr>
      </w:pPr>
      <w:r>
        <w:rPr>
          <w:rFonts w:hint="default" w:eastAsia="仿宋_GB2312"/>
          <w:color w:val="auto"/>
          <w:lang w:val="en-US" w:eastAsia="zh-CN"/>
        </w:rPr>
        <w:t>射频特性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模组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应</w:t>
      </w:r>
      <w:r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支持GSM、WCDMA、LTE网络通信</w:t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模组的工作频段</w:t>
      </w:r>
    </w:p>
    <w:tbl>
      <w:tblPr>
        <w:tblStyle w:val="8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69"/>
        <w:gridCol w:w="2966"/>
        <w:gridCol w:w="3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工作频段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上行/发射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下行/接收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880~915MHz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925~960MHz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20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1710~ 1785MHz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1805~ 1880MHz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B1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1920~ 1980MHz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2110~2170MHz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0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B5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824~849MHz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869~894MHz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0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B8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880~915MHz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925~960MHz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B1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1920~ 1980MHz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2110~2170MHz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B3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1710~ 1785MHz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1805~ 1880MHz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B5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824~849MHz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869~894MHz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B8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880~915MHz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925~960MHz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B34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2010~2025MHz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2010~2025MHz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B38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2570~2620MHz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2570~2620MHz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B39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1880~ 1920MHz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1880~ 1920MHz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B40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2300~2400MHz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2300~2400MHz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30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TDD B41</w:t>
            </w:r>
          </w:p>
        </w:tc>
        <w:tc>
          <w:tcPr>
            <w:tcW w:w="17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2535~2655MHz</w:t>
            </w:r>
          </w:p>
        </w:tc>
        <w:tc>
          <w:tcPr>
            <w:tcW w:w="191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2535~2655MHz</w:t>
            </w:r>
          </w:p>
        </w:tc>
      </w:tr>
    </w:tbl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93" w:name="bookmark105"/>
      <w:bookmarkEnd w:id="93"/>
      <w:bookmarkStart w:id="94" w:name="bookmark49"/>
      <w:bookmarkEnd w:id="94"/>
      <w:bookmarkStart w:id="95" w:name="bookmark50"/>
      <w:bookmarkEnd w:id="95"/>
      <w:r>
        <w:rPr>
          <w:rFonts w:hint="eastAsia"/>
          <w:color w:val="auto"/>
          <w:lang w:val="en-US" w:eastAsia="zh-CN"/>
        </w:rPr>
        <w:t>模组1发射功率和接收灵敏度</w:t>
      </w:r>
    </w:p>
    <w:p>
      <w:pPr>
        <w:pStyle w:val="7"/>
        <w:rPr>
          <w:rFonts w:hint="eastAsia" w:eastAsia="宋体"/>
          <w:lang w:eastAsia="zh-CN"/>
        </w:rPr>
      </w:pPr>
      <w:bookmarkStart w:id="96" w:name="bookmark104"/>
      <w:bookmarkEnd w:id="96"/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9</w:t>
      </w:r>
      <w:r>
        <w:fldChar w:fldCharType="end"/>
      </w:r>
      <w:r>
        <w:rPr>
          <w:rFonts w:hint="eastAsia"/>
          <w:lang w:eastAsia="zh-CN"/>
        </w:rPr>
        <w:t xml:space="preserve"> 模组1RF发射功率</w:t>
      </w:r>
    </w:p>
    <w:tbl>
      <w:tblPr>
        <w:tblStyle w:val="8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68"/>
        <w:gridCol w:w="3039"/>
        <w:gridCol w:w="27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最大功率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最小功率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 dBm±5 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30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0 dBm±5 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B1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 dBm+1/-3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B5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24dBm +1/-3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B8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 dBm +1/-3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B1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B3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B5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B8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B20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B34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B38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B39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5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B40</w:t>
            </w:r>
          </w:p>
        </w:tc>
        <w:tc>
          <w:tcPr>
            <w:tcW w:w="182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629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</w:tbl>
    <w:p>
      <w:pPr>
        <w:pStyle w:val="9"/>
        <w:spacing w:line="274" w:lineRule="auto"/>
        <w:rPr>
          <w:color w:val="auto"/>
        </w:rPr>
      </w:pPr>
    </w:p>
    <w:p>
      <w:pPr>
        <w:spacing w:line="140" w:lineRule="exact"/>
        <w:rPr>
          <w:color w:val="auto"/>
        </w:rPr>
      </w:pPr>
      <w:bookmarkStart w:id="97" w:name="bookmark106"/>
      <w:bookmarkEnd w:id="97"/>
      <w:bookmarkStart w:id="98" w:name="bookmark107"/>
      <w:bookmarkEnd w:id="98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10</w:t>
      </w:r>
      <w:r>
        <w:fldChar w:fldCharType="end"/>
      </w:r>
      <w:r>
        <w:rPr>
          <w:rFonts w:hint="eastAsia"/>
          <w:lang w:eastAsia="zh-CN"/>
        </w:rPr>
        <w:t xml:space="preserve"> 模组1GSM接收灵敏度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29"/>
        <w:gridCol w:w="28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3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-106dBm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7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-106 dBm</w:t>
            </w:r>
          </w:p>
        </w:tc>
      </w:tr>
    </w:tbl>
    <w:p>
      <w:pPr>
        <w:pStyle w:val="9"/>
        <w:spacing w:line="275" w:lineRule="auto"/>
        <w:rPr>
          <w:color w:val="auto"/>
        </w:rPr>
      </w:pPr>
    </w:p>
    <w:p>
      <w:pPr>
        <w:spacing w:line="140" w:lineRule="exact"/>
        <w:rPr>
          <w:color w:val="auto"/>
        </w:rPr>
      </w:pPr>
      <w:bookmarkStart w:id="99" w:name="bookmark109"/>
      <w:bookmarkEnd w:id="99"/>
      <w:bookmarkStart w:id="100" w:name="bookmark108"/>
      <w:bookmarkEnd w:id="100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11</w:t>
      </w:r>
      <w:r>
        <w:fldChar w:fldCharType="end"/>
      </w:r>
      <w:r>
        <w:rPr>
          <w:rFonts w:hint="eastAsia"/>
          <w:lang w:eastAsia="zh-CN"/>
        </w:rPr>
        <w:t xml:space="preserve"> 模组1WCDMA接收灵敏度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29"/>
        <w:gridCol w:w="28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55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B1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B5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326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B8</w:t>
            </w:r>
          </w:p>
        </w:tc>
        <w:tc>
          <w:tcPr>
            <w:tcW w:w="1737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</w:tbl>
    <w:p>
      <w:pPr>
        <w:bidi w:val="0"/>
        <w:jc w:val="center"/>
        <w:rPr>
          <w:rFonts w:hint="eastAsia"/>
          <w:color w:val="auto"/>
          <w:lang w:val="en-US" w:eastAsia="zh-CN"/>
        </w:rPr>
      </w:pPr>
    </w:p>
    <w:p>
      <w:pPr>
        <w:spacing w:line="139" w:lineRule="exact"/>
        <w:rPr>
          <w:color w:val="auto"/>
        </w:rPr>
      </w:pPr>
      <w:bookmarkStart w:id="101" w:name="bookmark111"/>
      <w:bookmarkEnd w:id="101"/>
      <w:bookmarkStart w:id="102" w:name="bookmark110"/>
      <w:bookmarkEnd w:id="102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12</w:t>
      </w:r>
      <w:r>
        <w:fldChar w:fldCharType="end"/>
      </w:r>
      <w:r>
        <w:rPr>
          <w:rFonts w:hint="eastAsia"/>
          <w:lang w:eastAsia="zh-CN"/>
        </w:rPr>
        <w:t xml:space="preserve"> 模组1LTE接收灵敏度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3067"/>
        <w:gridCol w:w="2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双工模式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B1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B5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-97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B8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B34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B38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B39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B40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420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B41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-96dBm</w:t>
            </w:r>
          </w:p>
        </w:tc>
        <w:tc>
          <w:tcPr>
            <w:tcW w:w="173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</w:tbl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103" w:name="bookmark51"/>
      <w:bookmarkEnd w:id="103"/>
      <w:bookmarkStart w:id="104" w:name="bookmark113"/>
      <w:bookmarkEnd w:id="104"/>
      <w:bookmarkStart w:id="105" w:name="bookmark52"/>
      <w:bookmarkEnd w:id="105"/>
      <w:r>
        <w:rPr>
          <w:rFonts w:hint="eastAsia"/>
          <w:color w:val="auto"/>
          <w:lang w:val="en-US" w:eastAsia="zh-CN"/>
        </w:rPr>
        <w:t>模组2发射功率和接收灵敏度</w:t>
      </w:r>
    </w:p>
    <w:p>
      <w:pPr>
        <w:pStyle w:val="7"/>
        <w:rPr>
          <w:rFonts w:hint="eastAsia" w:eastAsia="宋体"/>
          <w:lang w:eastAsia="zh-CN"/>
        </w:rPr>
      </w:pPr>
      <w:bookmarkStart w:id="106" w:name="bookmark112"/>
      <w:bookmarkEnd w:id="106"/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13</w:t>
      </w:r>
      <w:r>
        <w:fldChar w:fldCharType="end"/>
      </w:r>
      <w:r>
        <w:rPr>
          <w:rFonts w:hint="eastAsia"/>
          <w:lang w:eastAsia="zh-CN"/>
        </w:rPr>
        <w:t xml:space="preserve"> 模组2RF发射功率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19"/>
        <w:gridCol w:w="2032"/>
        <w:gridCol w:w="24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最大功率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最小功率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5 dBm±5 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30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0 dBm±5 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B1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 dBm+1/-3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B5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24dBm +1/-3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B8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24 dBm +1/-3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-50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B1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B3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B5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B8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FDD-LTE B20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B34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B38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B39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229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TDD-LTE B40</w:t>
            </w:r>
          </w:p>
        </w:tc>
        <w:tc>
          <w:tcPr>
            <w:tcW w:w="122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23 dBm±2 dB</w:t>
            </w:r>
          </w:p>
        </w:tc>
        <w:tc>
          <w:tcPr>
            <w:tcW w:w="148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&lt; -39 dBm</w:t>
            </w:r>
          </w:p>
        </w:tc>
      </w:tr>
    </w:tbl>
    <w:p>
      <w:pPr>
        <w:pStyle w:val="9"/>
        <w:spacing w:line="299" w:lineRule="auto"/>
        <w:rPr>
          <w:color w:val="auto"/>
        </w:rPr>
      </w:pPr>
    </w:p>
    <w:p>
      <w:pPr>
        <w:spacing w:line="140" w:lineRule="exact"/>
        <w:rPr>
          <w:color w:val="auto"/>
        </w:rPr>
      </w:pPr>
      <w:bookmarkStart w:id="107" w:name="bookmark115"/>
      <w:bookmarkEnd w:id="107"/>
      <w:bookmarkStart w:id="108" w:name="bookmark114"/>
      <w:bookmarkEnd w:id="108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14</w:t>
      </w:r>
      <w:r>
        <w:fldChar w:fldCharType="end"/>
      </w:r>
      <w:r>
        <w:rPr>
          <w:rFonts w:hint="eastAsia"/>
          <w:lang w:eastAsia="zh-CN"/>
        </w:rPr>
        <w:t xml:space="preserve"> 模组 2 GSM接收灵敏度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27"/>
        <w:gridCol w:w="2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EGSM900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-106dBm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DCS1800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-106 dBm</w:t>
            </w:r>
          </w:p>
        </w:tc>
      </w:tr>
    </w:tbl>
    <w:p>
      <w:pPr>
        <w:pStyle w:val="9"/>
        <w:spacing w:line="274" w:lineRule="auto"/>
        <w:rPr>
          <w:color w:val="auto"/>
        </w:rPr>
      </w:pPr>
    </w:p>
    <w:p>
      <w:pPr>
        <w:spacing w:line="139" w:lineRule="exact"/>
        <w:rPr>
          <w:color w:val="auto"/>
        </w:rPr>
      </w:pPr>
      <w:bookmarkStart w:id="109" w:name="bookmark117"/>
      <w:bookmarkEnd w:id="109"/>
      <w:bookmarkStart w:id="110" w:name="bookmark116"/>
      <w:bookmarkEnd w:id="110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15</w:t>
      </w:r>
      <w:r>
        <w:fldChar w:fldCharType="end"/>
      </w:r>
      <w:r>
        <w:rPr>
          <w:rFonts w:hint="eastAsia"/>
          <w:lang w:eastAsia="zh-CN"/>
        </w:rPr>
        <w:t xml:space="preserve"> 模组 2 WCDMA接收灵敏度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27"/>
        <w:gridCol w:w="2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B1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B5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3261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WCDMA B8</w:t>
            </w:r>
          </w:p>
        </w:tc>
        <w:tc>
          <w:tcPr>
            <w:tcW w:w="1738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-108 dBm</w:t>
            </w:r>
          </w:p>
        </w:tc>
      </w:tr>
    </w:tbl>
    <w:p>
      <w:pPr>
        <w:pStyle w:val="9"/>
        <w:spacing w:line="274" w:lineRule="auto"/>
        <w:rPr>
          <w:color w:val="auto"/>
        </w:rPr>
      </w:pPr>
    </w:p>
    <w:p>
      <w:pPr>
        <w:spacing w:line="139" w:lineRule="exact"/>
        <w:rPr>
          <w:color w:val="auto"/>
        </w:rPr>
      </w:pPr>
      <w:bookmarkStart w:id="111" w:name="bookmark119"/>
      <w:bookmarkEnd w:id="111"/>
      <w:bookmarkStart w:id="112" w:name="bookmark118"/>
      <w:bookmarkEnd w:id="112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16</w:t>
      </w:r>
      <w:r>
        <w:fldChar w:fldCharType="end"/>
      </w:r>
      <w:r>
        <w:rPr>
          <w:rFonts w:hint="eastAsia"/>
          <w:lang w:eastAsia="zh-CN"/>
        </w:rPr>
        <w:t xml:space="preserve"> 模组 2 LTE接收灵敏度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19"/>
        <w:gridCol w:w="2034"/>
        <w:gridCol w:w="2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频段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接收灵敏度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双工模式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B1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B5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B8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FDD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B34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B38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B39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-96.5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B40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-97 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18" w:hRule="atLeast"/>
        </w:trPr>
        <w:tc>
          <w:tcPr>
            <w:tcW w:w="229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LTE B41</w:t>
            </w:r>
          </w:p>
        </w:tc>
        <w:tc>
          <w:tcPr>
            <w:tcW w:w="122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≤ -96.3dBm</w:t>
            </w:r>
          </w:p>
        </w:tc>
        <w:tc>
          <w:tcPr>
            <w:tcW w:w="1482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TDD</w:t>
            </w:r>
          </w:p>
        </w:tc>
      </w:tr>
    </w:tbl>
    <w:p>
      <w:pPr>
        <w:bidi w:val="0"/>
        <w:rPr>
          <w:rFonts w:hint="default"/>
          <w:color w:val="auto"/>
          <w:lang w:val="en-US" w:eastAsia="zh-CN"/>
        </w:rPr>
      </w:pPr>
    </w:p>
    <w:p>
      <w:pPr>
        <w:bidi w:val="0"/>
        <w:rPr>
          <w:rFonts w:hint="default"/>
          <w:color w:val="auto"/>
          <w:lang w:val="en-US" w:eastAsia="zh-CN"/>
        </w:rPr>
      </w:pPr>
    </w:p>
    <w:p>
      <w:pPr>
        <w:bidi w:val="0"/>
        <w:rPr>
          <w:rFonts w:hint="default"/>
          <w:color w:val="auto"/>
          <w:lang w:val="en-US" w:eastAsia="zh-CN"/>
        </w:rPr>
      </w:pPr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default" w:eastAsia="仿宋_GB2312"/>
          <w:color w:val="auto"/>
          <w:lang w:val="en-US" w:eastAsia="zh-CN"/>
        </w:rPr>
      </w:pPr>
      <w:r>
        <w:rPr>
          <w:rFonts w:hint="eastAsia" w:eastAsia="仿宋_GB2312"/>
          <w:color w:val="auto"/>
          <w:lang w:val="en-US" w:eastAsia="zh-CN"/>
        </w:rPr>
        <w:t>模组</w:t>
      </w:r>
      <w:r>
        <w:rPr>
          <w:rFonts w:hint="default" w:eastAsia="仿宋_GB2312"/>
          <w:color w:val="auto"/>
          <w:lang w:val="en-US" w:eastAsia="zh-CN"/>
        </w:rPr>
        <w:t>规格</w:t>
      </w:r>
    </w:p>
    <w:p>
      <w:pPr>
        <w:pStyle w:val="7"/>
        <w:rPr>
          <w:rFonts w:hint="eastAsia" w:eastAsia="宋体"/>
          <w:lang w:eastAsia="zh-CN"/>
        </w:rPr>
      </w:pPr>
      <w:bookmarkStart w:id="113" w:name="bookmark55"/>
      <w:bookmarkEnd w:id="113"/>
      <w:bookmarkStart w:id="114" w:name="bookmark121"/>
      <w:bookmarkEnd w:id="114"/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17</w:t>
      </w:r>
      <w:r>
        <w:fldChar w:fldCharType="end"/>
      </w:r>
      <w:r>
        <w:rPr>
          <w:rFonts w:hint="eastAsia"/>
          <w:lang w:eastAsia="zh-CN"/>
        </w:rPr>
        <w:t xml:space="preserve"> 模组整机规格</w:t>
      </w:r>
    </w:p>
    <w:tbl>
      <w:tblPr>
        <w:tblStyle w:val="85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4"/>
        <w:gridCol w:w="6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35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模组</w:t>
            </w:r>
          </w:p>
        </w:tc>
        <w:tc>
          <w:tcPr>
            <w:tcW w:w="364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57" w:hRule="atLeast"/>
        </w:trPr>
        <w:tc>
          <w:tcPr>
            <w:tcW w:w="135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整机尺寸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长*宽*高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64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( 134.25±0.8) mm × (58.49±0.8) mm × (29.00±0.8) 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353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壳体尺寸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长*宽*高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646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( 124.60±0.8) mm × (58.40±0.8) mm × (29.00±0.8) mm</w:t>
            </w:r>
          </w:p>
        </w:tc>
      </w:tr>
    </w:tbl>
    <w:p>
      <w:pPr>
        <w:spacing w:line="138" w:lineRule="exact"/>
        <w:rPr>
          <w:color w:val="auto"/>
        </w:rPr>
      </w:pPr>
    </w:p>
    <w:p>
      <w:pPr>
        <w:spacing w:line="140" w:lineRule="exact"/>
        <w:rPr>
          <w:color w:val="auto"/>
        </w:rPr>
      </w:pPr>
      <w:bookmarkStart w:id="115" w:name="bookmark123"/>
      <w:bookmarkEnd w:id="115"/>
      <w:bookmarkStart w:id="116" w:name="bookmark122"/>
      <w:bookmarkEnd w:id="116"/>
      <w:bookmarkStart w:id="117" w:name="bookmark57"/>
      <w:bookmarkEnd w:id="117"/>
      <w:bookmarkStart w:id="118" w:name="bookmark58"/>
      <w:bookmarkEnd w:id="118"/>
    </w:p>
    <w:p>
      <w:pPr>
        <w:pStyle w:val="7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>-</w:t>
      </w:r>
      <w:r>
        <w:fldChar w:fldCharType="begin"/>
      </w:r>
      <w:r>
        <w:instrText xml:space="preserve"> SEQ 表 \* ARABIC \s 1 </w:instrText>
      </w:r>
      <w:r>
        <w:fldChar w:fldCharType="separate"/>
      </w:r>
      <w:r>
        <w:t>18</w:t>
      </w:r>
      <w:r>
        <w:fldChar w:fldCharType="end"/>
      </w:r>
      <w:r>
        <w:rPr>
          <w:rFonts w:hint="eastAsia"/>
          <w:lang w:eastAsia="zh-CN"/>
        </w:rPr>
        <w:t xml:space="preserve"> 模组PCBA规格</w:t>
      </w:r>
    </w:p>
    <w:tbl>
      <w:tblPr>
        <w:tblStyle w:val="8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5"/>
        <w:gridCol w:w="6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35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模组</w:t>
            </w:r>
          </w:p>
        </w:tc>
        <w:tc>
          <w:tcPr>
            <w:tcW w:w="364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35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PCBA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长*宽*高</w:t>
            </w: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64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( 130.55±0.5) mm × (58.56±0.5) mm × (20.83±0.5) 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35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PCB 厚度</w:t>
            </w:r>
          </w:p>
        </w:tc>
        <w:tc>
          <w:tcPr>
            <w:tcW w:w="364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1.6mm±0.1mm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35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连接器</w:t>
            </w:r>
          </w:p>
        </w:tc>
        <w:tc>
          <w:tcPr>
            <w:tcW w:w="364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 xml:space="preserve">2*3 pin 排针，间距 2.54mm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355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>连接器</w:t>
            </w:r>
          </w:p>
        </w:tc>
        <w:tc>
          <w:tcPr>
            <w:tcW w:w="3644" w:type="pct"/>
            <w:shd w:val="clear" w:color="auto" w:fill="auto"/>
            <w:vAlign w:val="center"/>
          </w:tcPr>
          <w:p>
            <w:pPr>
              <w:spacing w:before="92" w:line="231" w:lineRule="auto"/>
              <w:ind w:left="115"/>
              <w:jc w:val="both"/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</w:rPr>
              <w:t xml:space="preserve">2*4 pin 排针，间距 2.54mm </w:t>
            </w:r>
          </w:p>
        </w:tc>
      </w:tr>
    </w:tbl>
    <w:p>
      <w:pPr>
        <w:rPr>
          <w:rFonts w:hint="eastAsia" w:eastAsia="仿宋_GB2312" w:cs="仿宋_GB2312"/>
          <w:snapToGrid/>
          <w:color w:val="auto"/>
          <w:kern w:val="2"/>
          <w:lang w:val="en-US" w:eastAsia="zh-CN"/>
        </w:rPr>
      </w:pPr>
      <w:r>
        <w:rPr>
          <w:rFonts w:hint="eastAsia" w:eastAsia="仿宋_GB2312" w:cs="仿宋_GB2312"/>
          <w:snapToGrid/>
          <w:color w:val="auto"/>
          <w:kern w:val="2"/>
          <w:lang w:val="en-US" w:eastAsia="zh-CN"/>
        </w:rPr>
        <w:br w:type="page"/>
      </w:r>
    </w:p>
    <w:p>
      <w:pPr>
        <w:pStyle w:val="4"/>
        <w:numPr>
          <w:ilvl w:val="2"/>
          <w:numId w:val="3"/>
        </w:numPr>
        <w:tabs>
          <w:tab w:val="clear" w:pos="709"/>
        </w:tabs>
        <w:bidi w:val="0"/>
        <w:ind w:left="709" w:leftChars="0" w:hanging="709" w:firstLineChars="0"/>
        <w:rPr>
          <w:rFonts w:hint="eastAsia" w:eastAsia="仿宋_GB2312"/>
          <w:color w:val="auto"/>
          <w:lang w:val="en-US" w:eastAsia="zh-CN"/>
        </w:rPr>
      </w:pPr>
      <w:r>
        <w:rPr>
          <w:rFonts w:hint="eastAsia" w:eastAsia="仿宋_GB2312"/>
          <w:color w:val="auto"/>
          <w:lang w:val="en-US" w:eastAsia="zh-CN"/>
        </w:rPr>
        <w:t>结构尺寸</w:t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119" w:name="bookmark61"/>
      <w:bookmarkEnd w:id="119"/>
      <w:r>
        <w:rPr>
          <w:rFonts w:hint="eastAsia"/>
          <w:color w:val="auto"/>
          <w:lang w:val="en-US" w:eastAsia="zh-CN"/>
        </w:rPr>
        <w:t>连接器结构尺寸</w:t>
      </w:r>
    </w:p>
    <w:p>
      <w:pPr>
        <w:pStyle w:val="29"/>
        <w:ind w:firstLine="560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连接方式为2.54mm间距的DIP插针式。</w:t>
      </w:r>
      <w:bookmarkStart w:id="120" w:name="bookmark79"/>
      <w:bookmarkEnd w:id="120"/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插针结构尺寸如下图。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9" w:type="dxa"/>
          </w:tcPr>
          <w:p>
            <w:pPr>
              <w:pStyle w:val="29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color w:val="auto"/>
                <w:position w:val="-145"/>
              </w:rPr>
            </w:pPr>
            <w:r>
              <w:rPr>
                <w:color w:val="auto"/>
                <w:position w:val="-145"/>
              </w:rPr>
              <w:drawing>
                <wp:inline distT="0" distB="0" distL="0" distR="0">
                  <wp:extent cx="5316220" cy="6100445"/>
                  <wp:effectExtent l="0" t="0" r="5080" b="8255"/>
                  <wp:docPr id="1" name="IM 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 10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0" cy="61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rFonts w:hint="eastAsia" w:eastAsia="宋体"/>
                <w:color w:val="auto"/>
                <w:position w:val="-145"/>
                <w:lang w:val="en-US" w:eastAsia="zh-CN"/>
              </w:rPr>
            </w:pPr>
            <w:r>
              <w:t xml:space="preserve">图 </w:t>
            </w:r>
            <w:r>
              <w:fldChar w:fldCharType="begin"/>
            </w:r>
            <w:r>
              <w:instrText xml:space="preserve"> STYLEREF 1 \s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>-</w:t>
            </w:r>
            <w:r>
              <w:fldChar w:fldCharType="begin"/>
            </w:r>
            <w:r>
              <w:instrText xml:space="preserve"> SEQ 图 \* ARABIC \s 1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2*3PIN 连接器结构尺寸</w:t>
            </w:r>
          </w:p>
        </w:tc>
      </w:tr>
    </w:tbl>
    <w:p>
      <w:pP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bookmarkStart w:id="121" w:name="bookmark81"/>
      <w:bookmarkEnd w:id="121"/>
      <w:bookmarkStart w:id="122" w:name="bookmark82"/>
      <w:bookmarkEnd w:id="122"/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br w:type="page"/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9" w:type="dxa"/>
          </w:tcPr>
          <w:p>
            <w:pPr>
              <w:pStyle w:val="29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color w:val="auto"/>
                <w:position w:val="-157"/>
              </w:rPr>
            </w:pPr>
            <w:r>
              <w:rPr>
                <w:color w:val="auto"/>
                <w:position w:val="-157"/>
              </w:rPr>
              <w:drawing>
                <wp:inline distT="0" distB="0" distL="0" distR="0">
                  <wp:extent cx="5223510" cy="4834255"/>
                  <wp:effectExtent l="0" t="0" r="8890" b="4445"/>
                  <wp:docPr id="2" name="IM 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10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3510" cy="483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rFonts w:hint="eastAsia" w:eastAsia="宋体"/>
                <w:color w:val="auto"/>
                <w:position w:val="-157"/>
                <w:lang w:val="en-US" w:eastAsia="zh-CN"/>
              </w:rPr>
            </w:pPr>
            <w:r>
              <w:t xml:space="preserve">图 </w:t>
            </w:r>
            <w:r>
              <w:fldChar w:fldCharType="begin"/>
            </w:r>
            <w:r>
              <w:instrText xml:space="preserve"> STYLEREF 1 \s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>-</w:t>
            </w:r>
            <w:r>
              <w:fldChar w:fldCharType="begin"/>
            </w:r>
            <w:r>
              <w:instrText xml:space="preserve"> SEQ 图 \* ARABIC \s 1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 xml:space="preserve">  2*4 PIN 连接器结构尺寸</w:t>
            </w:r>
          </w:p>
        </w:tc>
      </w:tr>
    </w:tbl>
    <w:p>
      <w:pPr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br w:type="page"/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123" w:name="bookmark64"/>
      <w:bookmarkEnd w:id="123"/>
      <w:bookmarkStart w:id="124" w:name="bookmark86"/>
      <w:bookmarkEnd w:id="124"/>
      <w:bookmarkStart w:id="125" w:name="bookmark84"/>
      <w:bookmarkEnd w:id="125"/>
      <w:bookmarkStart w:id="126" w:name="bookmark63"/>
      <w:bookmarkEnd w:id="126"/>
      <w:r>
        <w:rPr>
          <w:rFonts w:hint="eastAsia"/>
          <w:color w:val="auto"/>
          <w:lang w:val="en-US" w:eastAsia="zh-CN"/>
        </w:rPr>
        <w:t>SMA 射频连接器结构尺寸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8" w:type="dxa"/>
          </w:tcPr>
          <w:p>
            <w:pPr>
              <w:pStyle w:val="29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color w:val="auto"/>
                <w:position w:val="-124"/>
              </w:rPr>
            </w:pPr>
            <w:bookmarkStart w:id="127" w:name="bookmark83"/>
            <w:bookmarkEnd w:id="127"/>
            <w:r>
              <w:rPr>
                <w:color w:val="auto"/>
                <w:position w:val="-124"/>
              </w:rPr>
              <w:drawing>
                <wp:inline distT="0" distB="0" distL="0" distR="0">
                  <wp:extent cx="5159375" cy="3493770"/>
                  <wp:effectExtent l="0" t="0" r="9525" b="11430"/>
                  <wp:docPr id="5" name="IM 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 10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375" cy="349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rFonts w:hint="eastAsia" w:eastAsia="宋体"/>
                <w:color w:val="auto"/>
                <w:position w:val="-124"/>
                <w:lang w:val="en-US" w:eastAsia="zh-CN"/>
              </w:rPr>
            </w:pPr>
            <w:r>
              <w:t xml:space="preserve">图 </w:t>
            </w:r>
            <w:r>
              <w:fldChar w:fldCharType="begin"/>
            </w:r>
            <w:r>
              <w:instrText xml:space="preserve"> STYLEREF 1 \s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>-</w:t>
            </w:r>
            <w:r>
              <w:fldChar w:fldCharType="begin"/>
            </w:r>
            <w:r>
              <w:instrText xml:space="preserve"> SEQ 图 \* ARABIC \s 1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 xml:space="preserve"> ANT1 射频连接器结构尺寸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8" w:type="dxa"/>
          </w:tcPr>
          <w:p>
            <w:pPr>
              <w:pStyle w:val="7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color w:val="auto"/>
                <w:position w:val="-92"/>
              </w:rPr>
            </w:pPr>
            <w:r>
              <w:rPr>
                <w:color w:val="auto"/>
                <w:position w:val="-92"/>
              </w:rPr>
              <w:drawing>
                <wp:inline distT="0" distB="0" distL="0" distR="0">
                  <wp:extent cx="5191125" cy="3592830"/>
                  <wp:effectExtent l="0" t="0" r="3175" b="1270"/>
                  <wp:docPr id="6" name="IM 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11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25" cy="359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adjustRightInd w:val="0"/>
              <w:spacing w:line="312" w:lineRule="atLeast"/>
              <w:textAlignment w:val="baseline"/>
              <w:rPr>
                <w:rFonts w:hint="eastAsia" w:eastAsia="宋体"/>
                <w:lang w:eastAsia="zh-CN"/>
              </w:rPr>
            </w:pPr>
            <w:r>
              <w:t xml:space="preserve">图 </w:t>
            </w:r>
            <w:r>
              <w:fldChar w:fldCharType="begin"/>
            </w:r>
            <w:r>
              <w:instrText xml:space="preserve"> STYLEREF 1 \s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>-</w:t>
            </w:r>
            <w:r>
              <w:fldChar w:fldCharType="begin"/>
            </w:r>
            <w:r>
              <w:instrText xml:space="preserve"> SEQ 图 \* ARABIC \s 1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 xml:space="preserve"> ANT2 射频连接器结构尺寸</w:t>
            </w:r>
          </w:p>
        </w:tc>
      </w:tr>
    </w:tbl>
    <w:p>
      <w:pP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bookmarkStart w:id="128" w:name="bookmark85"/>
      <w:bookmarkEnd w:id="128"/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br w:type="page"/>
      </w:r>
    </w:p>
    <w:p>
      <w:pPr>
        <w:pStyle w:val="5"/>
        <w:numPr>
          <w:ilvl w:val="3"/>
          <w:numId w:val="3"/>
        </w:numPr>
        <w:bidi w:val="0"/>
        <w:ind w:left="850" w:leftChars="0" w:hanging="850" w:firstLineChars="0"/>
        <w:rPr>
          <w:rFonts w:hint="eastAsia"/>
          <w:color w:val="auto"/>
          <w:lang w:val="en-US" w:eastAsia="zh-CN"/>
        </w:rPr>
      </w:pPr>
      <w:bookmarkStart w:id="129" w:name="bookmark66"/>
      <w:bookmarkEnd w:id="129"/>
      <w:bookmarkStart w:id="130" w:name="bookmark88"/>
      <w:bookmarkEnd w:id="130"/>
      <w:bookmarkStart w:id="131" w:name="bookmark65"/>
      <w:bookmarkEnd w:id="131"/>
      <w:r>
        <w:rPr>
          <w:rFonts w:hint="eastAsia"/>
          <w:color w:val="auto"/>
          <w:lang w:val="en-US" w:eastAsia="zh-CN"/>
        </w:rPr>
        <w:t>外形结构尺寸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8" w:type="dxa"/>
          </w:tcPr>
          <w:p>
            <w:pPr>
              <w:pStyle w:val="29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color w:val="auto"/>
                <w:position w:val="-164"/>
              </w:rPr>
            </w:pPr>
            <w:bookmarkStart w:id="132" w:name="bookmark87"/>
            <w:bookmarkEnd w:id="132"/>
            <w:r>
              <w:rPr>
                <w:color w:val="auto"/>
                <w:position w:val="-164"/>
              </w:rPr>
              <w:drawing>
                <wp:inline distT="0" distB="0" distL="0" distR="0">
                  <wp:extent cx="5285740" cy="5339715"/>
                  <wp:effectExtent l="0" t="0" r="10160" b="6985"/>
                  <wp:docPr id="7" name="IM 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 11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5740" cy="533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adjustRightInd w:val="0"/>
              <w:spacing w:line="312" w:lineRule="atLeast"/>
              <w:ind w:left="0" w:leftChars="0" w:firstLine="0" w:firstLineChars="0"/>
              <w:textAlignment w:val="baseline"/>
              <w:rPr>
                <w:rFonts w:hint="eastAsia" w:eastAsia="宋体"/>
                <w:color w:val="auto"/>
                <w:position w:val="-164"/>
                <w:lang w:val="en-US" w:eastAsia="zh-CN"/>
              </w:rPr>
            </w:pPr>
            <w:r>
              <w:t xml:space="preserve">图 </w:t>
            </w:r>
            <w:r>
              <w:fldChar w:fldCharType="begin"/>
            </w:r>
            <w:r>
              <w:instrText xml:space="preserve"> STYLEREF 1 \s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>-</w:t>
            </w:r>
            <w:r>
              <w:fldChar w:fldCharType="begin"/>
            </w:r>
            <w:r>
              <w:instrText xml:space="preserve"> SEQ 图 \* ARABIC \s 1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  <w:r>
              <w:rPr>
                <w:rFonts w:hint="eastAsia"/>
                <w:lang w:eastAsia="zh-CN"/>
              </w:rPr>
              <w:t xml:space="preserve"> 外形结构尺寸</w:t>
            </w:r>
          </w:p>
        </w:tc>
      </w:tr>
    </w:tbl>
    <w:p>
      <w:pPr>
        <w:rPr>
          <w:color w:val="auto"/>
        </w:rPr>
      </w:pPr>
    </w:p>
    <w:p>
      <w:pPr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br w:type="page"/>
      </w:r>
    </w:p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hint="eastAsia" w:ascii="仿宋_GB2312" w:hAnsi="仿宋_GB2312" w:eastAsia="仿宋_GB2312" w:cs="仿宋_GB2312"/>
          <w:color w:val="auto"/>
        </w:rPr>
      </w:pPr>
      <w:bookmarkStart w:id="133" w:name="_Toc27846"/>
      <w:bookmarkStart w:id="134" w:name="_Toc31205"/>
      <w:bookmarkStart w:id="135" w:name="_Toc25665"/>
      <w:bookmarkStart w:id="136" w:name="_Toc16164"/>
      <w:bookmarkStart w:id="137" w:name="_Toc26683"/>
      <w:bookmarkStart w:id="138" w:name="_Toc20909"/>
      <w:bookmarkStart w:id="139" w:name="_Toc4336"/>
      <w:bookmarkStart w:id="140" w:name="_Toc8518"/>
      <w:bookmarkStart w:id="141" w:name="_Toc7275"/>
      <w:bookmarkStart w:id="142" w:name="_Toc13048"/>
      <w:r>
        <w:rPr>
          <w:rFonts w:hint="eastAsia" w:ascii="仿宋_GB2312" w:hAnsi="仿宋_GB2312" w:eastAsia="仿宋_GB2312" w:cs="仿宋_GB2312"/>
          <w:color w:val="auto"/>
        </w:rPr>
        <w:t>质量及服务方式要求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bookmarkEnd w:id="142"/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143" w:name="_Toc300391308"/>
      <w:bookmarkStart w:id="144" w:name="_Toc282433763"/>
      <w:bookmarkStart w:id="145" w:name="_Toc13719"/>
      <w:bookmarkStart w:id="146" w:name="_Toc282993367"/>
      <w:bookmarkStart w:id="147" w:name="_Toc1305108599"/>
      <w:bookmarkStart w:id="148" w:name="_Toc14114"/>
      <w:bookmarkStart w:id="149" w:name="_Toc27754"/>
      <w:bookmarkStart w:id="150" w:name="_Toc4099"/>
      <w:bookmarkStart w:id="151" w:name="_Toc17591"/>
      <w:bookmarkStart w:id="152" w:name="_Toc5517"/>
      <w:bookmarkStart w:id="153" w:name="_Toc384341038"/>
      <w:bookmarkStart w:id="154" w:name="_Toc14542"/>
      <w:bookmarkStart w:id="155" w:name="_Toc15816"/>
      <w:bookmarkStart w:id="156" w:name="_Toc8632"/>
      <w:bookmarkStart w:id="157" w:name="_Toc28612"/>
      <w:bookmarkStart w:id="158" w:name="_Toc9600"/>
      <w:bookmarkStart w:id="159" w:name="_Toc26678"/>
      <w:bookmarkStart w:id="160" w:name="_Toc19595"/>
      <w:bookmarkStart w:id="161" w:name="_Toc9734"/>
      <w:r>
        <w:rPr>
          <w:rFonts w:hint="eastAsia" w:ascii="仿宋_GB2312" w:hAnsi="仿宋_GB2312" w:eastAsia="仿宋_GB2312" w:cs="仿宋_GB2312"/>
          <w:color w:val="auto"/>
        </w:rPr>
        <w:t>质量保证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（1）全部材料必须是全新的，持久耐用的。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2）响应方应对其整组设备在到货后提供不少于1年的“三包”质量保证。质保期之后如发生产品质量原因导致的损坏，响应方应免费更换或检修；如发生非产品质量原因导致的损坏，响应方应及时提供维修部件，并按最近的投标价提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（3）响应方应保证制造过程中的所有工艺、材料试验等（包括响应方的外购件在内）均应符合本规范的规定。若需根据运行经验指定响应方提供某种外购零部件，响应方应积极配合。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（4）附属及配套设备必须满足有关行业标准的要求，并提供试验报告和产品合格证。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（5）响应方应有遵守本标准中各条款和工作项目的ISO9000-GB/T19000质量保证体系， 该质量保证体系已经通过国家认证并在正常运转。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  <w:color w:val="auto"/>
        </w:rPr>
      </w:pPr>
      <w:bookmarkStart w:id="162" w:name="_Toc18534"/>
      <w:bookmarkStart w:id="163" w:name="_Toc17156"/>
      <w:bookmarkStart w:id="164" w:name="_Toc25845"/>
      <w:bookmarkStart w:id="165" w:name="_Toc4229"/>
      <w:bookmarkStart w:id="166" w:name="_Toc2090143106"/>
      <w:bookmarkStart w:id="167" w:name="_Toc11843"/>
      <w:bookmarkStart w:id="168" w:name="_Toc18393"/>
      <w:bookmarkStart w:id="169" w:name="_Toc562252935"/>
      <w:r>
        <w:rPr>
          <w:rFonts w:hint="eastAsia" w:ascii="仿宋_GB2312" w:hAnsi="仿宋_GB2312" w:eastAsia="仿宋_GB2312" w:cs="仿宋_GB2312"/>
          <w:color w:val="auto"/>
        </w:rPr>
        <w:t>售后服务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bookmarkStart w:id="170" w:name="_Hlk43711768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（1）材料的质保期不低于1年，质保期内供货商免费更换所有配件、耗材，并承担维护及通信费用，确保其产品能正常运行，质保期内更换的所有配件应重新计算质保期（不低于1年）</w:t>
      </w:r>
      <w:bookmarkEnd w:id="170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（2）响应方对售后服务的需求必须在24小时答复，在48小时内提供技术服务。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bookmarkStart w:id="171" w:name="_Hlk43711657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（3）响应方长期为采购方提供备件采购和供应服务。</w:t>
      </w:r>
    </w:p>
    <w:bookmarkEnd w:id="17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bookmarkStart w:id="172" w:name="_Hlk43711678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（4）软件系统必须能根据用户要求对软件功能进行修改</w:t>
      </w:r>
      <w:bookmarkEnd w:id="172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（5）响应方应保证所提供的所有材料都是全新的，未使用过的，且应按最佳方式进行设计和制造。采用的是优质材料和先进工艺，并在各方面符合合同规定的质量、规格和性能要求。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响应方应保证所供设备经过正确安装、正常操作和保养，在其寿命期内运行良好。</w:t>
      </w:r>
    </w:p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hint="eastAsia" w:ascii="仿宋_GB2312" w:hAnsi="仿宋_GB2312" w:eastAsia="仿宋_GB2312" w:cs="仿宋_GB2312"/>
          <w:color w:val="auto"/>
        </w:rPr>
      </w:pPr>
      <w:bookmarkStart w:id="173" w:name="_Toc14708"/>
      <w:r>
        <w:rPr>
          <w:rFonts w:hint="eastAsia" w:ascii="仿宋_GB2312" w:hAnsi="仿宋_GB2312" w:eastAsia="仿宋_GB2312" w:cs="仿宋_GB2312"/>
          <w:color w:val="auto"/>
        </w:rPr>
        <w:t>安全保密要求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73"/>
    </w:p>
    <w:p>
      <w:pPr>
        <w:pStyle w:val="3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default" w:ascii="仿宋_GB2312" w:hAnsi="仿宋_GB2312" w:eastAsia="仿宋_GB2312" w:cs="仿宋_GB2312"/>
          <w:color w:val="auto"/>
          <w:kern w:val="0"/>
          <w:sz w:val="28"/>
          <w:szCs w:val="28"/>
          <w:lang w:val="en-US" w:eastAsia="zh-CN" w:bidi="ar-SA"/>
        </w:rPr>
        <w:t>（1）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pStyle w:val="3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default" w:ascii="仿宋_GB2312" w:hAnsi="仿宋_GB2312" w:eastAsia="仿宋_GB2312" w:cs="仿宋_GB2312"/>
          <w:color w:val="auto"/>
          <w:kern w:val="0"/>
          <w:sz w:val="28"/>
          <w:szCs w:val="28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除非有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的书面许可，或该信息已被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认为不再是商业秘密，或已在社会上公开，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不得将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经营信息及商业秘密（包括生产管理的方式方法与资料、产品技术资料、客户名单、销售渠道企业战略及其他被认为是商业秘密的信息）对外透露。</w:t>
      </w:r>
    </w:p>
    <w:p>
      <w:pPr>
        <w:pStyle w:val="3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textAlignment w:val="auto"/>
        <w:rPr>
          <w:rFonts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default" w:ascii="仿宋_GB2312" w:hAnsi="仿宋_GB2312" w:eastAsia="仿宋_GB2312" w:cs="仿宋_GB2312"/>
          <w:color w:val="auto"/>
          <w:kern w:val="0"/>
          <w:sz w:val="28"/>
          <w:szCs w:val="28"/>
          <w:lang w:val="en-US" w:eastAsia="zh-CN" w:bidi="ar-SA"/>
        </w:rPr>
        <w:t>（3）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在现场服务过程中，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必须在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指定地点办公，并遵守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关于第三方人员管理规定要求；未经许可不得以任何方式对保密信息及工作成果进行复制、传播、泄漏、告知，不得将保密信息带离办公场所。</w:t>
      </w:r>
    </w:p>
    <w:p>
      <w:pPr>
        <w:pStyle w:val="3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textAlignment w:val="auto"/>
        <w:rPr>
          <w:color w:val="auto"/>
          <w:highlight w:val="yellow"/>
        </w:rPr>
      </w:pPr>
      <w:r>
        <w:rPr>
          <w:rFonts w:hint="default" w:ascii="Calibri" w:hAnsi="Calibri" w:eastAsia="宋体" w:cs="Times New Roman"/>
          <w:color w:val="auto"/>
          <w:kern w:val="0"/>
          <w:sz w:val="24"/>
          <w:szCs w:val="24"/>
          <w:lang w:val="en-US" w:eastAsia="zh-CN" w:bidi="ar-SA"/>
        </w:rPr>
        <w:t>（4）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无论何种原因导致合同解除或终止，本项目约定下的保密条款、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保密内容及相关的违约责任的约定仍然生效。保密期限为签订合同之后至永久，保密范围为项目所涉及的任</w:t>
      </w:r>
      <w:bookmarkEnd w:id="87"/>
      <w:bookmarkEnd w:id="88"/>
    </w:p>
    <w:sectPr>
      <w:footerReference r:id="rId4" w:type="default"/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r>
      <w:rPr>
        <w:rStyle w:val="24"/>
        <w:rFonts w:hint="eastAsia"/>
      </w:rPr>
      <w:t xml:space="preserve">－ </w:t>
    </w:r>
    <w:r>
      <w:fldChar w:fldCharType="begin"/>
    </w:r>
    <w:r>
      <w:rPr>
        <w:rStyle w:val="24"/>
      </w:rPr>
      <w:instrText xml:space="preserve"> PAGE </w:instrText>
    </w:r>
    <w:r>
      <w:fldChar w:fldCharType="separate"/>
    </w:r>
    <w:r>
      <w:rPr>
        <w:rStyle w:val="24"/>
      </w:rPr>
      <w:t>ii</w:t>
    </w:r>
    <w:r>
      <w:fldChar w:fldCharType="end"/>
    </w:r>
    <w:r>
      <w:rPr>
        <w:rStyle w:val="24"/>
        <w:rFonts w:hint="eastAsia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697EBD"/>
    <w:multiLevelType w:val="multilevel"/>
    <w:tmpl w:val="16697EBD"/>
    <w:lvl w:ilvl="0" w:tentative="0">
      <w:start w:val="1"/>
      <w:numFmt w:val="bullet"/>
      <w:pStyle w:val="38"/>
      <w:lvlText w:val=""/>
      <w:lvlJc w:val="left"/>
      <w:pPr>
        <w:tabs>
          <w:tab w:val="left" w:pos="1100"/>
        </w:tabs>
        <w:ind w:left="11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520"/>
        </w:tabs>
        <w:ind w:left="15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940"/>
        </w:tabs>
        <w:ind w:left="19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360"/>
        </w:tabs>
        <w:ind w:left="23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780"/>
        </w:tabs>
        <w:ind w:left="2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200"/>
        </w:tabs>
        <w:ind w:left="32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620"/>
        </w:tabs>
        <w:ind w:left="36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040"/>
        </w:tabs>
        <w:ind w:left="40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460"/>
        </w:tabs>
        <w:ind w:left="4460" w:hanging="420"/>
      </w:pPr>
      <w:rPr>
        <w:rFonts w:hint="default" w:ascii="Wingdings" w:hAnsi="Wingdings"/>
      </w:rPr>
    </w:lvl>
  </w:abstractNum>
  <w:abstractNum w:abstractNumId="1">
    <w:nsid w:val="1EC3F740"/>
    <w:multiLevelType w:val="singleLevel"/>
    <w:tmpl w:val="1EC3F7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756D29A0"/>
    <w:multiLevelType w:val="multilevel"/>
    <w:tmpl w:val="756D29A0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3">
    <w:nsid w:val="7849AC2B"/>
    <w:multiLevelType w:val="multilevel"/>
    <w:tmpl w:val="7849AC2B"/>
    <w:lvl w:ilvl="0" w:tentative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BjZWQzMjZmOTlmZWQ5ODEwNzMyMGQ2MDIzNzkzMDcifQ=="/>
    <w:docVar w:name="KSO_WPS_MARK_KEY" w:val="87fc8964-0406-455e-9405-2395e37a9a68"/>
  </w:docVars>
  <w:rsids>
    <w:rsidRoot w:val="456D62B9"/>
    <w:rsid w:val="00005A8A"/>
    <w:rsid w:val="000123AE"/>
    <w:rsid w:val="00033ABD"/>
    <w:rsid w:val="00055C21"/>
    <w:rsid w:val="00072C5B"/>
    <w:rsid w:val="000735C7"/>
    <w:rsid w:val="00094E44"/>
    <w:rsid w:val="000961C1"/>
    <w:rsid w:val="000B14FC"/>
    <w:rsid w:val="000C31EC"/>
    <w:rsid w:val="000D4458"/>
    <w:rsid w:val="000D47C1"/>
    <w:rsid w:val="000E2739"/>
    <w:rsid w:val="00106663"/>
    <w:rsid w:val="00130683"/>
    <w:rsid w:val="00133252"/>
    <w:rsid w:val="00164BD1"/>
    <w:rsid w:val="00173000"/>
    <w:rsid w:val="0019446B"/>
    <w:rsid w:val="001949BE"/>
    <w:rsid w:val="001A5A53"/>
    <w:rsid w:val="001D4D93"/>
    <w:rsid w:val="001E4DFB"/>
    <w:rsid w:val="001F7FBC"/>
    <w:rsid w:val="00204E4C"/>
    <w:rsid w:val="002061F2"/>
    <w:rsid w:val="002067F0"/>
    <w:rsid w:val="00216FE3"/>
    <w:rsid w:val="00223B3C"/>
    <w:rsid w:val="00225676"/>
    <w:rsid w:val="0024421E"/>
    <w:rsid w:val="00244CF8"/>
    <w:rsid w:val="0029664E"/>
    <w:rsid w:val="002A4980"/>
    <w:rsid w:val="002C7323"/>
    <w:rsid w:val="002E15F6"/>
    <w:rsid w:val="002E1BA3"/>
    <w:rsid w:val="002E78EE"/>
    <w:rsid w:val="00310712"/>
    <w:rsid w:val="0032512B"/>
    <w:rsid w:val="00352260"/>
    <w:rsid w:val="00366030"/>
    <w:rsid w:val="00385A09"/>
    <w:rsid w:val="00390D97"/>
    <w:rsid w:val="003A13EA"/>
    <w:rsid w:val="003C0801"/>
    <w:rsid w:val="003E44B6"/>
    <w:rsid w:val="00400914"/>
    <w:rsid w:val="0040796C"/>
    <w:rsid w:val="00414D66"/>
    <w:rsid w:val="00420C51"/>
    <w:rsid w:val="00422E4C"/>
    <w:rsid w:val="00452F1B"/>
    <w:rsid w:val="004541E8"/>
    <w:rsid w:val="004541FD"/>
    <w:rsid w:val="0047664C"/>
    <w:rsid w:val="004A1628"/>
    <w:rsid w:val="005036D7"/>
    <w:rsid w:val="005133BD"/>
    <w:rsid w:val="00516580"/>
    <w:rsid w:val="00541BF4"/>
    <w:rsid w:val="00541EB5"/>
    <w:rsid w:val="00544F80"/>
    <w:rsid w:val="00584528"/>
    <w:rsid w:val="00594805"/>
    <w:rsid w:val="00597976"/>
    <w:rsid w:val="005B21BF"/>
    <w:rsid w:val="005B5C79"/>
    <w:rsid w:val="005D1DB1"/>
    <w:rsid w:val="005F5E6C"/>
    <w:rsid w:val="006038B8"/>
    <w:rsid w:val="0061607E"/>
    <w:rsid w:val="0061653C"/>
    <w:rsid w:val="0061793A"/>
    <w:rsid w:val="00630921"/>
    <w:rsid w:val="00665CBA"/>
    <w:rsid w:val="00667464"/>
    <w:rsid w:val="00693139"/>
    <w:rsid w:val="006A0156"/>
    <w:rsid w:val="006D57E1"/>
    <w:rsid w:val="006F6029"/>
    <w:rsid w:val="0070062A"/>
    <w:rsid w:val="00701F2C"/>
    <w:rsid w:val="007372DD"/>
    <w:rsid w:val="00737A1D"/>
    <w:rsid w:val="007421EB"/>
    <w:rsid w:val="00754AF8"/>
    <w:rsid w:val="0077764E"/>
    <w:rsid w:val="00782BEB"/>
    <w:rsid w:val="007953D8"/>
    <w:rsid w:val="007B2E38"/>
    <w:rsid w:val="007B38A9"/>
    <w:rsid w:val="007B7CD8"/>
    <w:rsid w:val="007E652C"/>
    <w:rsid w:val="007F58BE"/>
    <w:rsid w:val="007F7619"/>
    <w:rsid w:val="00816591"/>
    <w:rsid w:val="00831371"/>
    <w:rsid w:val="00835F2F"/>
    <w:rsid w:val="0083616C"/>
    <w:rsid w:val="00836315"/>
    <w:rsid w:val="00844703"/>
    <w:rsid w:val="00853A08"/>
    <w:rsid w:val="008767C4"/>
    <w:rsid w:val="00890557"/>
    <w:rsid w:val="008912E3"/>
    <w:rsid w:val="008923E0"/>
    <w:rsid w:val="008A3217"/>
    <w:rsid w:val="008B7EC7"/>
    <w:rsid w:val="008C6FD8"/>
    <w:rsid w:val="008E537D"/>
    <w:rsid w:val="008E798D"/>
    <w:rsid w:val="00916D73"/>
    <w:rsid w:val="00942C42"/>
    <w:rsid w:val="009548BE"/>
    <w:rsid w:val="00972AEA"/>
    <w:rsid w:val="0097524E"/>
    <w:rsid w:val="00983FF9"/>
    <w:rsid w:val="00996B29"/>
    <w:rsid w:val="00996FC2"/>
    <w:rsid w:val="009A41A3"/>
    <w:rsid w:val="009E494A"/>
    <w:rsid w:val="009F46B0"/>
    <w:rsid w:val="009F6BAE"/>
    <w:rsid w:val="00A0352B"/>
    <w:rsid w:val="00A037E9"/>
    <w:rsid w:val="00A36A31"/>
    <w:rsid w:val="00A53633"/>
    <w:rsid w:val="00A72B98"/>
    <w:rsid w:val="00A73397"/>
    <w:rsid w:val="00AA38A0"/>
    <w:rsid w:val="00AC48ED"/>
    <w:rsid w:val="00AD25CE"/>
    <w:rsid w:val="00AE350D"/>
    <w:rsid w:val="00B05428"/>
    <w:rsid w:val="00B05A67"/>
    <w:rsid w:val="00B10480"/>
    <w:rsid w:val="00B3710E"/>
    <w:rsid w:val="00B37CCF"/>
    <w:rsid w:val="00B502BD"/>
    <w:rsid w:val="00B50F0E"/>
    <w:rsid w:val="00B5699D"/>
    <w:rsid w:val="00B70B16"/>
    <w:rsid w:val="00BE5668"/>
    <w:rsid w:val="00BE6DA4"/>
    <w:rsid w:val="00C01068"/>
    <w:rsid w:val="00C038DD"/>
    <w:rsid w:val="00C12671"/>
    <w:rsid w:val="00C15B98"/>
    <w:rsid w:val="00C15DAC"/>
    <w:rsid w:val="00C34C80"/>
    <w:rsid w:val="00C5147A"/>
    <w:rsid w:val="00C52A0B"/>
    <w:rsid w:val="00C54230"/>
    <w:rsid w:val="00C7020D"/>
    <w:rsid w:val="00C82EE5"/>
    <w:rsid w:val="00C9407C"/>
    <w:rsid w:val="00C97CDA"/>
    <w:rsid w:val="00CA294E"/>
    <w:rsid w:val="00CC4C2C"/>
    <w:rsid w:val="00CC7761"/>
    <w:rsid w:val="00D21C58"/>
    <w:rsid w:val="00D26936"/>
    <w:rsid w:val="00D3536A"/>
    <w:rsid w:val="00D36AA6"/>
    <w:rsid w:val="00D42EC8"/>
    <w:rsid w:val="00D52D7C"/>
    <w:rsid w:val="00D55BBB"/>
    <w:rsid w:val="00D9501F"/>
    <w:rsid w:val="00DA1C52"/>
    <w:rsid w:val="00DA2912"/>
    <w:rsid w:val="00DA754A"/>
    <w:rsid w:val="00DE4905"/>
    <w:rsid w:val="00E21278"/>
    <w:rsid w:val="00E24C4F"/>
    <w:rsid w:val="00E56475"/>
    <w:rsid w:val="00E711F3"/>
    <w:rsid w:val="00E7560B"/>
    <w:rsid w:val="00E968B5"/>
    <w:rsid w:val="00EB1AF1"/>
    <w:rsid w:val="00F1361E"/>
    <w:rsid w:val="00F1389C"/>
    <w:rsid w:val="00F173F7"/>
    <w:rsid w:val="00F451D8"/>
    <w:rsid w:val="00F5410D"/>
    <w:rsid w:val="00F57C18"/>
    <w:rsid w:val="00F86E72"/>
    <w:rsid w:val="00FA027D"/>
    <w:rsid w:val="00FA4D75"/>
    <w:rsid w:val="00FC4544"/>
    <w:rsid w:val="00FF2D9C"/>
    <w:rsid w:val="010772F7"/>
    <w:rsid w:val="02B8008B"/>
    <w:rsid w:val="0354310B"/>
    <w:rsid w:val="042A3E5C"/>
    <w:rsid w:val="04BD1B14"/>
    <w:rsid w:val="04E124AB"/>
    <w:rsid w:val="05432019"/>
    <w:rsid w:val="06F21498"/>
    <w:rsid w:val="082751D4"/>
    <w:rsid w:val="087C3598"/>
    <w:rsid w:val="08B01A1D"/>
    <w:rsid w:val="0958443C"/>
    <w:rsid w:val="096C7D03"/>
    <w:rsid w:val="09BB5848"/>
    <w:rsid w:val="0A0B6138"/>
    <w:rsid w:val="0A9A26C8"/>
    <w:rsid w:val="0B4E4CEF"/>
    <w:rsid w:val="0C6658D0"/>
    <w:rsid w:val="0D125AE7"/>
    <w:rsid w:val="0D4A5670"/>
    <w:rsid w:val="0D6B18C2"/>
    <w:rsid w:val="0D74306F"/>
    <w:rsid w:val="0DB64159"/>
    <w:rsid w:val="0DC34C5E"/>
    <w:rsid w:val="0DF72A95"/>
    <w:rsid w:val="0ED158DD"/>
    <w:rsid w:val="0F1409D8"/>
    <w:rsid w:val="0F1E5E95"/>
    <w:rsid w:val="0F427271"/>
    <w:rsid w:val="100449D5"/>
    <w:rsid w:val="10BE758F"/>
    <w:rsid w:val="10C92951"/>
    <w:rsid w:val="110C1E59"/>
    <w:rsid w:val="12ED5CBA"/>
    <w:rsid w:val="13BF7CAB"/>
    <w:rsid w:val="14237DFD"/>
    <w:rsid w:val="14CA1FE3"/>
    <w:rsid w:val="14CB6B69"/>
    <w:rsid w:val="1521478B"/>
    <w:rsid w:val="152570C3"/>
    <w:rsid w:val="158567D3"/>
    <w:rsid w:val="158F03A1"/>
    <w:rsid w:val="15B205FC"/>
    <w:rsid w:val="15D16CB3"/>
    <w:rsid w:val="15E6711C"/>
    <w:rsid w:val="162931E1"/>
    <w:rsid w:val="164041C8"/>
    <w:rsid w:val="172805BA"/>
    <w:rsid w:val="174E034E"/>
    <w:rsid w:val="17AF3275"/>
    <w:rsid w:val="18581279"/>
    <w:rsid w:val="191A24AF"/>
    <w:rsid w:val="19BE1623"/>
    <w:rsid w:val="1A24629B"/>
    <w:rsid w:val="1AB377E9"/>
    <w:rsid w:val="1AEE4DCF"/>
    <w:rsid w:val="1B522B5E"/>
    <w:rsid w:val="1B921DDF"/>
    <w:rsid w:val="1C1510C3"/>
    <w:rsid w:val="1C8200A2"/>
    <w:rsid w:val="1CAC629E"/>
    <w:rsid w:val="1DB573D4"/>
    <w:rsid w:val="1E943D94"/>
    <w:rsid w:val="1FE35702"/>
    <w:rsid w:val="1FF74F8E"/>
    <w:rsid w:val="20230F6D"/>
    <w:rsid w:val="20270A5D"/>
    <w:rsid w:val="20A17B17"/>
    <w:rsid w:val="226B0733"/>
    <w:rsid w:val="22C75BE0"/>
    <w:rsid w:val="23533577"/>
    <w:rsid w:val="23BA6527"/>
    <w:rsid w:val="24870F7D"/>
    <w:rsid w:val="24A216A6"/>
    <w:rsid w:val="24D64800"/>
    <w:rsid w:val="252D146A"/>
    <w:rsid w:val="26680D73"/>
    <w:rsid w:val="26A12BEB"/>
    <w:rsid w:val="26D71DA6"/>
    <w:rsid w:val="28162ADB"/>
    <w:rsid w:val="28255771"/>
    <w:rsid w:val="291122AA"/>
    <w:rsid w:val="29363ABF"/>
    <w:rsid w:val="298C64C9"/>
    <w:rsid w:val="2A565492"/>
    <w:rsid w:val="2A595CD0"/>
    <w:rsid w:val="2ADC7059"/>
    <w:rsid w:val="2B0943D0"/>
    <w:rsid w:val="2BCC3368"/>
    <w:rsid w:val="2CFD6DB2"/>
    <w:rsid w:val="2D734AAD"/>
    <w:rsid w:val="2D835999"/>
    <w:rsid w:val="2DAA19AE"/>
    <w:rsid w:val="2DC526CA"/>
    <w:rsid w:val="2DD47592"/>
    <w:rsid w:val="2DFE6E2A"/>
    <w:rsid w:val="2E2A33BD"/>
    <w:rsid w:val="2EA0524B"/>
    <w:rsid w:val="2F63179E"/>
    <w:rsid w:val="309E3B2D"/>
    <w:rsid w:val="31EA60C2"/>
    <w:rsid w:val="320428E3"/>
    <w:rsid w:val="32BB562C"/>
    <w:rsid w:val="32F045B9"/>
    <w:rsid w:val="33442501"/>
    <w:rsid w:val="346D303A"/>
    <w:rsid w:val="34924364"/>
    <w:rsid w:val="34D95509"/>
    <w:rsid w:val="35657300"/>
    <w:rsid w:val="356A38DC"/>
    <w:rsid w:val="3574562E"/>
    <w:rsid w:val="36794FEB"/>
    <w:rsid w:val="36851BE2"/>
    <w:rsid w:val="36B978CE"/>
    <w:rsid w:val="37060F75"/>
    <w:rsid w:val="377073F0"/>
    <w:rsid w:val="379D0908"/>
    <w:rsid w:val="37D01583"/>
    <w:rsid w:val="38731CBB"/>
    <w:rsid w:val="38D1447C"/>
    <w:rsid w:val="38E07A8A"/>
    <w:rsid w:val="390F49AC"/>
    <w:rsid w:val="393F076E"/>
    <w:rsid w:val="39D76559"/>
    <w:rsid w:val="39D82007"/>
    <w:rsid w:val="3A3F685E"/>
    <w:rsid w:val="3A426F31"/>
    <w:rsid w:val="3A8A44E7"/>
    <w:rsid w:val="3AA500BA"/>
    <w:rsid w:val="3BAC7C11"/>
    <w:rsid w:val="3C2361E5"/>
    <w:rsid w:val="3D5D6B10"/>
    <w:rsid w:val="3D7572F7"/>
    <w:rsid w:val="3D76438A"/>
    <w:rsid w:val="3D8A3D56"/>
    <w:rsid w:val="3F980E7B"/>
    <w:rsid w:val="41AF2209"/>
    <w:rsid w:val="4249761C"/>
    <w:rsid w:val="42C6203C"/>
    <w:rsid w:val="42CB4E20"/>
    <w:rsid w:val="442C49D8"/>
    <w:rsid w:val="44435EE1"/>
    <w:rsid w:val="44935E12"/>
    <w:rsid w:val="44B51143"/>
    <w:rsid w:val="44ED5522"/>
    <w:rsid w:val="456D62B9"/>
    <w:rsid w:val="45F42696"/>
    <w:rsid w:val="46024B08"/>
    <w:rsid w:val="46E16A5F"/>
    <w:rsid w:val="474D5189"/>
    <w:rsid w:val="47D1799B"/>
    <w:rsid w:val="47D84D6D"/>
    <w:rsid w:val="4839282C"/>
    <w:rsid w:val="484B6BDE"/>
    <w:rsid w:val="48E334ED"/>
    <w:rsid w:val="48F23F69"/>
    <w:rsid w:val="48F25AD5"/>
    <w:rsid w:val="49F21C2A"/>
    <w:rsid w:val="4A1878A4"/>
    <w:rsid w:val="4B046389"/>
    <w:rsid w:val="4CC476A2"/>
    <w:rsid w:val="4E56172D"/>
    <w:rsid w:val="4E885416"/>
    <w:rsid w:val="50165DB1"/>
    <w:rsid w:val="50E41142"/>
    <w:rsid w:val="51671B48"/>
    <w:rsid w:val="51C5229D"/>
    <w:rsid w:val="52727FF2"/>
    <w:rsid w:val="52A30966"/>
    <w:rsid w:val="53166F93"/>
    <w:rsid w:val="5335540B"/>
    <w:rsid w:val="53626C1B"/>
    <w:rsid w:val="53722A3B"/>
    <w:rsid w:val="547A1194"/>
    <w:rsid w:val="54CF47EF"/>
    <w:rsid w:val="55356B71"/>
    <w:rsid w:val="55410DBD"/>
    <w:rsid w:val="557C0232"/>
    <w:rsid w:val="56DB7DAA"/>
    <w:rsid w:val="5762751C"/>
    <w:rsid w:val="58403763"/>
    <w:rsid w:val="58BD2E7F"/>
    <w:rsid w:val="58CC22D2"/>
    <w:rsid w:val="59B70513"/>
    <w:rsid w:val="59D10B16"/>
    <w:rsid w:val="59FA6402"/>
    <w:rsid w:val="5A5A0BD4"/>
    <w:rsid w:val="5A84202D"/>
    <w:rsid w:val="5B254768"/>
    <w:rsid w:val="5B921C31"/>
    <w:rsid w:val="5B940ED8"/>
    <w:rsid w:val="5BBB41A2"/>
    <w:rsid w:val="5C0D5892"/>
    <w:rsid w:val="5C8265BF"/>
    <w:rsid w:val="5CDC6150"/>
    <w:rsid w:val="5D42520B"/>
    <w:rsid w:val="5D5C2DED"/>
    <w:rsid w:val="5DEB784E"/>
    <w:rsid w:val="5E15676A"/>
    <w:rsid w:val="5E5B674D"/>
    <w:rsid w:val="5EC81B1E"/>
    <w:rsid w:val="5F0C485E"/>
    <w:rsid w:val="602C4AE6"/>
    <w:rsid w:val="60D111EA"/>
    <w:rsid w:val="60D27197"/>
    <w:rsid w:val="613B7E7B"/>
    <w:rsid w:val="61500EBB"/>
    <w:rsid w:val="61783CF3"/>
    <w:rsid w:val="619F14FA"/>
    <w:rsid w:val="62F403F2"/>
    <w:rsid w:val="63251B06"/>
    <w:rsid w:val="634F67C7"/>
    <w:rsid w:val="637202DD"/>
    <w:rsid w:val="637879A9"/>
    <w:rsid w:val="63827325"/>
    <w:rsid w:val="63C52215"/>
    <w:rsid w:val="640C53CD"/>
    <w:rsid w:val="643340F4"/>
    <w:rsid w:val="647311B7"/>
    <w:rsid w:val="64AC0143"/>
    <w:rsid w:val="64E70B07"/>
    <w:rsid w:val="652A557F"/>
    <w:rsid w:val="66C157CB"/>
    <w:rsid w:val="66D72ADD"/>
    <w:rsid w:val="67D143D7"/>
    <w:rsid w:val="68630D54"/>
    <w:rsid w:val="68891926"/>
    <w:rsid w:val="688B5A21"/>
    <w:rsid w:val="69054339"/>
    <w:rsid w:val="692A10E8"/>
    <w:rsid w:val="69913E1E"/>
    <w:rsid w:val="69A7544A"/>
    <w:rsid w:val="69C77840"/>
    <w:rsid w:val="6A4D41E9"/>
    <w:rsid w:val="6A89136D"/>
    <w:rsid w:val="6B1B763B"/>
    <w:rsid w:val="6C520910"/>
    <w:rsid w:val="6CF43042"/>
    <w:rsid w:val="6CF531B5"/>
    <w:rsid w:val="6D8C078C"/>
    <w:rsid w:val="6DC5678C"/>
    <w:rsid w:val="6EA95FE7"/>
    <w:rsid w:val="6EFF1435"/>
    <w:rsid w:val="6F3C482C"/>
    <w:rsid w:val="6F6A3DB6"/>
    <w:rsid w:val="6FD068F0"/>
    <w:rsid w:val="70330C01"/>
    <w:rsid w:val="70671E2E"/>
    <w:rsid w:val="708E5C9B"/>
    <w:rsid w:val="70C475F5"/>
    <w:rsid w:val="70E30E24"/>
    <w:rsid w:val="70EB579D"/>
    <w:rsid w:val="716825B6"/>
    <w:rsid w:val="71793919"/>
    <w:rsid w:val="71866233"/>
    <w:rsid w:val="722B37CE"/>
    <w:rsid w:val="724C7047"/>
    <w:rsid w:val="72BD3ED6"/>
    <w:rsid w:val="7372099F"/>
    <w:rsid w:val="737B2D9A"/>
    <w:rsid w:val="74791999"/>
    <w:rsid w:val="74F3598D"/>
    <w:rsid w:val="75170442"/>
    <w:rsid w:val="75295853"/>
    <w:rsid w:val="75531568"/>
    <w:rsid w:val="76746552"/>
    <w:rsid w:val="769B34C2"/>
    <w:rsid w:val="76AB6FB1"/>
    <w:rsid w:val="76E75929"/>
    <w:rsid w:val="773526DE"/>
    <w:rsid w:val="775545EE"/>
    <w:rsid w:val="77B70EF4"/>
    <w:rsid w:val="790A1A19"/>
    <w:rsid w:val="794E7636"/>
    <w:rsid w:val="79780A9A"/>
    <w:rsid w:val="79AE4579"/>
    <w:rsid w:val="79B643EB"/>
    <w:rsid w:val="7A7B26AD"/>
    <w:rsid w:val="7B7E6F57"/>
    <w:rsid w:val="7CD52A5E"/>
    <w:rsid w:val="7D5B41D7"/>
    <w:rsid w:val="7FA25EF6"/>
    <w:rsid w:val="7FE4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567"/>
      </w:tabs>
      <w:spacing w:before="240" w:after="240" w:line="360" w:lineRule="auto"/>
      <w:outlineLvl w:val="0"/>
    </w:pPr>
    <w:rPr>
      <w:rFonts w:ascii="仿宋_GB2312" w:hAnsi="仿宋_GB2312" w:eastAsia="仿宋"/>
      <w:b/>
      <w:kern w:val="44"/>
      <w:sz w:val="32"/>
      <w:szCs w:val="28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仿宋_GB2312" w:eastAsia="仿宋_GB2312"/>
      <w:b/>
      <w:bCs/>
      <w:sz w:val="30"/>
      <w:szCs w:val="28"/>
    </w:rPr>
  </w:style>
  <w:style w:type="paragraph" w:styleId="4">
    <w:name w:val="heading 3"/>
    <w:basedOn w:val="1"/>
    <w:next w:val="1"/>
    <w:link w:val="36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28"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"/>
      <w:sz w:val="28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7">
    <w:name w:val="caption"/>
    <w:basedOn w:val="1"/>
    <w:next w:val="1"/>
    <w:qFormat/>
    <w:uiPriority w:val="0"/>
    <w:pPr>
      <w:widowControl w:val="0"/>
      <w:spacing w:before="152" w:after="160"/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styleId="8">
    <w:name w:val="annotation text"/>
    <w:basedOn w:val="1"/>
    <w:link w:val="42"/>
    <w:qFormat/>
    <w:uiPriority w:val="0"/>
    <w:pPr>
      <w:jc w:val="left"/>
    </w:pPr>
  </w:style>
  <w:style w:type="paragraph" w:styleId="9">
    <w:name w:val="Body Text"/>
    <w:basedOn w:val="1"/>
    <w:link w:val="46"/>
    <w:qFormat/>
    <w:uiPriority w:val="99"/>
    <w:pPr>
      <w:spacing w:after="120"/>
      <w:ind w:firstLine="200" w:firstLineChars="200"/>
    </w:pPr>
    <w:rPr>
      <w:sz w:val="24"/>
    </w:rPr>
  </w:style>
  <w:style w:type="paragraph" w:styleId="10">
    <w:name w:val="Plain Text"/>
    <w:basedOn w:val="1"/>
    <w:link w:val="45"/>
    <w:qFormat/>
    <w:uiPriority w:val="0"/>
    <w:pPr>
      <w:ind w:firstLine="200" w:firstLineChars="200"/>
    </w:pPr>
    <w:rPr>
      <w:rFonts w:ascii="宋体" w:hAnsi="Courier New"/>
      <w:sz w:val="24"/>
    </w:rPr>
  </w:style>
  <w:style w:type="paragraph" w:styleId="11">
    <w:name w:val="Balloon Text"/>
    <w:basedOn w:val="1"/>
    <w:link w:val="44"/>
    <w:qFormat/>
    <w:uiPriority w:val="0"/>
    <w:rPr>
      <w:sz w:val="18"/>
      <w:szCs w:val="18"/>
    </w:rPr>
  </w:style>
  <w:style w:type="paragraph" w:styleId="1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39"/>
  </w:style>
  <w:style w:type="paragraph" w:styleId="15">
    <w:name w:val="toc 2"/>
    <w:basedOn w:val="1"/>
    <w:next w:val="1"/>
    <w:qFormat/>
    <w:uiPriority w:val="39"/>
    <w:pPr>
      <w:ind w:left="420" w:leftChars="200"/>
    </w:pPr>
  </w:style>
  <w:style w:type="paragraph" w:styleId="1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仿宋"/>
      <w:b/>
      <w:sz w:val="32"/>
    </w:rPr>
  </w:style>
  <w:style w:type="paragraph" w:styleId="18">
    <w:name w:val="annotation subject"/>
    <w:basedOn w:val="8"/>
    <w:next w:val="8"/>
    <w:link w:val="43"/>
    <w:qFormat/>
    <w:uiPriority w:val="0"/>
    <w:rPr>
      <w:b/>
      <w:bCs/>
    </w:rPr>
  </w:style>
  <w:style w:type="paragraph" w:styleId="19">
    <w:name w:val="Body Text First Indent"/>
    <w:basedOn w:val="9"/>
    <w:qFormat/>
    <w:uiPriority w:val="0"/>
    <w:pPr>
      <w:adjustRightInd w:val="0"/>
      <w:spacing w:line="312" w:lineRule="atLeast"/>
      <w:ind w:firstLine="420" w:firstLineChars="100"/>
      <w:textAlignment w:val="baseline"/>
    </w:pPr>
    <w:rPr>
      <w:kern w:val="0"/>
      <w:sz w:val="21"/>
    </w:rPr>
  </w:style>
  <w:style w:type="table" w:styleId="21">
    <w:name w:val="Table Grid"/>
    <w:basedOn w:val="20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Strong"/>
    <w:basedOn w:val="22"/>
    <w:qFormat/>
    <w:uiPriority w:val="0"/>
    <w:rPr>
      <w:b/>
    </w:rPr>
  </w:style>
  <w:style w:type="character" w:styleId="24">
    <w:name w:val="page number"/>
    <w:basedOn w:val="22"/>
    <w:qFormat/>
    <w:uiPriority w:val="0"/>
  </w:style>
  <w:style w:type="character" w:styleId="25">
    <w:name w:val="FollowedHyperlink"/>
    <w:basedOn w:val="22"/>
    <w:unhideWhenUsed/>
    <w:qFormat/>
    <w:uiPriority w:val="99"/>
    <w:rPr>
      <w:color w:val="954F72"/>
      <w:u w:val="single"/>
    </w:rPr>
  </w:style>
  <w:style w:type="character" w:styleId="26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2"/>
    <w:qFormat/>
    <w:uiPriority w:val="0"/>
    <w:rPr>
      <w:sz w:val="21"/>
      <w:szCs w:val="21"/>
    </w:rPr>
  </w:style>
  <w:style w:type="paragraph" w:customStyle="1" w:styleId="2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29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30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3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33">
    <w:name w:val="GEDI正文(无编号)"/>
    <w:basedOn w:val="1"/>
    <w:qFormat/>
    <w:uiPriority w:val="0"/>
    <w:pPr>
      <w:adjustRightInd w:val="0"/>
      <w:snapToGrid w:val="0"/>
      <w:ind w:left="420"/>
    </w:pPr>
    <w:rPr>
      <w:rFonts w:hAnsi="宋体"/>
      <w:szCs w:val="20"/>
    </w:rPr>
  </w:style>
  <w:style w:type="paragraph" w:styleId="34">
    <w:name w:val="List Paragraph"/>
    <w:basedOn w:val="1"/>
    <w:link w:val="37"/>
    <w:qFormat/>
    <w:uiPriority w:val="34"/>
    <w:pPr>
      <w:ind w:firstLine="420" w:firstLineChars="200"/>
    </w:pPr>
  </w:style>
  <w:style w:type="paragraph" w:customStyle="1" w:styleId="35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character" w:customStyle="1" w:styleId="36">
    <w:name w:val="标题 3 字符"/>
    <w:basedOn w:val="22"/>
    <w:link w:val="4"/>
    <w:qFormat/>
    <w:uiPriority w:val="0"/>
    <w:rPr>
      <w:rFonts w:ascii="仿宋" w:hAnsi="仿宋" w:eastAsia="仿宋_GB2312"/>
      <w:b/>
      <w:bCs/>
      <w:kern w:val="2"/>
      <w:sz w:val="28"/>
      <w:szCs w:val="32"/>
    </w:rPr>
  </w:style>
  <w:style w:type="character" w:customStyle="1" w:styleId="37">
    <w:name w:val="列表段落 字符"/>
    <w:link w:val="34"/>
    <w:qFormat/>
    <w:uiPriority w:val="34"/>
    <w:rPr>
      <w:kern w:val="2"/>
      <w:sz w:val="21"/>
      <w:szCs w:val="24"/>
    </w:rPr>
  </w:style>
  <w:style w:type="paragraph" w:customStyle="1" w:styleId="38">
    <w:name w:val="列表符号项目级别1"/>
    <w:basedOn w:val="1"/>
    <w:link w:val="39"/>
    <w:qFormat/>
    <w:uiPriority w:val="0"/>
    <w:pPr>
      <w:widowControl/>
      <w:numPr>
        <w:ilvl w:val="0"/>
        <w:numId w:val="2"/>
      </w:numPr>
      <w:spacing w:line="360" w:lineRule="auto"/>
    </w:pPr>
    <w:rPr>
      <w:rFonts w:ascii="Arial" w:hAnsi="Arial"/>
      <w:kern w:val="0"/>
      <w:sz w:val="24"/>
    </w:rPr>
  </w:style>
  <w:style w:type="character" w:customStyle="1" w:styleId="39">
    <w:name w:val="列表符号项目级别1 Char"/>
    <w:basedOn w:val="22"/>
    <w:link w:val="38"/>
    <w:qFormat/>
    <w:uiPriority w:val="0"/>
    <w:rPr>
      <w:rFonts w:ascii="Arial" w:hAnsi="Arial"/>
      <w:sz w:val="24"/>
      <w:szCs w:val="24"/>
    </w:rPr>
  </w:style>
  <w:style w:type="paragraph" w:customStyle="1" w:styleId="40">
    <w:name w:val="样式 正文缩进 + 首行缩进:  2 字符"/>
    <w:basedOn w:val="1"/>
    <w:link w:val="41"/>
    <w:qFormat/>
    <w:uiPriority w:val="0"/>
    <w:pPr>
      <w:widowControl/>
      <w:spacing w:line="360" w:lineRule="auto"/>
      <w:ind w:firstLine="200" w:firstLineChars="200"/>
    </w:pPr>
    <w:rPr>
      <w:rFonts w:ascii="Arial" w:hAnsi="Arial" w:cs="宋体"/>
      <w:kern w:val="0"/>
      <w:sz w:val="24"/>
      <w:szCs w:val="20"/>
    </w:rPr>
  </w:style>
  <w:style w:type="character" w:customStyle="1" w:styleId="41">
    <w:name w:val="样式 正文缩进 + 首行缩进:  2 字符 Char"/>
    <w:basedOn w:val="22"/>
    <w:link w:val="40"/>
    <w:qFormat/>
    <w:uiPriority w:val="0"/>
    <w:rPr>
      <w:rFonts w:ascii="Arial" w:hAnsi="Arial" w:cs="宋体"/>
      <w:sz w:val="24"/>
    </w:rPr>
  </w:style>
  <w:style w:type="character" w:customStyle="1" w:styleId="42">
    <w:name w:val="批注文字 字符"/>
    <w:basedOn w:val="22"/>
    <w:link w:val="8"/>
    <w:qFormat/>
    <w:uiPriority w:val="0"/>
    <w:rPr>
      <w:kern w:val="2"/>
      <w:sz w:val="21"/>
      <w:szCs w:val="24"/>
    </w:rPr>
  </w:style>
  <w:style w:type="character" w:customStyle="1" w:styleId="43">
    <w:name w:val="批注主题 字符"/>
    <w:basedOn w:val="42"/>
    <w:link w:val="18"/>
    <w:qFormat/>
    <w:uiPriority w:val="0"/>
    <w:rPr>
      <w:b/>
      <w:bCs/>
      <w:kern w:val="2"/>
      <w:sz w:val="21"/>
      <w:szCs w:val="24"/>
    </w:rPr>
  </w:style>
  <w:style w:type="character" w:customStyle="1" w:styleId="44">
    <w:name w:val="批注框文本 字符"/>
    <w:basedOn w:val="22"/>
    <w:link w:val="11"/>
    <w:qFormat/>
    <w:uiPriority w:val="0"/>
    <w:rPr>
      <w:kern w:val="2"/>
      <w:sz w:val="18"/>
      <w:szCs w:val="18"/>
    </w:rPr>
  </w:style>
  <w:style w:type="character" w:customStyle="1" w:styleId="45">
    <w:name w:val="纯文本 字符"/>
    <w:basedOn w:val="22"/>
    <w:link w:val="10"/>
    <w:qFormat/>
    <w:uiPriority w:val="0"/>
    <w:rPr>
      <w:rFonts w:ascii="宋体" w:hAnsi="Courier New"/>
      <w:kern w:val="2"/>
      <w:sz w:val="24"/>
      <w:szCs w:val="24"/>
    </w:rPr>
  </w:style>
  <w:style w:type="character" w:customStyle="1" w:styleId="46">
    <w:name w:val="正文文本 字符"/>
    <w:basedOn w:val="22"/>
    <w:link w:val="9"/>
    <w:qFormat/>
    <w:uiPriority w:val="99"/>
    <w:rPr>
      <w:kern w:val="2"/>
      <w:sz w:val="24"/>
      <w:szCs w:val="24"/>
    </w:rPr>
  </w:style>
  <w:style w:type="paragraph" w:customStyle="1" w:styleId="47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49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color w:val="000000"/>
      <w:kern w:val="0"/>
      <w:szCs w:val="21"/>
    </w:rPr>
  </w:style>
  <w:style w:type="paragraph" w:customStyle="1" w:styleId="50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1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6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7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8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1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2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3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4">
    <w:name w:val="xl79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5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6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7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9">
    <w:name w:val="xl8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0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1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3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32"/>
      <w:szCs w:val="32"/>
    </w:rPr>
  </w:style>
  <w:style w:type="paragraph" w:customStyle="1" w:styleId="75">
    <w:name w:val="xl90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6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7">
    <w:name w:val="xl9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8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9">
    <w:name w:val="xl94"/>
    <w:basedOn w:val="1"/>
    <w:qFormat/>
    <w:uiPriority w:val="0"/>
    <w:pPr>
      <w:widowControl/>
      <w:pBdr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80">
    <w:name w:val="正文首行缩进 21"/>
    <w:basedOn w:val="1"/>
    <w:qFormat/>
    <w:uiPriority w:val="0"/>
    <w:pPr>
      <w:spacing w:before="62" w:after="62"/>
      <w:ind w:firstLine="420"/>
    </w:pPr>
  </w:style>
  <w:style w:type="character" w:customStyle="1" w:styleId="81">
    <w:name w:val="time"/>
    <w:qFormat/>
    <w:uiPriority w:val="0"/>
  </w:style>
  <w:style w:type="paragraph" w:customStyle="1" w:styleId="82">
    <w:name w:val="表头"/>
    <w:qFormat/>
    <w:uiPriority w:val="0"/>
    <w:pPr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customStyle="1" w:styleId="83">
    <w:name w:val="表文字"/>
    <w:qFormat/>
    <w:uiPriority w:val="0"/>
    <w:pPr>
      <w:widowControl w:val="0"/>
      <w:jc w:val="center"/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paragraph" w:customStyle="1" w:styleId="84">
    <w:name w:val="注"/>
    <w:qFormat/>
    <w:uiPriority w:val="0"/>
    <w:pPr>
      <w:ind w:firstLine="420"/>
    </w:pPr>
    <w:rPr>
      <w:rFonts w:ascii="Times New Roman" w:hAnsi="Times New Roman" w:eastAsia="楷体_GB2312" w:cs="Times New Roman"/>
      <w:kern w:val="2"/>
      <w:sz w:val="18"/>
      <w:szCs w:val="18"/>
      <w:lang w:val="en-US" w:eastAsia="zh-CN" w:bidi="ar-SA"/>
    </w:rPr>
  </w:style>
  <w:style w:type="table" w:customStyle="1" w:styleId="8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6">
    <w:name w:val="Table Text"/>
    <w:basedOn w:val="1"/>
    <w:semiHidden/>
    <w:qFormat/>
    <w:uiPriority w:val="0"/>
    <w:rPr>
      <w:rFonts w:ascii="Arial" w:hAnsi="Arial" w:eastAsia="Arial" w:cs="Arial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4058</Words>
  <Characters>6319</Characters>
  <Lines>86</Lines>
  <Paragraphs>24</Paragraphs>
  <TotalTime>5</TotalTime>
  <ScaleCrop>false</ScaleCrop>
  <LinksUpToDate>false</LinksUpToDate>
  <CharactersWithSpaces>6813</CharactersWithSpaces>
  <Application>WPS Office_11.1.0.15309_F1E327BC-269C-435d-A152-05C5408002CA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2023-03-07T21:48:00Z</dcterms:created>
  <dc:creator>七月</dc:creator>
  <cp:lastModifiedBy>yxz</cp:lastModifiedBy>
  <dcterms:modified xsi:type="dcterms:W3CDTF">2024-09-09T03:44:48Z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2052-11.1.0.15309</vt:lpwstr>
  </property>
  <property fmtid="{D5CDD505-2E9C-101B-9397-08002B2CF9AE}" pid="3" name="ICV">
    <vt:lpwstr>105DDA0F8F3E432EAE3184A90F82CE43</vt:lpwstr>
  </property>
</Properties>
</file>