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ind w:left="0" w:right="0" w:firstLine="0"/>
        <w:jc w:val="center"/>
        <w:rPr>
          <w:rFonts w:ascii="Times New Roman" w:hAnsi="Times New Roman" w:eastAsia="Times New Roman" w:cs="Times New Roman"/>
          <w:b/>
          <w:color w:val="auto"/>
          <w:spacing w:val="0"/>
          <w:position w:val="0"/>
          <w:sz w:val="28"/>
          <w:shd w:val="clear" w:fill="auto"/>
        </w:rPr>
      </w:pPr>
      <w:r>
        <w:rPr>
          <w:rFonts w:hint="eastAsia" w:ascii="宋体" w:hAnsi="宋体" w:eastAsia="宋体" w:cs="宋体"/>
          <w:b/>
          <w:color w:val="auto"/>
          <w:spacing w:val="0"/>
          <w:position w:val="0"/>
          <w:sz w:val="28"/>
          <w:shd w:val="clear" w:fill="auto"/>
          <w:lang w:val="en-US" w:eastAsia="zh-CN"/>
        </w:rPr>
        <w:t>2024年云南十里阳光发展有限公司餐饮部厨房抽排油烟管道清洗采购（零星采购）</w:t>
      </w:r>
      <w:r>
        <w:rPr>
          <w:rFonts w:ascii="宋体" w:hAnsi="宋体" w:eastAsia="宋体" w:cs="宋体"/>
          <w:b/>
          <w:color w:val="auto"/>
          <w:spacing w:val="0"/>
          <w:position w:val="0"/>
          <w:sz w:val="28"/>
          <w:shd w:val="clear" w:fill="auto"/>
        </w:rPr>
        <w:t>项目技术规范书</w:t>
      </w: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一.项目概要</w:t>
      </w:r>
    </w:p>
    <w:p>
      <w:pPr>
        <w:spacing w:before="0" w:after="0" w:line="360" w:lineRule="auto"/>
        <w:ind w:left="0" w:right="0" w:firstLine="420" w:firstLineChars="200"/>
        <w:jc w:val="left"/>
        <w:rPr>
          <w:rFonts w:hint="default" w:ascii="仿宋" w:hAnsi="仿宋" w:eastAsia="仿宋" w:cs="仿宋"/>
          <w:color w:val="auto"/>
          <w:spacing w:val="0"/>
          <w:position w:val="0"/>
          <w:sz w:val="21"/>
          <w:shd w:val="clear" w:fill="auto"/>
          <w:lang w:val="en-US"/>
        </w:rPr>
      </w:pPr>
      <w:r>
        <w:rPr>
          <w:rFonts w:hint="eastAsia" w:ascii="仿宋" w:hAnsi="仿宋" w:eastAsia="仿宋" w:cs="仿宋"/>
          <w:color w:val="auto"/>
          <w:spacing w:val="0"/>
          <w:position w:val="0"/>
          <w:sz w:val="21"/>
          <w:shd w:val="clear" w:fill="auto"/>
          <w:lang w:val="en-US" w:eastAsia="zh-CN"/>
        </w:rPr>
        <w:t>云南十里阳光发展有限公司（以下简称：“公司”</w:t>
      </w:r>
      <w:r>
        <w:rPr>
          <w:rFonts w:hint="eastAsia" w:ascii="仿宋" w:hAnsi="仿宋" w:eastAsia="仿宋" w:cs="仿宋"/>
          <w:color w:val="auto"/>
          <w:spacing w:val="0"/>
          <w:position w:val="0"/>
          <w:sz w:val="21"/>
          <w:shd w:val="clear" w:fill="auto"/>
          <w:lang w:eastAsia="zh-CN"/>
        </w:rPr>
        <w:t>），</w:t>
      </w:r>
      <w:r>
        <w:rPr>
          <w:rFonts w:hint="eastAsia" w:ascii="仿宋" w:hAnsi="仿宋" w:eastAsia="仿宋" w:cs="仿宋"/>
          <w:color w:val="auto"/>
          <w:spacing w:val="0"/>
          <w:position w:val="0"/>
          <w:sz w:val="21"/>
          <w:shd w:val="clear" w:fill="auto"/>
        </w:rPr>
        <w:t>为</w:t>
      </w:r>
      <w:r>
        <w:rPr>
          <w:rFonts w:hint="eastAsia" w:ascii="仿宋" w:hAnsi="仿宋" w:eastAsia="仿宋" w:cs="仿宋"/>
          <w:color w:val="auto"/>
          <w:spacing w:val="0"/>
          <w:position w:val="0"/>
          <w:sz w:val="21"/>
          <w:shd w:val="clear" w:fill="auto"/>
          <w:lang w:val="en-US" w:eastAsia="zh-CN"/>
        </w:rPr>
        <w:t>保证餐饮部厨房卫生、消防安全需要，餐饮部需采购厨房抽排油烟管道清洗项目以满足食品加工需要</w:t>
      </w:r>
      <w:r>
        <w:rPr>
          <w:rFonts w:hint="eastAsia" w:ascii="仿宋" w:hAnsi="仿宋" w:eastAsia="仿宋" w:cs="仿宋"/>
          <w:color w:val="auto"/>
          <w:spacing w:val="0"/>
          <w:position w:val="0"/>
          <w:sz w:val="21"/>
          <w:shd w:val="clear" w:fill="auto"/>
        </w:rPr>
        <w:t>。</w:t>
      </w:r>
    </w:p>
    <w:p>
      <w:pPr>
        <w:spacing w:before="0" w:after="0" w:line="360" w:lineRule="auto"/>
        <w:ind w:left="0" w:right="0" w:firstLine="0"/>
        <w:jc w:val="left"/>
        <w:rPr>
          <w:rFonts w:hint="eastAsia" w:ascii="仿宋" w:hAnsi="仿宋" w:eastAsia="仿宋" w:cs="仿宋"/>
          <w:b/>
          <w:color w:val="auto"/>
          <w:spacing w:val="0"/>
          <w:position w:val="0"/>
          <w:sz w:val="21"/>
          <w:shd w:val="clear" w:fill="auto"/>
          <w:lang w:val="en-US" w:eastAsia="zh-CN"/>
        </w:rPr>
      </w:pPr>
      <w:r>
        <w:rPr>
          <w:rFonts w:hint="eastAsia" w:ascii="仿宋" w:hAnsi="仿宋" w:eastAsia="仿宋" w:cs="仿宋"/>
          <w:b/>
          <w:color w:val="auto"/>
          <w:spacing w:val="0"/>
          <w:position w:val="0"/>
          <w:sz w:val="21"/>
          <w:shd w:val="clear" w:fill="auto"/>
          <w:lang w:val="en-US" w:eastAsia="zh-CN"/>
        </w:rPr>
        <w:t>二.项目技术要求</w:t>
      </w:r>
    </w:p>
    <w:p>
      <w:pPr>
        <w:spacing w:before="0" w:after="0" w:line="360" w:lineRule="auto"/>
        <w:ind w:left="0" w:right="0" w:firstLine="0"/>
        <w:jc w:val="left"/>
        <w:rPr>
          <w:rFonts w:hint="eastAsia" w:ascii="仿宋" w:hAnsi="仿宋" w:eastAsia="仿宋" w:cs="仿宋"/>
          <w:b w:val="0"/>
          <w:bCs/>
          <w:color w:val="auto"/>
          <w:spacing w:val="0"/>
          <w:position w:val="0"/>
          <w:sz w:val="21"/>
          <w:shd w:val="clear" w:fill="auto"/>
          <w:lang w:val="en-US" w:eastAsia="zh-CN"/>
        </w:rPr>
      </w:pPr>
      <w:r>
        <w:rPr>
          <w:rFonts w:hint="eastAsia" w:ascii="仿宋" w:hAnsi="仿宋" w:eastAsia="仿宋" w:cs="仿宋"/>
          <w:b w:val="0"/>
          <w:bCs/>
          <w:color w:val="auto"/>
          <w:spacing w:val="0"/>
          <w:position w:val="0"/>
          <w:sz w:val="21"/>
          <w:shd w:val="clear" w:fill="auto"/>
          <w:lang w:val="en-US" w:eastAsia="zh-CN"/>
        </w:rPr>
        <w:t>1.技术要求</w:t>
      </w:r>
    </w:p>
    <w:p>
      <w:pPr>
        <w:spacing w:before="0" w:after="0" w:line="360" w:lineRule="auto"/>
        <w:ind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 xml:space="preserve">1.从事排油烟设施清洗公司应当具备履行清洗项目所必需的相关资质，从事排油烟设施清洗人员必须经过专业培训，持证上岗; </w:t>
      </w:r>
    </w:p>
    <w:p>
      <w:pPr>
        <w:spacing w:before="0" w:after="0" w:line="360" w:lineRule="auto"/>
        <w:ind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2.须与公司签订安全协议，明确安全作业条款， 清洗作业时应严格遵守公司安全规定。</w:t>
      </w:r>
    </w:p>
    <w:p>
      <w:pPr>
        <w:spacing w:before="0" w:after="0" w:line="360" w:lineRule="auto"/>
        <w:ind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 xml:space="preserve">3.所有工作人员了解工作现场的安全程序和要求。清洗施工人员必须遵守有关规章制度及治安管理条例，并在公司相关人员配合及监督下完成抽排油烟设施的清洗工作; </w:t>
      </w:r>
    </w:p>
    <w:p>
      <w:pPr>
        <w:spacing w:before="0" w:after="0" w:line="360" w:lineRule="auto"/>
        <w:ind w:right="0" w:firstLine="420" w:firstLineChars="200"/>
        <w:jc w:val="left"/>
        <w:rPr>
          <w:rFonts w:hint="eastAsia"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4.清洗公司须配合公司完成与之相关的证照审核，并按要求提供相应资料。</w:t>
      </w:r>
    </w:p>
    <w:p>
      <w:pPr>
        <w:spacing w:before="0" w:after="0" w:line="360" w:lineRule="auto"/>
        <w:ind w:right="0" w:firstLine="420" w:firstLineChars="200"/>
        <w:jc w:val="left"/>
        <w:rPr>
          <w:rFonts w:hint="default" w:ascii="仿宋" w:hAnsi="仿宋" w:eastAsia="仿宋" w:cs="仿宋"/>
          <w:color w:val="auto"/>
          <w:spacing w:val="0"/>
          <w:position w:val="0"/>
          <w:sz w:val="21"/>
          <w:shd w:val="clear" w:fill="auto"/>
          <w:lang w:val="en-US" w:eastAsia="zh-CN"/>
        </w:rPr>
      </w:pPr>
      <w:r>
        <w:rPr>
          <w:rFonts w:hint="eastAsia" w:ascii="仿宋" w:hAnsi="仿宋" w:eastAsia="仿宋" w:cs="仿宋"/>
          <w:color w:val="auto"/>
          <w:spacing w:val="0"/>
          <w:position w:val="0"/>
          <w:sz w:val="21"/>
          <w:shd w:val="clear" w:fill="auto"/>
          <w:lang w:val="en-US" w:eastAsia="zh-CN"/>
        </w:rPr>
        <w:t>5.每年清洗4次，每季度清洗1次，合同一次签壹</w:t>
      </w:r>
      <w:bookmarkStart w:id="0" w:name="_GoBack"/>
      <w:bookmarkEnd w:id="0"/>
      <w:r>
        <w:rPr>
          <w:rFonts w:hint="eastAsia" w:ascii="仿宋" w:hAnsi="仿宋" w:eastAsia="仿宋" w:cs="仿宋"/>
          <w:color w:val="auto"/>
          <w:spacing w:val="0"/>
          <w:position w:val="0"/>
          <w:sz w:val="21"/>
          <w:shd w:val="clear" w:fill="auto"/>
          <w:lang w:val="en-US" w:eastAsia="zh-CN"/>
        </w:rPr>
        <w:t>年。</w:t>
      </w:r>
    </w:p>
    <w:p>
      <w:pPr>
        <w:spacing w:before="0" w:after="0" w:line="360" w:lineRule="auto"/>
        <w:ind w:right="0" w:firstLine="420" w:firstLineChars="200"/>
        <w:jc w:val="left"/>
        <w:rPr>
          <w:rFonts w:hint="default"/>
          <w:lang w:val="en-US" w:eastAsia="zh-CN"/>
        </w:rPr>
      </w:pPr>
      <w:r>
        <w:rPr>
          <w:rFonts w:hint="eastAsia" w:ascii="仿宋" w:hAnsi="仿宋" w:eastAsia="仿宋" w:cs="仿宋"/>
          <w:color w:val="auto"/>
          <w:spacing w:val="0"/>
          <w:position w:val="0"/>
          <w:sz w:val="21"/>
          <w:shd w:val="clear" w:fill="auto"/>
          <w:lang w:val="en-US" w:eastAsia="zh-CN"/>
        </w:rPr>
        <w:t>厨房抽排油烟管道清洗交货时间：收到成交通知书后与项目负责部门联系确定相关细节内容，收到成交通知书后30个工作日内到云南十里阳光发展有限公司餐饮部签订清洗合同并根据合同要求交付清洗项目。</w:t>
      </w:r>
    </w:p>
    <w:p>
      <w:pPr>
        <w:spacing w:before="0" w:after="0" w:line="360" w:lineRule="auto"/>
        <w:ind w:left="0" w:right="0" w:firstLine="0"/>
        <w:jc w:val="left"/>
        <w:rPr>
          <w:rFonts w:ascii="仿宋" w:hAnsi="仿宋" w:eastAsia="仿宋" w:cs="仿宋"/>
          <w:b/>
          <w:color w:val="auto"/>
          <w:spacing w:val="0"/>
          <w:position w:val="0"/>
          <w:sz w:val="21"/>
          <w:shd w:val="clear" w:fill="auto"/>
        </w:rPr>
      </w:pPr>
      <w:r>
        <w:rPr>
          <w:rFonts w:hint="eastAsia" w:ascii="仿宋" w:hAnsi="仿宋" w:eastAsia="仿宋" w:cs="仿宋"/>
          <w:b/>
          <w:color w:val="auto"/>
          <w:spacing w:val="0"/>
          <w:position w:val="0"/>
          <w:sz w:val="21"/>
          <w:shd w:val="clear" w:fill="auto"/>
          <w:lang w:val="en-US" w:eastAsia="zh-CN"/>
        </w:rPr>
        <w:t>三</w:t>
      </w:r>
      <w:r>
        <w:rPr>
          <w:rFonts w:ascii="仿宋" w:hAnsi="仿宋" w:eastAsia="仿宋" w:cs="仿宋"/>
          <w:b/>
          <w:color w:val="auto"/>
          <w:spacing w:val="0"/>
          <w:position w:val="0"/>
          <w:sz w:val="21"/>
          <w:shd w:val="clear" w:fill="auto"/>
        </w:rPr>
        <w:t>.报价方面</w:t>
      </w:r>
    </w:p>
    <w:p>
      <w:pPr>
        <w:spacing w:before="0" w:after="0" w:line="360" w:lineRule="auto"/>
        <w:ind w:left="0" w:right="0" w:firstLine="420"/>
        <w:jc w:val="left"/>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报价方式：</w:t>
      </w:r>
      <w:r>
        <w:rPr>
          <w:rFonts w:hint="eastAsia" w:ascii="仿宋" w:hAnsi="仿宋" w:eastAsia="仿宋" w:cs="仿宋"/>
          <w:color w:val="auto"/>
          <w:spacing w:val="0"/>
          <w:position w:val="0"/>
          <w:sz w:val="21"/>
          <w:shd w:val="clear" w:fill="auto"/>
          <w:lang w:val="en-US" w:eastAsia="zh-CN"/>
        </w:rPr>
        <w:t>按壹年费用总价报价</w:t>
      </w:r>
      <w:r>
        <w:rPr>
          <w:rFonts w:ascii="仿宋" w:hAnsi="仿宋" w:eastAsia="仿宋" w:cs="仿宋"/>
          <w:color w:val="auto"/>
          <w:spacing w:val="0"/>
          <w:position w:val="0"/>
          <w:sz w:val="21"/>
          <w:shd w:val="clear" w:fill="auto"/>
        </w:rPr>
        <w:t>（包含税）；</w:t>
      </w:r>
    </w:p>
    <w:p>
      <w:pPr>
        <w:spacing w:before="0" w:after="0" w:line="360" w:lineRule="auto"/>
        <w:ind w:left="0" w:right="0" w:firstLine="420"/>
        <w:jc w:val="left"/>
      </w:pPr>
      <w:r>
        <w:rPr>
          <w:rFonts w:ascii="仿宋" w:hAnsi="仿宋" w:eastAsia="仿宋" w:cs="仿宋"/>
          <w:color w:val="auto"/>
          <w:spacing w:val="0"/>
          <w:position w:val="0"/>
          <w:sz w:val="21"/>
          <w:shd w:val="clear" w:fill="auto"/>
        </w:rPr>
        <w:t>报价明细（可根据项目情况增加内容）：</w:t>
      </w:r>
    </w:p>
    <w:tbl>
      <w:tblPr>
        <w:tblStyle w:val="3"/>
        <w:tblW w:w="7756" w:type="dxa"/>
        <w:jc w:val="center"/>
        <w:tblLayout w:type="autofit"/>
        <w:tblCellMar>
          <w:top w:w="0" w:type="dxa"/>
          <w:left w:w="10" w:type="dxa"/>
          <w:bottom w:w="0" w:type="dxa"/>
          <w:right w:w="10" w:type="dxa"/>
        </w:tblCellMar>
      </w:tblPr>
      <w:tblGrid>
        <w:gridCol w:w="621"/>
        <w:gridCol w:w="1944"/>
        <w:gridCol w:w="706"/>
        <w:gridCol w:w="706"/>
        <w:gridCol w:w="1305"/>
        <w:gridCol w:w="2474"/>
      </w:tblGrid>
      <w:tr>
        <w:tblPrEx>
          <w:tblCellMar>
            <w:top w:w="0" w:type="dxa"/>
            <w:left w:w="10" w:type="dxa"/>
            <w:bottom w:w="0" w:type="dxa"/>
            <w:right w:w="10" w:type="dxa"/>
          </w:tblCellMar>
        </w:tblPrEx>
        <w:trPr>
          <w:trHeight w:val="0" w:hRule="atLeast"/>
          <w:jc w:val="center"/>
        </w:trPr>
        <w:tc>
          <w:tcPr>
            <w:tcW w:w="62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序号</w:t>
            </w:r>
          </w:p>
        </w:tc>
        <w:tc>
          <w:tcPr>
            <w:tcW w:w="194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名称</w:t>
            </w: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数量</w:t>
            </w: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单位</w:t>
            </w:r>
          </w:p>
        </w:tc>
        <w:tc>
          <w:tcPr>
            <w:tcW w:w="13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报价（元）</w:t>
            </w:r>
          </w:p>
        </w:tc>
        <w:tc>
          <w:tcPr>
            <w:tcW w:w="247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spacing w:val="0"/>
                <w:position w:val="0"/>
              </w:rPr>
            </w:pPr>
            <w:r>
              <w:rPr>
                <w:rFonts w:ascii="仿宋" w:hAnsi="仿宋" w:eastAsia="仿宋" w:cs="仿宋"/>
                <w:color w:val="000000"/>
                <w:spacing w:val="0"/>
                <w:position w:val="0"/>
                <w:sz w:val="21"/>
                <w:shd w:val="clear" w:fill="auto"/>
              </w:rPr>
              <w:t>备   注</w:t>
            </w:r>
          </w:p>
        </w:tc>
      </w:tr>
      <w:tr>
        <w:tblPrEx>
          <w:tblCellMar>
            <w:top w:w="0" w:type="dxa"/>
            <w:left w:w="10" w:type="dxa"/>
            <w:bottom w:w="0" w:type="dxa"/>
            <w:right w:w="10" w:type="dxa"/>
          </w:tblCellMar>
        </w:tblPrEx>
        <w:trPr>
          <w:trHeight w:val="0" w:hRule="atLeast"/>
          <w:jc w:val="center"/>
        </w:trPr>
        <w:tc>
          <w:tcPr>
            <w:tcW w:w="62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eastAsiaTheme="minorEastAsia"/>
                <w:color w:val="auto"/>
                <w:spacing w:val="0"/>
                <w:position w:val="0"/>
                <w:lang w:val="en-US" w:eastAsia="zh-CN"/>
              </w:rPr>
            </w:pPr>
            <w:r>
              <w:rPr>
                <w:rFonts w:hint="eastAsia"/>
                <w:color w:val="auto"/>
                <w:spacing w:val="0"/>
                <w:position w:val="0"/>
                <w:lang w:val="en-US" w:eastAsia="zh-CN"/>
              </w:rPr>
              <w:t>1</w:t>
            </w:r>
          </w:p>
        </w:tc>
        <w:tc>
          <w:tcPr>
            <w:tcW w:w="194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宋体" w:hAnsi="宋体" w:eastAsia="宋体" w:cs="宋体"/>
                <w:spacing w:val="0"/>
                <w:position w:val="0"/>
                <w:lang w:val="en-US" w:eastAsia="zh-CN"/>
              </w:rPr>
            </w:pPr>
            <w:r>
              <w:rPr>
                <w:rFonts w:hint="eastAsia" w:ascii="仿宋" w:hAnsi="仿宋" w:eastAsia="仿宋" w:cs="仿宋"/>
                <w:color w:val="auto"/>
                <w:spacing w:val="0"/>
                <w:position w:val="0"/>
                <w:sz w:val="21"/>
                <w:shd w:val="clear" w:fill="auto"/>
                <w:lang w:val="en-US" w:eastAsia="zh-CN"/>
              </w:rPr>
              <w:t>厨房抽排油烟管道清洗费</w:t>
            </w: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宋体" w:hAnsi="宋体" w:eastAsia="宋体" w:cs="宋体"/>
                <w:color w:val="auto"/>
                <w:spacing w:val="0"/>
                <w:position w:val="0"/>
                <w:sz w:val="22"/>
                <w:shd w:val="clear" w:fill="auto"/>
                <w:lang w:val="en-US" w:eastAsia="zh-CN"/>
              </w:rPr>
            </w:pPr>
            <w:r>
              <w:rPr>
                <w:rFonts w:hint="eastAsia" w:ascii="宋体" w:hAnsi="宋体" w:eastAsia="宋体" w:cs="宋体"/>
                <w:color w:val="auto"/>
                <w:spacing w:val="0"/>
                <w:position w:val="0"/>
                <w:sz w:val="22"/>
                <w:shd w:val="clear" w:fill="auto"/>
                <w:lang w:val="en-US" w:eastAsia="zh-CN"/>
              </w:rPr>
              <w:t>1</w:t>
            </w: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eastAsiaTheme="minorEastAsia"/>
                <w:color w:val="auto"/>
                <w:spacing w:val="0"/>
                <w:position w:val="0"/>
                <w:lang w:val="en-US" w:eastAsia="zh-CN"/>
              </w:rPr>
            </w:pPr>
            <w:r>
              <w:rPr>
                <w:rFonts w:hint="eastAsia"/>
                <w:color w:val="auto"/>
                <w:spacing w:val="0"/>
                <w:position w:val="0"/>
                <w:lang w:val="en-US" w:eastAsia="zh-CN"/>
              </w:rPr>
              <w:t>年</w:t>
            </w:r>
          </w:p>
        </w:tc>
        <w:tc>
          <w:tcPr>
            <w:tcW w:w="13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ascii="宋体" w:hAnsi="宋体" w:eastAsia="宋体" w:cs="宋体"/>
                <w:color w:val="auto"/>
                <w:spacing w:val="0"/>
                <w:position w:val="0"/>
                <w:sz w:val="22"/>
                <w:shd w:val="clear" w:fill="auto"/>
              </w:rPr>
            </w:pPr>
          </w:p>
        </w:tc>
        <w:tc>
          <w:tcPr>
            <w:tcW w:w="247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eastAsiaTheme="minorEastAsia"/>
                <w:color w:val="auto"/>
                <w:spacing w:val="0"/>
                <w:position w:val="0"/>
                <w:lang w:val="en-US" w:eastAsia="zh-CN"/>
              </w:rPr>
            </w:pPr>
          </w:p>
        </w:tc>
      </w:tr>
      <w:tr>
        <w:tblPrEx>
          <w:tblCellMar>
            <w:top w:w="0" w:type="dxa"/>
            <w:left w:w="10" w:type="dxa"/>
            <w:bottom w:w="0" w:type="dxa"/>
            <w:right w:w="10" w:type="dxa"/>
          </w:tblCellMar>
        </w:tblPrEx>
        <w:trPr>
          <w:trHeight w:val="0" w:hRule="atLeast"/>
          <w:jc w:val="center"/>
        </w:trPr>
        <w:tc>
          <w:tcPr>
            <w:tcW w:w="62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2</w:t>
            </w:r>
          </w:p>
        </w:tc>
        <w:tc>
          <w:tcPr>
            <w:tcW w:w="194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hd w:val="clear" w:fill="auto"/>
                <w:lang w:val="en-US" w:eastAsia="zh-CN"/>
              </w:rPr>
            </w:pP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宋体" w:hAnsi="宋体" w:eastAsia="宋体" w:cs="宋体"/>
                <w:color w:val="auto"/>
                <w:spacing w:val="0"/>
                <w:position w:val="0"/>
                <w:sz w:val="22"/>
                <w:szCs w:val="22"/>
                <w:shd w:val="clear" w:fill="auto"/>
                <w:lang w:val="en-US" w:eastAsia="zh-CN"/>
              </w:rPr>
            </w:pP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Theme="minorHAnsi" w:hAnsiTheme="minorHAnsi" w:eastAsiaTheme="minorEastAsia" w:cstheme="minorBidi"/>
                <w:color w:val="auto"/>
                <w:spacing w:val="0"/>
                <w:position w:val="0"/>
                <w:sz w:val="21"/>
                <w:szCs w:val="22"/>
                <w:lang w:val="en-US" w:eastAsia="zh-CN"/>
              </w:rPr>
            </w:pPr>
          </w:p>
        </w:tc>
        <w:tc>
          <w:tcPr>
            <w:tcW w:w="13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ascii="宋体" w:hAnsi="宋体" w:eastAsia="宋体" w:cs="宋体"/>
                <w:color w:val="auto"/>
                <w:spacing w:val="0"/>
                <w:position w:val="0"/>
                <w:sz w:val="22"/>
                <w:shd w:val="clear" w:fill="auto"/>
              </w:rPr>
            </w:pPr>
          </w:p>
        </w:tc>
        <w:tc>
          <w:tcPr>
            <w:tcW w:w="247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color w:val="auto"/>
                <w:spacing w:val="0"/>
                <w:position w:val="0"/>
              </w:rPr>
            </w:pPr>
          </w:p>
        </w:tc>
      </w:tr>
      <w:tr>
        <w:tblPrEx>
          <w:tblCellMar>
            <w:top w:w="0" w:type="dxa"/>
            <w:left w:w="10" w:type="dxa"/>
            <w:bottom w:w="0" w:type="dxa"/>
            <w:right w:w="10" w:type="dxa"/>
          </w:tblCellMar>
        </w:tblPrEx>
        <w:trPr>
          <w:trHeight w:val="0" w:hRule="atLeast"/>
          <w:jc w:val="center"/>
        </w:trPr>
        <w:tc>
          <w:tcPr>
            <w:tcW w:w="62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color w:val="auto"/>
                <w:spacing w:val="0"/>
                <w:position w:val="0"/>
                <w:lang w:val="en-US" w:eastAsia="zh-CN"/>
              </w:rPr>
            </w:pPr>
            <w:r>
              <w:rPr>
                <w:rFonts w:hint="eastAsia"/>
                <w:color w:val="auto"/>
                <w:spacing w:val="0"/>
                <w:position w:val="0"/>
                <w:lang w:val="en-US" w:eastAsia="zh-CN"/>
              </w:rPr>
              <w:t>3</w:t>
            </w:r>
          </w:p>
        </w:tc>
        <w:tc>
          <w:tcPr>
            <w:tcW w:w="194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hd w:val="clear" w:fill="auto"/>
                <w:lang w:val="en-US" w:eastAsia="zh-CN"/>
              </w:rPr>
            </w:pP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宋体" w:hAnsi="宋体" w:eastAsia="宋体" w:cs="宋体"/>
                <w:color w:val="auto"/>
                <w:spacing w:val="0"/>
                <w:position w:val="0"/>
                <w:sz w:val="22"/>
                <w:shd w:val="clear" w:fill="auto"/>
                <w:lang w:val="en-US" w:eastAsia="zh-CN"/>
              </w:rPr>
            </w:pPr>
          </w:p>
        </w:tc>
        <w:tc>
          <w:tcPr>
            <w:tcW w:w="70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color w:val="auto"/>
                <w:spacing w:val="0"/>
                <w:position w:val="0"/>
                <w:lang w:val="en-US" w:eastAsia="zh-CN"/>
              </w:rPr>
            </w:pPr>
          </w:p>
        </w:tc>
        <w:tc>
          <w:tcPr>
            <w:tcW w:w="130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ascii="宋体" w:hAnsi="宋体" w:eastAsia="宋体" w:cs="宋体"/>
                <w:color w:val="auto"/>
                <w:spacing w:val="0"/>
                <w:position w:val="0"/>
                <w:sz w:val="22"/>
                <w:shd w:val="clear" w:fill="auto"/>
              </w:rPr>
            </w:pPr>
          </w:p>
        </w:tc>
        <w:tc>
          <w:tcPr>
            <w:tcW w:w="247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color w:val="auto"/>
                <w:spacing w:val="0"/>
                <w:position w:val="0"/>
              </w:rPr>
            </w:pPr>
          </w:p>
        </w:tc>
      </w:tr>
    </w:tbl>
    <w:p>
      <w:pPr>
        <w:pStyle w:val="2"/>
        <w:ind w:left="0" w:leftChars="0" w:firstLine="0" w:firstLineChars="0"/>
      </w:pPr>
    </w:p>
    <w:p>
      <w:pPr>
        <w:spacing w:before="0" w:after="0" w:line="360" w:lineRule="auto"/>
        <w:ind w:left="0" w:right="0" w:firstLine="0"/>
        <w:jc w:val="both"/>
        <w:rPr>
          <w:rFonts w:ascii="仿宋" w:hAnsi="仿宋" w:eastAsia="仿宋" w:cs="仿宋"/>
          <w:color w:val="auto"/>
          <w:spacing w:val="0"/>
          <w:position w:val="0"/>
          <w:sz w:val="21"/>
          <w:shd w:val="clear" w:fill="auto"/>
        </w:rPr>
      </w:pPr>
      <w:r>
        <w:rPr>
          <w:rFonts w:ascii="仿宋" w:hAnsi="仿宋" w:eastAsia="仿宋" w:cs="仿宋"/>
          <w:color w:val="auto"/>
          <w:spacing w:val="0"/>
          <w:position w:val="0"/>
          <w:sz w:val="21"/>
          <w:shd w:val="clear" w:fill="auto"/>
        </w:rPr>
        <w:t>注：具体税率以税法规定的为主。</w:t>
      </w:r>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A360D"/>
    <w:rsid w:val="045E1060"/>
    <w:rsid w:val="045E43C8"/>
    <w:rsid w:val="05471293"/>
    <w:rsid w:val="067B659F"/>
    <w:rsid w:val="06F10931"/>
    <w:rsid w:val="075959FA"/>
    <w:rsid w:val="0805253B"/>
    <w:rsid w:val="086D5091"/>
    <w:rsid w:val="08C73EE2"/>
    <w:rsid w:val="09513EE3"/>
    <w:rsid w:val="097442CF"/>
    <w:rsid w:val="0C9A0514"/>
    <w:rsid w:val="0E234E5C"/>
    <w:rsid w:val="0E4C5D78"/>
    <w:rsid w:val="0E75758C"/>
    <w:rsid w:val="0EB949B3"/>
    <w:rsid w:val="0ECB39D4"/>
    <w:rsid w:val="128A53F1"/>
    <w:rsid w:val="186D4742"/>
    <w:rsid w:val="194B7557"/>
    <w:rsid w:val="1C7C366F"/>
    <w:rsid w:val="1DCD58B1"/>
    <w:rsid w:val="257971A1"/>
    <w:rsid w:val="257E779B"/>
    <w:rsid w:val="2717598A"/>
    <w:rsid w:val="2A925ADB"/>
    <w:rsid w:val="2CD608A9"/>
    <w:rsid w:val="30594760"/>
    <w:rsid w:val="30642AF1"/>
    <w:rsid w:val="31607511"/>
    <w:rsid w:val="337201F6"/>
    <w:rsid w:val="33D51EA8"/>
    <w:rsid w:val="33F7044F"/>
    <w:rsid w:val="35C97CE6"/>
    <w:rsid w:val="37306998"/>
    <w:rsid w:val="37D31A24"/>
    <w:rsid w:val="384813FC"/>
    <w:rsid w:val="396A5588"/>
    <w:rsid w:val="39933C03"/>
    <w:rsid w:val="3A7E5E21"/>
    <w:rsid w:val="3AA008BD"/>
    <w:rsid w:val="3B3616F8"/>
    <w:rsid w:val="3B7B3AA4"/>
    <w:rsid w:val="3DEB5278"/>
    <w:rsid w:val="409A440B"/>
    <w:rsid w:val="40DF6F7E"/>
    <w:rsid w:val="41AB1BA0"/>
    <w:rsid w:val="42BA1E87"/>
    <w:rsid w:val="43554F34"/>
    <w:rsid w:val="44C5163B"/>
    <w:rsid w:val="450622AA"/>
    <w:rsid w:val="46084AF2"/>
    <w:rsid w:val="463203E3"/>
    <w:rsid w:val="47333E80"/>
    <w:rsid w:val="476E2C55"/>
    <w:rsid w:val="4D0B276E"/>
    <w:rsid w:val="4DC90F22"/>
    <w:rsid w:val="4EB877D8"/>
    <w:rsid w:val="524D172E"/>
    <w:rsid w:val="54F30A9A"/>
    <w:rsid w:val="56177E66"/>
    <w:rsid w:val="57CA1BBE"/>
    <w:rsid w:val="58270650"/>
    <w:rsid w:val="5A0A4770"/>
    <w:rsid w:val="5CA96F3A"/>
    <w:rsid w:val="5E2D1591"/>
    <w:rsid w:val="5F261328"/>
    <w:rsid w:val="5FE56175"/>
    <w:rsid w:val="60785BD4"/>
    <w:rsid w:val="608A6DF1"/>
    <w:rsid w:val="636B5B38"/>
    <w:rsid w:val="655B2D8B"/>
    <w:rsid w:val="65CF16D5"/>
    <w:rsid w:val="67206A22"/>
    <w:rsid w:val="68DC54AF"/>
    <w:rsid w:val="69C33229"/>
    <w:rsid w:val="6AAD50E8"/>
    <w:rsid w:val="6B085B8A"/>
    <w:rsid w:val="6B0A5FC3"/>
    <w:rsid w:val="6B144D07"/>
    <w:rsid w:val="70D40319"/>
    <w:rsid w:val="761015B5"/>
    <w:rsid w:val="77047750"/>
    <w:rsid w:val="7E5B20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character" w:customStyle="1" w:styleId="5">
    <w:name w:val="font91"/>
    <w:basedOn w:val="4"/>
    <w:qFormat/>
    <w:uiPriority w:val="0"/>
    <w:rPr>
      <w:rFonts w:hint="default" w:ascii="Times New Roman" w:hAnsi="Times New Roman" w:cs="Times New Roman"/>
      <w:color w:val="000000"/>
      <w:sz w:val="20"/>
      <w:szCs w:val="20"/>
      <w:u w:val="none"/>
    </w:rPr>
  </w:style>
  <w:style w:type="character" w:customStyle="1" w:styleId="6">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2</TotalTime>
  <ScaleCrop>false</ScaleCrop>
  <LinksUpToDate>false</LinksUpToDate>
  <Application>WPS Office_11.8.2.11739_F1E327BC-269C-435d-A152-05C5408002CA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CY-GSB</cp:lastModifiedBy>
  <dcterms:modified xsi:type="dcterms:W3CDTF">2024-09-09T11:13:53Z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0AF98599E5BF4FF59F72A6A5C3C1FC31</vt:lpwstr>
  </property>
</Properties>
</file>