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1572"/>
      <w:bookmarkStart w:id="1" w:name="_Toc6059"/>
    </w:p>
    <w:p>
      <w:pPr>
        <w:pStyle w:val="8"/>
        <w:jc w:val="center"/>
        <w:rPr>
          <w:rFonts w:ascii="隶书" w:eastAsia="隶书"/>
          <w:sz w:val="56"/>
          <w:szCs w:val="56"/>
        </w:rPr>
      </w:pPr>
    </w:p>
    <w:p>
      <w:pPr>
        <w:pStyle w:val="8"/>
        <w:spacing w:line="360" w:lineRule="auto"/>
        <w:jc w:val="center"/>
        <w:rPr>
          <w:rFonts w:ascii="黑体" w:hAnsi="黑体" w:eastAsia="黑体" w:cs="黑体"/>
          <w:sz w:val="52"/>
          <w:szCs w:val="52"/>
        </w:rPr>
      </w:pPr>
      <w:r>
        <w:rPr>
          <w:rFonts w:hint="eastAsia" w:ascii="黑体" w:hAnsi="黑体" w:eastAsia="黑体" w:cs="黑体"/>
          <w:sz w:val="52"/>
          <w:szCs w:val="52"/>
        </w:rPr>
        <w:t>一种高空标志牌便捷更换装置开发与应用</w:t>
      </w:r>
    </w:p>
    <w:p>
      <w:pPr>
        <w:pStyle w:val="8"/>
        <w:spacing w:line="360" w:lineRule="auto"/>
        <w:jc w:val="center"/>
        <w:rPr>
          <w:rFonts w:hint="eastAsia"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hint="eastAsia" w:ascii="楷体_GB2312" w:hAnsi="宋体" w:eastAsia="楷体_GB2312"/>
          <w:sz w:val="32"/>
          <w:szCs w:val="32"/>
        </w:rPr>
      </w:pPr>
    </w:p>
    <w:p>
      <w:pPr>
        <w:spacing w:before="156" w:beforeLines="50"/>
        <w:jc w:val="center"/>
        <w:rPr>
          <w:rFonts w:hint="eastAsia" w:ascii="楷体_GB2312" w:hAnsi="宋体" w:eastAsia="楷体_GB2312"/>
          <w:sz w:val="32"/>
          <w:szCs w:val="32"/>
        </w:rPr>
      </w:pPr>
    </w:p>
    <w:p>
      <w:pPr>
        <w:spacing w:before="156" w:beforeLines="50"/>
        <w:rPr>
          <w:rFonts w:hint="eastAsia" w:ascii="楷体_GB2312" w:hAnsi="宋体" w:eastAsia="楷体_GB2312"/>
          <w:sz w:val="32"/>
          <w:szCs w:val="32"/>
        </w:rPr>
      </w:pPr>
    </w:p>
    <w:p>
      <w:pPr>
        <w:pStyle w:val="21"/>
        <w:rPr>
          <w:rStyle w:val="23"/>
          <w:rFonts w:hint="eastAsia" w:ascii="黑体" w:hAnsi="黑体" w:eastAsia="黑体" w:cs="黑体"/>
        </w:rPr>
      </w:pPr>
    </w:p>
    <w:p>
      <w:pPr>
        <w:pStyle w:val="21"/>
        <w:rPr>
          <w:rStyle w:val="23"/>
          <w:rFonts w:hint="eastAsia" w:ascii="黑体" w:hAnsi="黑体" w:eastAsia="黑体" w:cs="黑体"/>
        </w:rPr>
      </w:pPr>
    </w:p>
    <w:p>
      <w:pPr>
        <w:pStyle w:val="21"/>
        <w:rPr>
          <w:rFonts w:hint="eastAsia" w:ascii="黑体" w:hAnsi="黑体" w:eastAsia="黑体" w:cs="黑体"/>
        </w:rPr>
        <w:sectPr>
          <w:pgSz w:w="11906" w:h="16838"/>
          <w:pgMar w:top="1440" w:right="1800" w:bottom="1440" w:left="1800" w:header="851" w:footer="992" w:gutter="0"/>
          <w:cols w:space="425" w:num="1"/>
          <w:docGrid w:type="lines" w:linePitch="312" w:charSpace="0"/>
        </w:sectPr>
      </w:pPr>
      <w:r>
        <w:rPr>
          <w:rStyle w:val="23"/>
          <w:rFonts w:hint="eastAsia" w:ascii="黑体" w:hAnsi="黑体" w:eastAsia="黑体" w:cs="黑体"/>
        </w:rPr>
        <w:t>2024年09月</w:t>
      </w:r>
    </w:p>
    <w:p>
      <w:pPr>
        <w:snapToGrid w:val="0"/>
        <w:spacing w:line="360" w:lineRule="auto"/>
        <w:jc w:val="center"/>
        <w:rPr>
          <w:rFonts w:hint="eastAsia"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spacing w:line="560" w:lineRule="exact"/>
        <w:rPr>
          <w:rFonts w:hint="eastAsia"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成果交付与验收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napToGrid w:val="0"/>
        <w:spacing w:line="560" w:lineRule="exact"/>
        <w:rPr>
          <w:rFonts w:hint="eastAsia" w:ascii="黑体" w:hAnsi="黑体" w:eastAsia="黑体" w:cs="黑体"/>
          <w:b/>
          <w:sz w:val="24"/>
        </w:rPr>
      </w:pPr>
      <w:r>
        <w:rPr>
          <w:rFonts w:hint="eastAsia" w:ascii="黑体" w:hAnsi="黑体" w:eastAsia="黑体" w:cs="黑体"/>
          <w:sz w:val="24"/>
        </w:rPr>
        <w:fldChar w:fldCharType="end"/>
      </w:r>
    </w:p>
    <w:p>
      <w:pPr>
        <w:rPr>
          <w:rFonts w:hint="eastAsia" w:ascii="宋体" w:hAnsi="宋体"/>
          <w:b/>
          <w:sz w:val="30"/>
        </w:rPr>
      </w:pPr>
      <w:r>
        <w:rPr>
          <w:rFonts w:ascii="宋体" w:hAnsi="宋体"/>
          <w:b/>
          <w:sz w:val="30"/>
        </w:rPr>
        <w:br w:type="page"/>
      </w:r>
    </w:p>
    <w:p>
      <w:pPr>
        <w:spacing w:line="480" w:lineRule="auto"/>
        <w:jc w:val="center"/>
        <w:outlineLvl w:val="0"/>
        <w:rPr>
          <w:rFonts w:hint="eastAsia" w:ascii="宋体" w:hAnsi="宋体"/>
          <w:b/>
          <w:sz w:val="32"/>
        </w:rPr>
      </w:pPr>
      <w:bookmarkStart w:id="3" w:name="_Toc266713645"/>
      <w:bookmarkStart w:id="4" w:name="_Toc19589"/>
      <w:bookmarkStart w:id="5" w:name="_Toc32374"/>
      <w:bookmarkStart w:id="6" w:name="_Toc13824"/>
      <w:bookmarkStart w:id="7" w:name="_Toc17586"/>
      <w:bookmarkStart w:id="8" w:name="_Toc161832193"/>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hint="eastAsia"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hint="eastAsia"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本技术要求书制定目标的材料供应，以及在项目进行中为达成既定目标提</w:t>
      </w:r>
      <w:r>
        <w:rPr>
          <w:rFonts w:hint="eastAsia"/>
          <w:sz w:val="24"/>
        </w:rPr>
        <w:t>出的其他</w:t>
      </w:r>
      <w:bookmarkStart w:id="9" w:name="_Hlk173933519"/>
      <w:r>
        <w:rPr>
          <w:rFonts w:hint="eastAsia"/>
          <w:sz w:val="24"/>
        </w:rPr>
        <w:t>优化调整</w:t>
      </w:r>
      <w:bookmarkEnd w:id="9"/>
      <w:r>
        <w:rPr>
          <w:rFonts w:hint="eastAsia"/>
          <w:sz w:val="24"/>
        </w:rPr>
        <w:t>需求。</w:t>
      </w:r>
    </w:p>
    <w:p>
      <w:pPr>
        <w:numPr>
          <w:ilvl w:val="0"/>
          <w:numId w:val="2"/>
        </w:numPr>
        <w:spacing w:line="360" w:lineRule="auto"/>
        <w:rPr>
          <w:rFonts w:hint="eastAsia" w:ascii="宋体" w:hAnsi="宋体"/>
          <w:bCs/>
          <w:sz w:val="24"/>
          <w:szCs w:val="22"/>
        </w:rPr>
      </w:pPr>
      <w:r>
        <w:rPr>
          <w:rFonts w:hint="eastAsia" w:ascii="宋体" w:hAnsi="宋体"/>
          <w:bCs/>
          <w:sz w:val="24"/>
          <w:szCs w:val="22"/>
        </w:rPr>
        <w:t>本技术要求书未尽事宜，由双方协商确定。</w:t>
      </w:r>
    </w:p>
    <w:p>
      <w:pPr>
        <w:pStyle w:val="24"/>
        <w:spacing w:before="312"/>
        <w:rPr>
          <w:rFonts w:hint="eastAsia"/>
          <w:szCs w:val="22"/>
        </w:rPr>
      </w:pPr>
      <w:r>
        <w:rPr>
          <w:rFonts w:hint="eastAsia"/>
          <w:szCs w:val="22"/>
        </w:rPr>
        <w:br w:type="page"/>
      </w:r>
    </w:p>
    <w:p>
      <w:pPr>
        <w:pStyle w:val="24"/>
        <w:spacing w:before="312"/>
        <w:outlineLvl w:val="0"/>
        <w:rPr>
          <w:rFonts w:hint="eastAsia" w:asciiTheme="minorEastAsia" w:hAnsiTheme="minorEastAsia" w:eastAsiaTheme="minorEastAsia" w:cstheme="minorEastAsia"/>
          <w:bCs/>
          <w:color w:val="C00000"/>
        </w:rPr>
      </w:pPr>
      <w:bookmarkStart w:id="10" w:name="_Toc161832194"/>
      <w:bookmarkStart w:id="11" w:name="_Toc4772"/>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10"/>
      <w:bookmarkEnd w:id="11"/>
    </w:p>
    <w:p>
      <w:pPr>
        <w:spacing w:line="360" w:lineRule="auto"/>
        <w:ind w:firstLine="480" w:firstLineChars="200"/>
        <w:rPr>
          <w:rFonts w:hint="eastAsia" w:ascii="宋体" w:hAnsi="宋体"/>
          <w:kern w:val="0"/>
          <w:sz w:val="24"/>
        </w:rPr>
      </w:pPr>
      <w:r>
        <w:rPr>
          <w:rFonts w:hint="eastAsia" w:ascii="宋体" w:hAnsi="宋体"/>
          <w:kern w:val="0"/>
          <w:sz w:val="24"/>
        </w:rPr>
        <w:t>标志牌是供电基础设施，可以清晰定位现场电力设备身份信息，但由于配电网电力设备普遍裸露在户外环境，长期承受风吹、雨淋、阳光暴晒以及灰尘的侵蚀，造成大量标志牌已出现了字迹模糊、老化残缺等现象。另一方面，随着近年来电网建设项目的不断推进和实施，部分线路名称、杆号已发生了变化，我局很多标志牌已失去标识作用，需要积极开展老旧标志牌更换工作。而目前杆塔高空标志牌更换工作主要采用人工登杆的方式进行更换，存在安全风险高、人力成本高、更换效率低等痛点；</w:t>
      </w:r>
    </w:p>
    <w:p>
      <w:pPr>
        <w:spacing w:line="360" w:lineRule="auto"/>
        <w:ind w:firstLine="480" w:firstLineChars="200"/>
        <w:rPr>
          <w:rFonts w:hint="eastAsia" w:ascii="宋体" w:hAnsi="宋体"/>
          <w:kern w:val="0"/>
          <w:sz w:val="24"/>
        </w:rPr>
      </w:pPr>
      <w:r>
        <w:rPr>
          <w:rFonts w:hint="eastAsia" w:ascii="宋体" w:hAnsi="宋体"/>
          <w:kern w:val="0"/>
          <w:sz w:val="24"/>
        </w:rPr>
        <w:t>本项目</w:t>
      </w:r>
      <w:r>
        <w:rPr>
          <w:rFonts w:hint="eastAsia" w:ascii="宋体" w:hAnsi="宋体"/>
          <w:iCs/>
          <w:sz w:val="24"/>
        </w:rPr>
        <w:t>拟结合传统</w:t>
      </w:r>
      <w:r>
        <w:rPr>
          <w:rFonts w:ascii="宋体" w:hAnsi="宋体"/>
          <w:sz w:val="24"/>
        </w:rPr>
        <w:t>登杆更换标志牌</w:t>
      </w:r>
      <w:r>
        <w:rPr>
          <w:rFonts w:hint="eastAsia" w:ascii="宋体" w:hAnsi="宋体"/>
          <w:iCs/>
          <w:sz w:val="24"/>
        </w:rPr>
        <w:t>的不足</w:t>
      </w:r>
      <w:r>
        <w:rPr>
          <w:rFonts w:hint="eastAsia" w:ascii="宋体" w:hAnsi="宋体"/>
          <w:kern w:val="0"/>
          <w:sz w:val="24"/>
        </w:rPr>
        <w:t>，开发</w:t>
      </w:r>
      <w:r>
        <w:rPr>
          <w:rFonts w:hint="eastAsia" w:ascii="宋体" w:hAnsi="宋体"/>
          <w:sz w:val="24"/>
        </w:rPr>
        <w:t>一种高空标志牌便捷更换装置</w:t>
      </w:r>
      <w:r>
        <w:rPr>
          <w:rFonts w:hint="eastAsia" w:ascii="宋体" w:hAnsi="宋体"/>
          <w:kern w:val="0"/>
          <w:sz w:val="24"/>
        </w:rPr>
        <w:t>，采用自动化控制技术控制高空标志牌牌框自动升降，运维人员在塔下即可替换标志牌，无需登杆</w:t>
      </w:r>
      <w:r>
        <w:rPr>
          <w:rFonts w:hint="eastAsia" w:ascii="宋体" w:hAnsi="宋体"/>
          <w:sz w:val="24"/>
        </w:rPr>
        <w:t>，有效降低高空作业的人身安全风险，提升运维人员高空标志牌更换效率，</w:t>
      </w:r>
      <w:r>
        <w:rPr>
          <w:rFonts w:hint="eastAsia" w:ascii="宋体" w:hAnsi="宋体"/>
          <w:kern w:val="0"/>
          <w:sz w:val="24"/>
        </w:rPr>
        <w:t>为电网快速运维夯实基础</w:t>
      </w:r>
      <w:r>
        <w:rPr>
          <w:rFonts w:hint="eastAsia" w:ascii="宋体" w:hAnsi="宋体"/>
          <w:sz w:val="24"/>
        </w:rPr>
        <w:t>。</w:t>
      </w:r>
    </w:p>
    <w:p>
      <w:pPr>
        <w:spacing w:line="360" w:lineRule="auto"/>
        <w:ind w:firstLine="480" w:firstLineChars="200"/>
        <w:rPr>
          <w:rFonts w:hint="eastAsia" w:ascii="黑体" w:hAnsi="黑体" w:eastAsia="黑体" w:cs="黑体"/>
          <w:bCs/>
          <w:sz w:val="24"/>
        </w:rPr>
      </w:pPr>
      <w:r>
        <w:rPr>
          <w:rFonts w:hint="eastAsia"/>
          <w:sz w:val="24"/>
        </w:rPr>
        <w:t>服务方需要提供满足主要技术指标要求的材料供应，以及在项目进行中为达成既定目标提出的其他优化调整需求。</w:t>
      </w:r>
    </w:p>
    <w:p>
      <w:pPr>
        <w:pStyle w:val="24"/>
        <w:spacing w:before="312"/>
        <w:outlineLvl w:val="0"/>
        <w:rPr>
          <w:rFonts w:hint="eastAsia" w:asciiTheme="minorEastAsia" w:hAnsiTheme="minorEastAsia" w:eastAsiaTheme="minorEastAsia" w:cstheme="minorEastAsia"/>
          <w:bCs/>
          <w:color w:val="C00000"/>
        </w:rPr>
      </w:pPr>
      <w:bookmarkStart w:id="12" w:name="_Toc161832195"/>
      <w:bookmarkStart w:id="13" w:name="_Toc2001"/>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2"/>
      <w:bookmarkEnd w:id="13"/>
    </w:p>
    <w:p>
      <w:pPr>
        <w:spacing w:line="460" w:lineRule="exact"/>
        <w:ind w:firstLine="480" w:firstLineChars="200"/>
        <w:rPr>
          <w:sz w:val="24"/>
        </w:rPr>
      </w:pPr>
      <w:bookmarkStart w:id="14" w:name="_Toc266713650"/>
      <w:bookmarkStart w:id="15" w:name="_Toc161832196"/>
      <w:bookmarkStart w:id="16" w:name="_Toc30385"/>
      <w:r>
        <w:rPr>
          <w:rFonts w:hint="eastAsia"/>
          <w:sz w:val="24"/>
        </w:rPr>
        <w:t>本项目所研制的装置具体要求如下：</w:t>
      </w:r>
    </w:p>
    <w:p>
      <w:pPr>
        <w:widowControl/>
        <w:spacing w:line="360" w:lineRule="auto"/>
        <w:ind w:firstLine="480" w:firstLineChars="200"/>
        <w:jc w:val="left"/>
        <w:rPr>
          <w:rFonts w:hint="eastAsia" w:ascii="宋体" w:hAnsi="宋体" w:cs="宋体"/>
          <w:kern w:val="0"/>
          <w:sz w:val="24"/>
        </w:rPr>
      </w:pPr>
      <w:r>
        <w:rPr>
          <w:rFonts w:hint="eastAsia" w:ascii="宋体" w:hAnsi="宋体"/>
          <w:sz w:val="24"/>
        </w:rPr>
        <w:t>一种高空标志牌便捷更换装置主要</w:t>
      </w:r>
      <w:r>
        <w:rPr>
          <w:rFonts w:hint="eastAsia" w:ascii="宋体" w:hAnsi="宋体"/>
          <w:kern w:val="0"/>
          <w:sz w:val="24"/>
        </w:rPr>
        <w:t>通过将标识牌放入标识牌牌框，使其牌框在上下连接的牵引钢丝绳的作用下通过杆塔下方的电机箱里的电机拉升和下降标识牌牌框至杆塔上方的固定架即可完成标识牌更换。其工具结构组成主要包括升降模块、便捷更换模块、固定模块、电源系统、控制系统、外壳机箱等结构组成。主要技术要求如下：</w:t>
      </w:r>
    </w:p>
    <w:p>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（1）调研分析东南供电局配网杆塔标志牌的尺寸规格、安装高度、固定可靠、标志角度清晰等更换作业需求，提出基于自动化控制升降的</w:t>
      </w:r>
      <w:r>
        <w:rPr>
          <w:rFonts w:hint="eastAsia" w:ascii="宋体" w:hAnsi="宋体"/>
          <w:sz w:val="24"/>
        </w:rPr>
        <w:t>高空标志牌更换技术可行性集成</w:t>
      </w:r>
      <w:r>
        <w:rPr>
          <w:rFonts w:hint="eastAsia" w:ascii="宋体" w:hAnsi="宋体" w:cs="宋体"/>
          <w:kern w:val="0"/>
          <w:sz w:val="24"/>
        </w:rPr>
        <w:t>方案；</w:t>
      </w:r>
    </w:p>
    <w:p>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（2）研究</w:t>
      </w:r>
      <w:r>
        <w:rPr>
          <w:rFonts w:hint="eastAsia" w:ascii="宋体" w:hAnsi="宋体"/>
          <w:sz w:val="24"/>
        </w:rPr>
        <w:t>高空标志牌的</w:t>
      </w:r>
      <w:r>
        <w:rPr>
          <w:rFonts w:hint="eastAsia" w:ascii="宋体" w:hAnsi="宋体" w:cs="宋体"/>
          <w:kern w:val="0"/>
          <w:sz w:val="24"/>
        </w:rPr>
        <w:t>自动化控制升降技术，开发低功耗升降传动模块，采用“1-N”可插拔式电池作业方式，作业人员只需携带电池到目标杆塔一键控制标识牌更换后，电池可拿走到，有效减少现场电池维护成本。</w:t>
      </w:r>
    </w:p>
    <w:p>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（3）研究设计高空杆塔标志牌固定模块，采用子母框式设计，可有效承接标志牌的升降和固定需要，在升降传动模块的作用下自动完成标志牌安装。</w:t>
      </w:r>
    </w:p>
    <w:p>
      <w:pPr>
        <w:spacing w:line="360" w:lineRule="auto"/>
        <w:ind w:firstLine="480" w:firstLineChars="200"/>
        <w:jc w:val="left"/>
        <w:rPr>
          <w:rFonts w:hint="eastAsia" w:ascii="宋体" w:hAnsi="宋体" w:cs="宋体"/>
          <w:kern w:val="0"/>
          <w:sz w:val="24"/>
        </w:rPr>
      </w:pPr>
      <w:r>
        <w:rPr>
          <w:rFonts w:hint="eastAsia" w:ascii="宋体" w:hAnsi="宋体" w:cs="宋体"/>
          <w:kern w:val="0"/>
          <w:sz w:val="24"/>
        </w:rPr>
        <w:t>（4）开展</w:t>
      </w:r>
      <w:r>
        <w:rPr>
          <w:rFonts w:hint="eastAsia" w:ascii="宋体" w:hAnsi="宋体"/>
          <w:sz w:val="24"/>
        </w:rPr>
        <w:t>一种高空标志牌便捷更换装置成果</w:t>
      </w:r>
      <w:r>
        <w:rPr>
          <w:rFonts w:hint="eastAsia" w:ascii="宋体" w:hAnsi="宋体" w:cs="宋体"/>
          <w:kern w:val="0"/>
          <w:sz w:val="24"/>
        </w:rPr>
        <w:t>的集成并应用。</w:t>
      </w:r>
    </w:p>
    <w:p>
      <w:pPr>
        <w:pStyle w:val="24"/>
        <w:spacing w:before="312"/>
        <w:outlineLvl w:val="0"/>
        <w:rPr>
          <w:rFonts w:hint="eastAsia" w:ascii="黑体" w:hAnsi="黑体" w:eastAsia="黑体" w:cs="黑体"/>
          <w:sz w:val="28"/>
          <w:szCs w:val="28"/>
        </w:rPr>
      </w:pPr>
      <w:r>
        <w:rPr>
          <w:rFonts w:ascii="黑体" w:hAnsi="黑体" w:eastAsia="黑体" w:cs="黑体"/>
          <w:sz w:val="28"/>
          <w:szCs w:val="28"/>
        </w:rPr>
        <w:t>3</w:t>
      </w:r>
      <w:r>
        <w:rPr>
          <w:rFonts w:hint="eastAsia" w:ascii="黑体" w:hAnsi="黑体" w:eastAsia="黑体" w:cs="黑体"/>
          <w:sz w:val="28"/>
          <w:szCs w:val="28"/>
        </w:rPr>
        <w:t xml:space="preserve">  </w:t>
      </w:r>
      <w:bookmarkEnd w:id="14"/>
      <w:r>
        <w:rPr>
          <w:rFonts w:hint="eastAsia" w:ascii="黑体" w:hAnsi="黑体" w:eastAsia="黑体" w:cs="黑体"/>
          <w:sz w:val="28"/>
          <w:szCs w:val="28"/>
        </w:rPr>
        <w:t>成果交付与验收</w:t>
      </w:r>
      <w:bookmarkEnd w:id="15"/>
      <w:bookmarkEnd w:id="16"/>
    </w:p>
    <w:p>
      <w:pPr>
        <w:spacing w:line="360" w:lineRule="auto"/>
        <w:ind w:firstLine="480" w:firstLineChars="200"/>
        <w:rPr>
          <w:rFonts w:hint="eastAsia" w:asciiTheme="minorEastAsia" w:hAnsiTheme="minorEastAsia" w:eastAsiaTheme="minorEastAsia" w:cstheme="minorEastAsia"/>
          <w:color w:val="000000"/>
          <w:sz w:val="24"/>
        </w:rPr>
      </w:pPr>
      <w:bookmarkStart w:id="17" w:name="_Toc161832197"/>
      <w:r>
        <w:rPr>
          <w:rFonts w:hint="eastAsia" w:asciiTheme="minorEastAsia" w:hAnsiTheme="minorEastAsia" w:eastAsiaTheme="minorEastAsia" w:cstheme="minorEastAsia"/>
          <w:color w:val="000000"/>
          <w:sz w:val="24"/>
        </w:rPr>
        <w:t>1、材料供应：</w:t>
      </w:r>
      <w:r>
        <w:rPr>
          <w:rFonts w:hint="eastAsia" w:ascii="宋体" w:hAnsi="宋体"/>
          <w:sz w:val="24"/>
        </w:rPr>
        <w:t>交付高空标志牌便捷更换装置研制</w:t>
      </w:r>
      <w:r>
        <w:rPr>
          <w:rFonts w:hint="eastAsia" w:ascii="宋体" w:hAnsi="宋体"/>
          <w:sz w:val="24"/>
          <w:lang w:val="en-US" w:eastAsia="zh-CN"/>
        </w:rPr>
        <w:t>2</w:t>
      </w:r>
      <w:r>
        <w:rPr>
          <w:rFonts w:hint="eastAsia" w:ascii="宋体" w:hAnsi="宋体"/>
          <w:sz w:val="24"/>
        </w:rPr>
        <w:t>套所需定制的材料，</w:t>
      </w:r>
      <w:r>
        <w:rPr>
          <w:rFonts w:hint="eastAsia" w:asciiTheme="minorEastAsia" w:hAnsiTheme="minorEastAsia" w:eastAsiaTheme="minorEastAsia" w:cstheme="minorEastAsia"/>
          <w:color w:val="000000"/>
          <w:sz w:val="24"/>
        </w:rPr>
        <w:t>包括定制</w:t>
      </w:r>
      <w:r>
        <w:rPr>
          <w:rFonts w:hint="eastAsia" w:ascii="宋体" w:hAnsi="宋体"/>
          <w:kern w:val="0"/>
          <w:sz w:val="24"/>
        </w:rPr>
        <w:t>升降模块、</w:t>
      </w:r>
      <w:r>
        <w:rPr>
          <w:rFonts w:hint="eastAsia" w:asciiTheme="minorEastAsia" w:hAnsiTheme="minorEastAsia" w:eastAsiaTheme="minorEastAsia" w:cstheme="minorEastAsia"/>
          <w:color w:val="000000"/>
          <w:sz w:val="24"/>
        </w:rPr>
        <w:t>定制</w:t>
      </w:r>
      <w:r>
        <w:rPr>
          <w:rFonts w:hint="eastAsia" w:ascii="宋体" w:hAnsi="宋体"/>
          <w:kern w:val="0"/>
          <w:sz w:val="24"/>
        </w:rPr>
        <w:t>便捷更换模块</w:t>
      </w:r>
      <w:r>
        <w:rPr>
          <w:rFonts w:hint="eastAsia" w:ascii="宋体" w:hAnsi="宋体"/>
          <w:sz w:val="24"/>
        </w:rPr>
        <w:t>、</w:t>
      </w:r>
      <w:r>
        <w:rPr>
          <w:rFonts w:hint="eastAsia" w:asciiTheme="minorEastAsia" w:hAnsiTheme="minorEastAsia" w:eastAsiaTheme="minorEastAsia" w:cstheme="minorEastAsia"/>
          <w:color w:val="000000"/>
          <w:sz w:val="24"/>
        </w:rPr>
        <w:t>定制</w:t>
      </w:r>
      <w:r>
        <w:rPr>
          <w:rFonts w:hint="eastAsia" w:ascii="宋体" w:hAnsi="宋体"/>
          <w:kern w:val="0"/>
          <w:sz w:val="24"/>
        </w:rPr>
        <w:t>固定模块</w:t>
      </w:r>
      <w:r>
        <w:rPr>
          <w:rFonts w:hint="eastAsia" w:ascii="宋体" w:hAnsi="宋体" w:cs="宋体"/>
          <w:kern w:val="0"/>
          <w:sz w:val="24"/>
        </w:rPr>
        <w:t>、</w:t>
      </w:r>
      <w:r>
        <w:rPr>
          <w:rFonts w:hint="eastAsia" w:asciiTheme="minorEastAsia" w:hAnsiTheme="minorEastAsia" w:eastAsiaTheme="minorEastAsia" w:cstheme="minorEastAsia"/>
          <w:color w:val="000000"/>
          <w:sz w:val="24"/>
        </w:rPr>
        <w:t>定制</w:t>
      </w:r>
      <w:r>
        <w:rPr>
          <w:rFonts w:hint="eastAsia" w:ascii="宋体" w:hAnsi="宋体"/>
          <w:kern w:val="0"/>
          <w:sz w:val="24"/>
        </w:rPr>
        <w:t>电源系统</w:t>
      </w:r>
      <w:r>
        <w:rPr>
          <w:rFonts w:hint="eastAsia" w:ascii="宋体" w:hAnsi="宋体"/>
          <w:sz w:val="24"/>
        </w:rPr>
        <w:t>、</w:t>
      </w:r>
      <w:r>
        <w:rPr>
          <w:rFonts w:hint="eastAsia" w:asciiTheme="minorEastAsia" w:hAnsiTheme="minorEastAsia" w:eastAsiaTheme="minorEastAsia" w:cstheme="minorEastAsia"/>
          <w:color w:val="000000"/>
          <w:sz w:val="24"/>
        </w:rPr>
        <w:t>定制</w:t>
      </w:r>
      <w:r>
        <w:rPr>
          <w:rFonts w:hint="eastAsia" w:ascii="宋体" w:hAnsi="宋体"/>
          <w:kern w:val="0"/>
          <w:sz w:val="24"/>
        </w:rPr>
        <w:t>控制系统</w:t>
      </w:r>
      <w:r>
        <w:rPr>
          <w:rFonts w:hint="eastAsia" w:ascii="宋体" w:hAnsi="宋体"/>
          <w:sz w:val="24"/>
        </w:rPr>
        <w:t>、</w:t>
      </w:r>
      <w:r>
        <w:rPr>
          <w:rFonts w:hint="eastAsia" w:asciiTheme="minorEastAsia" w:hAnsiTheme="minorEastAsia" w:eastAsiaTheme="minorEastAsia" w:cstheme="minorEastAsia"/>
          <w:color w:val="000000"/>
          <w:sz w:val="24"/>
        </w:rPr>
        <w:t>定制</w:t>
      </w:r>
      <w:r>
        <w:rPr>
          <w:rFonts w:hint="eastAsia" w:ascii="宋体" w:hAnsi="宋体"/>
          <w:kern w:val="0"/>
          <w:sz w:val="24"/>
        </w:rPr>
        <w:t>外壳机箱，并配合加工方完成加工测试</w:t>
      </w:r>
      <w:r>
        <w:rPr>
          <w:rFonts w:hint="eastAsia" w:asciiTheme="minorEastAsia" w:hAnsiTheme="minorEastAsia" w:eastAsiaTheme="minorEastAsia" w:cstheme="minorEastAsia"/>
          <w:color w:val="000000"/>
          <w:sz w:val="24"/>
        </w:rPr>
        <w:t>。</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2、乙方需于2024年10月30日前交付符合要求的</w:t>
      </w:r>
      <w:r>
        <w:rPr>
          <w:rFonts w:hint="eastAsia"/>
          <w:sz w:val="24"/>
        </w:rPr>
        <w:t>成果</w:t>
      </w:r>
      <w:r>
        <w:rPr>
          <w:rFonts w:hint="eastAsia" w:asciiTheme="minorEastAsia" w:hAnsiTheme="minorEastAsia" w:eastAsiaTheme="minorEastAsia" w:cstheme="minorEastAsia"/>
          <w:color w:val="000000"/>
          <w:sz w:val="24"/>
        </w:rPr>
        <w:t>，并通过甲方验收，同时需协助甲方完成本项目的相关资料整理，包括协助甲方完成发明专利、论文等知识产权的编写，协助甲方完成项目资料收集、整理，配合甲方通过项目结题验收。</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 供应商须承诺至少安排一正式员工专职与甲方对接跟进项目工作，并配合项目开展试点应用工作；</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4、在甲方要求下供应商能够派正式员工定期驻点</w:t>
      </w:r>
      <w:r>
        <w:rPr>
          <w:rFonts w:hint="eastAsia" w:asciiTheme="minorEastAsia" w:hAnsiTheme="minorEastAsia" w:eastAsiaTheme="minorEastAsia" w:cstheme="minorEastAsia"/>
          <w:color w:val="000000"/>
          <w:sz w:val="24"/>
          <w:lang w:val="en-US" w:eastAsia="zh-CN"/>
        </w:rPr>
        <w:t>2</w:t>
      </w:r>
      <w:bookmarkStart w:id="20" w:name="_GoBack"/>
      <w:bookmarkEnd w:id="20"/>
      <w:r>
        <w:rPr>
          <w:rFonts w:hint="eastAsia" w:asciiTheme="minorEastAsia" w:hAnsiTheme="minorEastAsia" w:eastAsiaTheme="minorEastAsia" w:cstheme="minorEastAsia"/>
          <w:color w:val="000000"/>
          <w:sz w:val="24"/>
        </w:rPr>
        <w:t>个月，配合甲方完成试点应用，开展现场交流、确认实施方案、现场测试、项目验收等相关工作。</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5、供应商最少提供一年以上售后服务工作，配合甲方申报相关奖项等。</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6、供应商如果不能按时按质完成，东莞供电局将按照南网电网公司相关规定对供应商采取相关处罚。</w:t>
      </w:r>
    </w:p>
    <w:bookmarkEnd w:id="17"/>
    <w:p>
      <w:pPr>
        <w:pStyle w:val="24"/>
        <w:spacing w:before="312"/>
        <w:outlineLvl w:val="0"/>
        <w:rPr>
          <w:rFonts w:hint="eastAsia" w:ascii="黑体" w:hAnsi="黑体" w:eastAsia="黑体" w:cs="黑体"/>
          <w:sz w:val="28"/>
          <w:szCs w:val="28"/>
        </w:rPr>
      </w:pPr>
      <w:bookmarkStart w:id="18" w:name="_Toc24706"/>
      <w:bookmarkStart w:id="19" w:name="_Toc161832200"/>
      <w:r>
        <w:rPr>
          <w:rFonts w:ascii="黑体" w:hAnsi="黑体" w:eastAsia="黑体" w:cs="黑体"/>
          <w:sz w:val="28"/>
          <w:szCs w:val="28"/>
        </w:rPr>
        <w:t>4</w:t>
      </w:r>
      <w:r>
        <w:rPr>
          <w:rFonts w:hint="eastAsia" w:ascii="黑体" w:hAnsi="黑体" w:eastAsia="黑体" w:cs="黑体"/>
          <w:sz w:val="28"/>
          <w:szCs w:val="28"/>
        </w:rPr>
        <w:t xml:space="preserve">  资格要求</w:t>
      </w:r>
      <w:bookmarkEnd w:id="18"/>
      <w:bookmarkEnd w:id="19"/>
    </w:p>
    <w:tbl>
      <w:tblPr>
        <w:tblStyle w:val="15"/>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w:t>
            </w:r>
          </w:p>
        </w:tc>
      </w:tr>
      <w:tr>
        <w:trPr>
          <w:trHeight w:val="422"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t>本项目报价下浮率高于5% （不含本身）的需附成本分析报告。成本分析报告需充分说明费用的组成、降低成本的合理措施及在其他项目中应用过的经验等，未提供成本分析报告视为原则性不响应招标文件要求，作否决投标处理。</w:t>
            </w:r>
          </w:p>
        </w:tc>
      </w:tr>
    </w:tbl>
    <w:p>
      <w:pPr>
        <w:spacing w:line="360" w:lineRule="auto"/>
        <w:rPr>
          <w:rFonts w:hint="eastAsia" w:asciiTheme="minorEastAsia" w:hAnsiTheme="minorEastAsia" w:eastAsiaTheme="minorEastAsia" w:cstheme="minorEastAsia"/>
          <w:color w:val="000000"/>
          <w:sz w:val="24"/>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9"/>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wOGRmOGExYzk1YmViOTkzZmNhNDJlZDE5NzRhMzQifQ=="/>
  </w:docVars>
  <w:rsids>
    <w:rsidRoot w:val="56112EA9"/>
    <w:rsid w:val="0000270B"/>
    <w:rsid w:val="00040023"/>
    <w:rsid w:val="00063188"/>
    <w:rsid w:val="00072471"/>
    <w:rsid w:val="000B652E"/>
    <w:rsid w:val="00113C97"/>
    <w:rsid w:val="00133F92"/>
    <w:rsid w:val="00156123"/>
    <w:rsid w:val="0018128B"/>
    <w:rsid w:val="001D7134"/>
    <w:rsid w:val="002167BF"/>
    <w:rsid w:val="00265B88"/>
    <w:rsid w:val="002B69BC"/>
    <w:rsid w:val="002D207B"/>
    <w:rsid w:val="003E0E7E"/>
    <w:rsid w:val="003E2B1B"/>
    <w:rsid w:val="0045760C"/>
    <w:rsid w:val="006444FE"/>
    <w:rsid w:val="00695983"/>
    <w:rsid w:val="006D47D2"/>
    <w:rsid w:val="00796FA4"/>
    <w:rsid w:val="007B0D5A"/>
    <w:rsid w:val="007B6A1A"/>
    <w:rsid w:val="008F319A"/>
    <w:rsid w:val="00920102"/>
    <w:rsid w:val="0093216F"/>
    <w:rsid w:val="009C2EA5"/>
    <w:rsid w:val="00A20B78"/>
    <w:rsid w:val="00AD5B74"/>
    <w:rsid w:val="00B666BF"/>
    <w:rsid w:val="00B66E81"/>
    <w:rsid w:val="00D65EB0"/>
    <w:rsid w:val="00DA0CC7"/>
    <w:rsid w:val="00DB5D4D"/>
    <w:rsid w:val="00E469BB"/>
    <w:rsid w:val="00E82FB1"/>
    <w:rsid w:val="00EF3934"/>
    <w:rsid w:val="00F54233"/>
    <w:rsid w:val="00F664EB"/>
    <w:rsid w:val="00F70D2D"/>
    <w:rsid w:val="00F86AF1"/>
    <w:rsid w:val="027C11FC"/>
    <w:rsid w:val="0295401A"/>
    <w:rsid w:val="0303051E"/>
    <w:rsid w:val="034E11A4"/>
    <w:rsid w:val="047B7BC4"/>
    <w:rsid w:val="04BF0B83"/>
    <w:rsid w:val="04FE4EAD"/>
    <w:rsid w:val="05312146"/>
    <w:rsid w:val="05330E8B"/>
    <w:rsid w:val="056D4E14"/>
    <w:rsid w:val="05D957EC"/>
    <w:rsid w:val="05FD7391"/>
    <w:rsid w:val="07B83A18"/>
    <w:rsid w:val="07DC3C63"/>
    <w:rsid w:val="08115868"/>
    <w:rsid w:val="0900633E"/>
    <w:rsid w:val="0970751E"/>
    <w:rsid w:val="09F078C2"/>
    <w:rsid w:val="0A9773AF"/>
    <w:rsid w:val="0B715FA9"/>
    <w:rsid w:val="0BD1033B"/>
    <w:rsid w:val="0BFD7548"/>
    <w:rsid w:val="0C8C1EEF"/>
    <w:rsid w:val="0D0C14ED"/>
    <w:rsid w:val="0D6039E5"/>
    <w:rsid w:val="0DDB664A"/>
    <w:rsid w:val="0DDE0C6E"/>
    <w:rsid w:val="0DE44AB1"/>
    <w:rsid w:val="0F573D98"/>
    <w:rsid w:val="0FBF064C"/>
    <w:rsid w:val="10011F66"/>
    <w:rsid w:val="10972384"/>
    <w:rsid w:val="110F2EEB"/>
    <w:rsid w:val="11402C86"/>
    <w:rsid w:val="11950633"/>
    <w:rsid w:val="11AD6919"/>
    <w:rsid w:val="133733ED"/>
    <w:rsid w:val="13566E57"/>
    <w:rsid w:val="14421D4B"/>
    <w:rsid w:val="147F0C66"/>
    <w:rsid w:val="14A83346"/>
    <w:rsid w:val="1558413F"/>
    <w:rsid w:val="155E4129"/>
    <w:rsid w:val="15B259A5"/>
    <w:rsid w:val="160351CB"/>
    <w:rsid w:val="16F77748"/>
    <w:rsid w:val="17610576"/>
    <w:rsid w:val="19614B79"/>
    <w:rsid w:val="1A316175"/>
    <w:rsid w:val="1A6070F7"/>
    <w:rsid w:val="1A830B36"/>
    <w:rsid w:val="1ADD4B0E"/>
    <w:rsid w:val="1BF021DF"/>
    <w:rsid w:val="1BFA3C82"/>
    <w:rsid w:val="1C420957"/>
    <w:rsid w:val="1C672B50"/>
    <w:rsid w:val="1CCE54EB"/>
    <w:rsid w:val="1D7B5A38"/>
    <w:rsid w:val="1DA01B05"/>
    <w:rsid w:val="1DFC3E5E"/>
    <w:rsid w:val="1E502385"/>
    <w:rsid w:val="1EA43205"/>
    <w:rsid w:val="1FBD1E67"/>
    <w:rsid w:val="1FD46916"/>
    <w:rsid w:val="20D855DF"/>
    <w:rsid w:val="21783778"/>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837973"/>
    <w:rsid w:val="2AFA0631"/>
    <w:rsid w:val="2B6721B0"/>
    <w:rsid w:val="2C191EA0"/>
    <w:rsid w:val="2C6E0BE4"/>
    <w:rsid w:val="2CA3124A"/>
    <w:rsid w:val="2CD035C7"/>
    <w:rsid w:val="2CE51BB8"/>
    <w:rsid w:val="2D8B5047"/>
    <w:rsid w:val="2D8F39A1"/>
    <w:rsid w:val="2D9774DB"/>
    <w:rsid w:val="2DAC4578"/>
    <w:rsid w:val="2DB36870"/>
    <w:rsid w:val="2DEA6350"/>
    <w:rsid w:val="2E260032"/>
    <w:rsid w:val="2E380045"/>
    <w:rsid w:val="2E743CC0"/>
    <w:rsid w:val="2EFA1D2E"/>
    <w:rsid w:val="2F2E6BFF"/>
    <w:rsid w:val="2FC241F2"/>
    <w:rsid w:val="2FEF2882"/>
    <w:rsid w:val="30045C2F"/>
    <w:rsid w:val="308129DD"/>
    <w:rsid w:val="30DF2B6C"/>
    <w:rsid w:val="313E1E7A"/>
    <w:rsid w:val="330E4E8B"/>
    <w:rsid w:val="33161353"/>
    <w:rsid w:val="334E3954"/>
    <w:rsid w:val="335E270E"/>
    <w:rsid w:val="34255CC8"/>
    <w:rsid w:val="35023A98"/>
    <w:rsid w:val="358A1AD4"/>
    <w:rsid w:val="358B06A1"/>
    <w:rsid w:val="35E41FA9"/>
    <w:rsid w:val="360B40D3"/>
    <w:rsid w:val="365574C6"/>
    <w:rsid w:val="3661221B"/>
    <w:rsid w:val="379963C7"/>
    <w:rsid w:val="37A433E0"/>
    <w:rsid w:val="37AE0477"/>
    <w:rsid w:val="38004B22"/>
    <w:rsid w:val="38BE6922"/>
    <w:rsid w:val="39140E3A"/>
    <w:rsid w:val="398C2739"/>
    <w:rsid w:val="39E974DB"/>
    <w:rsid w:val="3C3045D4"/>
    <w:rsid w:val="3C4C5078"/>
    <w:rsid w:val="3DC862F7"/>
    <w:rsid w:val="3DDE3626"/>
    <w:rsid w:val="3E28408B"/>
    <w:rsid w:val="401C5798"/>
    <w:rsid w:val="40794199"/>
    <w:rsid w:val="408A19B3"/>
    <w:rsid w:val="40CF0453"/>
    <w:rsid w:val="40E16D7E"/>
    <w:rsid w:val="40F0643B"/>
    <w:rsid w:val="41414714"/>
    <w:rsid w:val="419C13AE"/>
    <w:rsid w:val="41A73FEA"/>
    <w:rsid w:val="41B40E40"/>
    <w:rsid w:val="424D6740"/>
    <w:rsid w:val="425C406C"/>
    <w:rsid w:val="42DF02D2"/>
    <w:rsid w:val="43D1165A"/>
    <w:rsid w:val="44C917FC"/>
    <w:rsid w:val="45AD67D6"/>
    <w:rsid w:val="45CF1EF0"/>
    <w:rsid w:val="45E20A8C"/>
    <w:rsid w:val="469E66E7"/>
    <w:rsid w:val="47097B32"/>
    <w:rsid w:val="47382C50"/>
    <w:rsid w:val="473A0E5B"/>
    <w:rsid w:val="476617B8"/>
    <w:rsid w:val="47A74B50"/>
    <w:rsid w:val="48205CF0"/>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4F382032"/>
    <w:rsid w:val="50E83C80"/>
    <w:rsid w:val="50E84976"/>
    <w:rsid w:val="514B0964"/>
    <w:rsid w:val="52400ADE"/>
    <w:rsid w:val="52AB3BAD"/>
    <w:rsid w:val="52D27864"/>
    <w:rsid w:val="536B3F5C"/>
    <w:rsid w:val="53CD308F"/>
    <w:rsid w:val="54C17E31"/>
    <w:rsid w:val="54E75E4E"/>
    <w:rsid w:val="54EC5F00"/>
    <w:rsid w:val="55BB08CE"/>
    <w:rsid w:val="56112EA9"/>
    <w:rsid w:val="56634F6B"/>
    <w:rsid w:val="56794219"/>
    <w:rsid w:val="56FE5647"/>
    <w:rsid w:val="57193130"/>
    <w:rsid w:val="572004CE"/>
    <w:rsid w:val="576E3E36"/>
    <w:rsid w:val="57BC5768"/>
    <w:rsid w:val="57D62605"/>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423E56"/>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07069B"/>
    <w:rsid w:val="68AC152E"/>
    <w:rsid w:val="68C83A2C"/>
    <w:rsid w:val="695323C7"/>
    <w:rsid w:val="69DF4A2B"/>
    <w:rsid w:val="69EA7D86"/>
    <w:rsid w:val="6B023115"/>
    <w:rsid w:val="6D401C96"/>
    <w:rsid w:val="6E06100F"/>
    <w:rsid w:val="6E5B1FD7"/>
    <w:rsid w:val="708F1B04"/>
    <w:rsid w:val="70E237AF"/>
    <w:rsid w:val="710C1A65"/>
    <w:rsid w:val="71FF19B7"/>
    <w:rsid w:val="7242438A"/>
    <w:rsid w:val="72993C87"/>
    <w:rsid w:val="731458B8"/>
    <w:rsid w:val="73FA6E86"/>
    <w:rsid w:val="74210936"/>
    <w:rsid w:val="74572EAA"/>
    <w:rsid w:val="74E106B7"/>
    <w:rsid w:val="75700D85"/>
    <w:rsid w:val="75715F41"/>
    <w:rsid w:val="757253FE"/>
    <w:rsid w:val="76497732"/>
    <w:rsid w:val="76890F73"/>
    <w:rsid w:val="770F4753"/>
    <w:rsid w:val="773D7A07"/>
    <w:rsid w:val="77FD169B"/>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17">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Balloon Text"/>
    <w:basedOn w:val="1"/>
    <w:link w:val="30"/>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paragraph" w:styleId="14">
    <w:name w:val="Normal (Web)"/>
    <w:basedOn w:val="1"/>
    <w:unhideWhenUsed/>
    <w:qFormat/>
    <w:uiPriority w:val="99"/>
    <w:pPr>
      <w:spacing w:beforeAutospacing="1" w:afterAutospacing="1"/>
      <w:jc w:val="left"/>
    </w:pPr>
    <w:rPr>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qFormat/>
    <w:uiPriority w:val="99"/>
  </w:style>
  <w:style w:type="paragraph" w:customStyle="1" w:styleId="19">
    <w:name w:val="标题1"/>
    <w:basedOn w:val="5"/>
    <w:next w:val="1"/>
    <w:qFormat/>
    <w:uiPriority w:val="0"/>
    <w:pPr>
      <w:numPr>
        <w:ilvl w:val="0"/>
        <w:numId w:val="1"/>
      </w:numPr>
    </w:pPr>
    <w:rPr>
      <w:rFonts w:hAnsi="黑体"/>
    </w:rPr>
  </w:style>
  <w:style w:type="paragraph" w:customStyle="1" w:styleId="20">
    <w:name w:val="首页项目名称"/>
    <w:link w:val="22"/>
    <w:qFormat/>
    <w:uiPriority w:val="0"/>
    <w:pPr>
      <w:jc w:val="center"/>
    </w:pPr>
    <w:rPr>
      <w:rFonts w:ascii="Times New Roman" w:hAnsi="Times New Roman" w:eastAsia="隶书" w:cs="Times New Roman"/>
      <w:sz w:val="52"/>
      <w:lang w:val="en-US" w:eastAsia="zh-CN" w:bidi="ar-SA"/>
    </w:rPr>
  </w:style>
  <w:style w:type="paragraph" w:customStyle="1" w:styleId="21">
    <w:name w:val="首页日期"/>
    <w:basedOn w:val="1"/>
    <w:link w:val="23"/>
    <w:qFormat/>
    <w:uiPriority w:val="0"/>
    <w:pPr>
      <w:jc w:val="center"/>
    </w:pPr>
    <w:rPr>
      <w:rFonts w:eastAsia="楷体"/>
      <w:sz w:val="32"/>
    </w:rPr>
  </w:style>
  <w:style w:type="character" w:customStyle="1" w:styleId="22">
    <w:name w:val="首页项目名称 Char"/>
    <w:link w:val="20"/>
    <w:qFormat/>
    <w:uiPriority w:val="0"/>
    <w:rPr>
      <w:rFonts w:ascii="Times New Roman" w:hAnsi="Times New Roman" w:eastAsia="隶书"/>
      <w:sz w:val="52"/>
    </w:rPr>
  </w:style>
  <w:style w:type="character" w:customStyle="1" w:styleId="23">
    <w:name w:val="首页日期 Char"/>
    <w:link w:val="21"/>
    <w:qFormat/>
    <w:uiPriority w:val="0"/>
    <w:rPr>
      <w:rFonts w:ascii="Times New Roman" w:hAnsi="Times New Roman" w:eastAsia="楷体"/>
      <w:sz w:val="32"/>
    </w:rPr>
  </w:style>
  <w:style w:type="paragraph" w:customStyle="1" w:styleId="24">
    <w:name w:val="一标题"/>
    <w:link w:val="25"/>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5">
    <w:name w:val="一标题 Char"/>
    <w:link w:val="24"/>
    <w:qFormat/>
    <w:uiPriority w:val="0"/>
    <w:rPr>
      <w:rFonts w:ascii="宋体" w:hAnsi="宋体" w:eastAsia="宋体" w:cs="Times New Roman"/>
      <w:b/>
      <w:sz w:val="24"/>
    </w:rPr>
  </w:style>
  <w:style w:type="paragraph" w:customStyle="1" w:styleId="26">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7">
    <w:name w:val="font21"/>
    <w:basedOn w:val="17"/>
    <w:qFormat/>
    <w:uiPriority w:val="0"/>
    <w:rPr>
      <w:rFonts w:hint="eastAsia" w:ascii="微软雅黑" w:hAnsi="微软雅黑" w:eastAsia="微软雅黑" w:cs="微软雅黑"/>
      <w:color w:val="000000"/>
      <w:sz w:val="20"/>
      <w:szCs w:val="20"/>
      <w:u w:val="none"/>
    </w:rPr>
  </w:style>
  <w:style w:type="character" w:customStyle="1" w:styleId="28">
    <w:name w:val="font31"/>
    <w:basedOn w:val="17"/>
    <w:qFormat/>
    <w:uiPriority w:val="0"/>
    <w:rPr>
      <w:rFonts w:hint="eastAsia" w:ascii="微软雅黑" w:hAnsi="微软雅黑" w:eastAsia="微软雅黑" w:cs="微软雅黑"/>
      <w:b/>
      <w:bCs/>
      <w:color w:val="FF0000"/>
      <w:sz w:val="20"/>
      <w:szCs w:val="20"/>
      <w:u w:val="none"/>
    </w:rPr>
  </w:style>
  <w:style w:type="character" w:customStyle="1" w:styleId="29">
    <w:name w:val="font41"/>
    <w:basedOn w:val="17"/>
    <w:qFormat/>
    <w:uiPriority w:val="0"/>
    <w:rPr>
      <w:rFonts w:hint="eastAsia" w:ascii="微软雅黑" w:hAnsi="微软雅黑" w:eastAsia="微软雅黑" w:cs="微软雅黑"/>
      <w:b/>
      <w:bCs/>
      <w:color w:val="000000"/>
      <w:sz w:val="20"/>
      <w:szCs w:val="20"/>
      <w:u w:val="none"/>
    </w:rPr>
  </w:style>
  <w:style w:type="character" w:customStyle="1" w:styleId="30">
    <w:name w:val="批注框文本 字符"/>
    <w:basedOn w:val="17"/>
    <w:link w:val="9"/>
    <w:qFormat/>
    <w:uiPriority w:val="0"/>
    <w:rPr>
      <w:kern w:val="2"/>
      <w:sz w:val="18"/>
      <w:szCs w:val="18"/>
    </w:rPr>
  </w:style>
  <w:style w:type="paragraph" w:styleId="3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284</Words>
  <Characters>1620</Characters>
  <Lines>13</Lines>
  <Paragraphs>3</Paragraphs>
  <TotalTime>18</TotalTime>
  <ScaleCrop>false</ScaleCrop>
  <LinksUpToDate>false</LinksUpToDate>
  <CharactersWithSpaces>1901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liuwanyu</cp:lastModifiedBy>
  <dcterms:modified xsi:type="dcterms:W3CDTF">2024-09-13T08:12:43Z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1C8AA33449F64FDD9B1AFB6586A39D06_13</vt:lpwstr>
  </property>
</Properties>
</file>