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80FEB2">
      <w:pPr>
        <w:bidi w:val="0"/>
        <w:jc w:val="center"/>
        <w:rPr>
          <w:rFonts w:hint="eastAsia"/>
          <w:sz w:val="52"/>
          <w:szCs w:val="52"/>
        </w:rPr>
      </w:pPr>
      <w:bookmarkStart w:id="0" w:name="_Toc8193"/>
      <w:bookmarkStart w:id="1" w:name="_Toc6001"/>
      <w:bookmarkStart w:id="2" w:name="_Toc27940"/>
      <w:bookmarkStart w:id="3" w:name="_Toc30506"/>
      <w:bookmarkStart w:id="4" w:name="_Toc13004"/>
      <w:bookmarkStart w:id="5" w:name="_Toc25792"/>
      <w:bookmarkStart w:id="6" w:name="_Toc8630"/>
      <w:r>
        <w:rPr>
          <w:rFonts w:hint="eastAsia"/>
          <w:sz w:val="52"/>
          <w:szCs w:val="52"/>
          <w:lang w:val="en-US" w:eastAsia="zh-CN"/>
        </w:rPr>
        <w:t>标的1</w:t>
      </w:r>
      <w:r>
        <w:rPr>
          <w:rFonts w:hint="eastAsia"/>
          <w:sz w:val="52"/>
          <w:szCs w:val="52"/>
        </w:rPr>
        <w:t>：</w:t>
      </w:r>
      <w:bookmarkEnd w:id="0"/>
      <w:bookmarkEnd w:id="1"/>
      <w:bookmarkEnd w:id="2"/>
      <w:bookmarkEnd w:id="3"/>
      <w:bookmarkEnd w:id="4"/>
      <w:bookmarkEnd w:id="5"/>
      <w:bookmarkEnd w:id="6"/>
      <w:r>
        <w:rPr>
          <w:rFonts w:hint="eastAsia"/>
          <w:sz w:val="52"/>
          <w:szCs w:val="52"/>
        </w:rPr>
        <w:t>一种可阻隔防护的双层螺丝刀护套的研发</w:t>
      </w:r>
    </w:p>
    <w:p w14:paraId="12318B30">
      <w:pPr>
        <w:pStyle w:val="4"/>
        <w:spacing w:line="560" w:lineRule="exact"/>
        <w:ind w:left="-54" w:leftChars="-50" w:right="-176" w:rightChars="-84" w:hanging="51" w:hangingChars="17"/>
        <w:jc w:val="left"/>
        <w:rPr>
          <w:rFonts w:hint="eastAsia" w:ascii="仿宋" w:hAnsi="仿宋" w:eastAsia="仿宋" w:cs="仿宋"/>
          <w:b/>
          <w:sz w:val="30"/>
          <w:szCs w:val="30"/>
        </w:rPr>
      </w:pPr>
    </w:p>
    <w:p w14:paraId="16221C06">
      <w:pPr>
        <w:spacing w:line="560" w:lineRule="exact"/>
        <w:jc w:val="center"/>
        <w:rPr>
          <w:rFonts w:hint="eastAsia" w:ascii="仿宋" w:hAnsi="仿宋" w:eastAsia="仿宋" w:cs="仿宋"/>
          <w:b/>
          <w:color w:val="C00000"/>
          <w:sz w:val="30"/>
          <w:szCs w:val="30"/>
        </w:rPr>
      </w:pPr>
    </w:p>
    <w:p w14:paraId="1B6F8785">
      <w:pPr>
        <w:spacing w:line="560" w:lineRule="exact"/>
        <w:jc w:val="center"/>
        <w:rPr>
          <w:rFonts w:hint="eastAsia" w:ascii="仿宋" w:hAnsi="仿宋" w:eastAsia="仿宋" w:cs="仿宋"/>
          <w:b/>
          <w:sz w:val="30"/>
          <w:szCs w:val="30"/>
        </w:rPr>
      </w:pPr>
    </w:p>
    <w:p w14:paraId="1EE8EA62">
      <w:pPr>
        <w:spacing w:line="560" w:lineRule="exact"/>
        <w:jc w:val="center"/>
        <w:rPr>
          <w:rFonts w:hint="eastAsia" w:ascii="仿宋" w:hAnsi="仿宋" w:eastAsia="仿宋" w:cs="仿宋"/>
          <w:b/>
          <w:sz w:val="30"/>
          <w:szCs w:val="30"/>
        </w:rPr>
      </w:pPr>
    </w:p>
    <w:p w14:paraId="63D8CA95">
      <w:pPr>
        <w:spacing w:line="560" w:lineRule="exact"/>
        <w:jc w:val="center"/>
        <w:rPr>
          <w:rFonts w:hint="eastAsia" w:ascii="仿宋" w:hAnsi="仿宋" w:eastAsia="仿宋" w:cs="仿宋"/>
          <w:b/>
          <w:sz w:val="30"/>
          <w:szCs w:val="30"/>
        </w:rPr>
      </w:pPr>
    </w:p>
    <w:p w14:paraId="52D38E6C">
      <w:pPr>
        <w:spacing w:line="560" w:lineRule="exact"/>
        <w:jc w:val="center"/>
        <w:rPr>
          <w:rFonts w:hint="eastAsia" w:ascii="仿宋" w:hAnsi="仿宋" w:eastAsia="仿宋" w:cs="仿宋"/>
          <w:bCs/>
          <w:sz w:val="48"/>
          <w:szCs w:val="48"/>
        </w:rPr>
      </w:pPr>
    </w:p>
    <w:p w14:paraId="143BFCDA">
      <w:pPr>
        <w:bidi w:val="0"/>
        <w:jc w:val="center"/>
        <w:rPr>
          <w:rFonts w:hint="eastAsia"/>
          <w:sz w:val="48"/>
          <w:szCs w:val="48"/>
        </w:rPr>
      </w:pPr>
      <w:bookmarkStart w:id="7" w:name="_Toc22627"/>
      <w:bookmarkStart w:id="8" w:name="_Toc26881"/>
      <w:bookmarkStart w:id="9" w:name="_Toc6533"/>
      <w:bookmarkStart w:id="10" w:name="_Toc24255"/>
      <w:bookmarkStart w:id="11" w:name="_Toc15383"/>
      <w:bookmarkStart w:id="12" w:name="_Toc19680"/>
      <w:bookmarkStart w:id="13" w:name="_Toc17672"/>
      <w:r>
        <w:rPr>
          <w:rFonts w:hint="eastAsia"/>
          <w:sz w:val="48"/>
          <w:szCs w:val="48"/>
        </w:rPr>
        <w:t>技术规范书</w:t>
      </w:r>
      <w:bookmarkEnd w:id="7"/>
      <w:bookmarkEnd w:id="8"/>
      <w:bookmarkEnd w:id="9"/>
      <w:bookmarkEnd w:id="10"/>
      <w:bookmarkEnd w:id="11"/>
      <w:bookmarkEnd w:id="12"/>
      <w:bookmarkEnd w:id="13"/>
    </w:p>
    <w:p w14:paraId="52208306">
      <w:pPr>
        <w:spacing w:line="560" w:lineRule="exact"/>
        <w:jc w:val="center"/>
        <w:rPr>
          <w:rFonts w:hint="eastAsia" w:ascii="仿宋" w:hAnsi="仿宋" w:eastAsia="仿宋" w:cs="仿宋"/>
          <w:b/>
          <w:sz w:val="30"/>
          <w:szCs w:val="30"/>
        </w:rPr>
      </w:pPr>
    </w:p>
    <w:p w14:paraId="07FF42AB">
      <w:pPr>
        <w:spacing w:line="560" w:lineRule="exact"/>
        <w:jc w:val="center"/>
        <w:rPr>
          <w:rFonts w:hint="eastAsia" w:ascii="仿宋" w:hAnsi="仿宋" w:eastAsia="仿宋" w:cs="仿宋"/>
          <w:b/>
          <w:sz w:val="30"/>
          <w:szCs w:val="30"/>
        </w:rPr>
      </w:pPr>
    </w:p>
    <w:p w14:paraId="4F7660C4">
      <w:pPr>
        <w:spacing w:line="560" w:lineRule="exact"/>
        <w:jc w:val="center"/>
        <w:rPr>
          <w:rFonts w:hint="eastAsia" w:ascii="仿宋" w:hAnsi="仿宋" w:eastAsia="仿宋" w:cs="仿宋"/>
          <w:b/>
          <w:sz w:val="30"/>
          <w:szCs w:val="30"/>
        </w:rPr>
      </w:pPr>
    </w:p>
    <w:p w14:paraId="25E17E13">
      <w:pPr>
        <w:spacing w:line="560" w:lineRule="exact"/>
        <w:jc w:val="center"/>
        <w:rPr>
          <w:rFonts w:hint="eastAsia" w:ascii="仿宋" w:hAnsi="仿宋" w:eastAsia="仿宋" w:cs="仿宋"/>
          <w:b/>
          <w:sz w:val="30"/>
          <w:szCs w:val="30"/>
        </w:rPr>
      </w:pPr>
    </w:p>
    <w:p w14:paraId="33E7F116">
      <w:pPr>
        <w:spacing w:line="560" w:lineRule="exact"/>
        <w:jc w:val="center"/>
        <w:rPr>
          <w:rFonts w:hint="eastAsia" w:ascii="仿宋" w:hAnsi="仿宋" w:eastAsia="仿宋" w:cs="仿宋"/>
          <w:b/>
          <w:sz w:val="30"/>
          <w:szCs w:val="30"/>
        </w:rPr>
      </w:pPr>
    </w:p>
    <w:p w14:paraId="7A020B74">
      <w:pPr>
        <w:spacing w:line="560" w:lineRule="exact"/>
        <w:jc w:val="center"/>
        <w:rPr>
          <w:rFonts w:hint="eastAsia" w:ascii="仿宋" w:hAnsi="仿宋" w:eastAsia="仿宋" w:cs="仿宋"/>
          <w:b/>
          <w:sz w:val="30"/>
          <w:szCs w:val="30"/>
        </w:rPr>
      </w:pPr>
    </w:p>
    <w:p w14:paraId="7DBE28A2">
      <w:pPr>
        <w:spacing w:line="560" w:lineRule="exact"/>
        <w:jc w:val="center"/>
        <w:rPr>
          <w:rFonts w:hint="eastAsia" w:ascii="仿宋" w:hAnsi="仿宋" w:eastAsia="仿宋" w:cs="仿宋"/>
          <w:b/>
          <w:sz w:val="30"/>
          <w:szCs w:val="30"/>
        </w:rPr>
      </w:pPr>
    </w:p>
    <w:p w14:paraId="464C6401">
      <w:pPr>
        <w:spacing w:line="560" w:lineRule="exact"/>
        <w:jc w:val="both"/>
        <w:rPr>
          <w:rFonts w:hint="eastAsia" w:ascii="仿宋" w:hAnsi="仿宋" w:eastAsia="仿宋" w:cs="仿宋"/>
          <w:b/>
          <w:sz w:val="30"/>
          <w:szCs w:val="30"/>
        </w:rPr>
      </w:pPr>
    </w:p>
    <w:p w14:paraId="29F76A73">
      <w:pPr>
        <w:spacing w:line="560" w:lineRule="exact"/>
        <w:jc w:val="center"/>
        <w:rPr>
          <w:rFonts w:hint="eastAsia" w:ascii="仿宋" w:hAnsi="仿宋" w:eastAsia="仿宋" w:cs="仿宋"/>
          <w:b/>
          <w:sz w:val="30"/>
          <w:szCs w:val="30"/>
        </w:rPr>
      </w:pPr>
    </w:p>
    <w:p w14:paraId="14D4D9DB">
      <w:pPr>
        <w:spacing w:line="560" w:lineRule="exact"/>
        <w:jc w:val="center"/>
        <w:rPr>
          <w:rFonts w:hint="eastAsia" w:ascii="仿宋" w:hAnsi="仿宋" w:eastAsia="仿宋" w:cs="仿宋"/>
          <w:b/>
          <w:sz w:val="30"/>
          <w:szCs w:val="30"/>
        </w:rPr>
      </w:pPr>
    </w:p>
    <w:p w14:paraId="30C0B927">
      <w:pPr>
        <w:spacing w:line="560" w:lineRule="exact"/>
        <w:jc w:val="center"/>
        <w:rPr>
          <w:rFonts w:hint="eastAsia" w:ascii="仿宋" w:hAnsi="仿宋" w:eastAsia="仿宋" w:cs="仿宋"/>
          <w:b/>
          <w:sz w:val="30"/>
          <w:szCs w:val="30"/>
        </w:rPr>
      </w:pPr>
    </w:p>
    <w:p w14:paraId="1FEB5D27">
      <w:pPr>
        <w:pStyle w:val="3"/>
        <w:numPr>
          <w:ilvl w:val="0"/>
          <w:numId w:val="0"/>
        </w:numPr>
        <w:ind w:left="360" w:leftChars="0"/>
        <w:jc w:val="center"/>
        <w:rPr>
          <w:rFonts w:hint="eastAsia"/>
          <w:b/>
          <w:bCs/>
          <w:sz w:val="28"/>
          <w:szCs w:val="28"/>
        </w:rPr>
      </w:pPr>
      <w:r>
        <w:rPr>
          <w:rFonts w:hint="eastAsia"/>
          <w:b/>
          <w:bCs/>
          <w:sz w:val="28"/>
          <w:szCs w:val="28"/>
        </w:rPr>
        <w:t>202</w:t>
      </w:r>
      <w:r>
        <w:rPr>
          <w:rFonts w:hint="eastAsia"/>
          <w:b/>
          <w:bCs/>
          <w:sz w:val="28"/>
          <w:szCs w:val="28"/>
          <w:lang w:val="en-US" w:eastAsia="zh-CN"/>
        </w:rPr>
        <w:t>4</w:t>
      </w:r>
      <w:r>
        <w:rPr>
          <w:rFonts w:hint="eastAsia"/>
          <w:b/>
          <w:bCs/>
          <w:sz w:val="28"/>
          <w:szCs w:val="28"/>
        </w:rPr>
        <w:t>年</w:t>
      </w:r>
      <w:r>
        <w:rPr>
          <w:rFonts w:hint="eastAsia"/>
          <w:b/>
          <w:bCs/>
          <w:sz w:val="28"/>
          <w:szCs w:val="28"/>
          <w:lang w:val="en-US" w:eastAsia="zh-CN"/>
        </w:rPr>
        <w:t>9</w:t>
      </w:r>
      <w:r>
        <w:rPr>
          <w:rFonts w:hint="eastAsia"/>
          <w:b/>
          <w:bCs/>
          <w:sz w:val="28"/>
          <w:szCs w:val="28"/>
        </w:rPr>
        <w:t>月</w:t>
      </w:r>
    </w:p>
    <w:p w14:paraId="383CDD62">
      <w:pPr>
        <w:rPr>
          <w:rFonts w:hint="eastAsia"/>
          <w:b/>
          <w:bCs/>
          <w:sz w:val="28"/>
          <w:szCs w:val="28"/>
        </w:rPr>
      </w:pPr>
    </w:p>
    <w:p w14:paraId="5BCA5564">
      <w:pPr>
        <w:pStyle w:val="2"/>
        <w:rPr>
          <w:rFonts w:hint="eastAsia"/>
        </w:rPr>
      </w:pPr>
    </w:p>
    <w:p w14:paraId="3AB1F60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1. 概述</w:t>
      </w:r>
    </w:p>
    <w:p w14:paraId="0E34A88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本技术规范文件旨在定义可阻隔防护的双层螺丝刀护套的设计、制造、测试和使用标准。该护套旨在解决螺丝刀在运输和存储过程中刀头易受损的问题，通过创新的设计提高螺丝刀的使用寿命和安全性。</w:t>
      </w:r>
    </w:p>
    <w:p w14:paraId="1ECCEBB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2. 技术要求</w:t>
      </w:r>
    </w:p>
    <w:p w14:paraId="6AF471B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2.1 结构与设计</w:t>
      </w:r>
    </w:p>
    <w:p w14:paraId="22118AB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旋钮式设计：护套应采用旋钮式设计，通过旋转操作实现内外双层的紧密贴合。</w:t>
      </w:r>
    </w:p>
    <w:p w14:paraId="7E30AAF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双层结构：护套由内外两层构成，内层应紧贴螺丝刀刀头，外层提供额外的保护和支撑。</w:t>
      </w:r>
    </w:p>
    <w:p w14:paraId="60AFF39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卡扣功能：握杆内侧应设置有圆柱形的凹槽，实现螺丝刀头的扭转卡扣功能，确保刀头在收纳时不会松动。</w:t>
      </w:r>
    </w:p>
    <w:p w14:paraId="2E1539B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2.2 材料要求</w:t>
      </w:r>
    </w:p>
    <w:p w14:paraId="1396A40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绝缘材料：护套应使用绝缘材料制成，以防止电气事故的发生。</w:t>
      </w:r>
    </w:p>
    <w:p w14:paraId="3029D32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耐用性：材料应具有良好的耐用性和抗磨损性能，以确保护套的长寿命。</w:t>
      </w:r>
    </w:p>
    <w:p w14:paraId="5BBDC3D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2.3 功能要求</w:t>
      </w:r>
    </w:p>
    <w:p w14:paraId="6D9A130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阻隔防护：护套应能有效阻隔外界灰尘和杂质，防止其进入刀头部分。</w:t>
      </w:r>
    </w:p>
    <w:p w14:paraId="458EC62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防碰撞：在运输和存储过程中，护套应能有效防止螺丝刀刀头与其他工具之间的碰撞。</w:t>
      </w:r>
    </w:p>
    <w:p w14:paraId="7D1F595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稳定支撑：当受到外界震动时，护套应能提供稳定的支撑，降低刀头因水平作用力而产生塑性形变的风险。</w:t>
      </w:r>
    </w:p>
    <w:p w14:paraId="6DBDA90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2.4 安全要求</w:t>
      </w:r>
    </w:p>
    <w:p w14:paraId="7FBF367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安全系数：护套的设计应确保高安全系数，防止在使用过程中发生意外。</w:t>
      </w:r>
    </w:p>
    <w:p w14:paraId="64C5C25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易用性：护套应易于安装和拆卸，方便用户在使用螺丝刀时进行操作。</w:t>
      </w:r>
    </w:p>
    <w:p w14:paraId="7B4F100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3. 测试与验收标准</w:t>
      </w:r>
    </w:p>
    <w:p w14:paraId="59E6371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3.1 功能测试</w:t>
      </w:r>
    </w:p>
    <w:p w14:paraId="0B2FB4D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验证护套的旋钮式设计是否能够实现内外双层的紧密贴合。</w:t>
      </w:r>
    </w:p>
    <w:p w14:paraId="69C8B8B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测试卡扣功能是否能够确保螺丝刀头在收纳时不会松动。</w:t>
      </w:r>
    </w:p>
    <w:p w14:paraId="1EA91CA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3.2 性能测试</w:t>
      </w:r>
    </w:p>
    <w:p w14:paraId="28EC51E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在模拟运输和存储条件下测试护套对螺丝刀刀头的保护效果。</w:t>
      </w:r>
    </w:p>
    <w:p w14:paraId="6B1420A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进行耐用性测试，确保护套材料具有良好的抗磨损性能。</w:t>
      </w:r>
    </w:p>
    <w:p w14:paraId="4DD9B32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3.3 安全测试</w:t>
      </w:r>
    </w:p>
    <w:p w14:paraId="31DE507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进行电气安全测试，确保护套材料具有良好的绝缘性能。</w:t>
      </w:r>
    </w:p>
    <w:p w14:paraId="53176E4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进行易用性测试，确保用户能够轻松安装和拆卸护套。</w:t>
      </w:r>
    </w:p>
    <w:p w14:paraId="4B3F10B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3.4 验收标准</w:t>
      </w:r>
    </w:p>
    <w:p w14:paraId="3837357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护套应满足本技术规范文件中定义的所有结构和设计要求。</w:t>
      </w:r>
    </w:p>
    <w:p w14:paraId="7826192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通过所有规定的测试和检验。</w:t>
      </w:r>
    </w:p>
    <w:p w14:paraId="7D3E229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4. 使用与维护指南</w:t>
      </w:r>
    </w:p>
    <w:p w14:paraId="060D808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提供详细的使用说明书，包括安装步骤、注意事项和维护建议。</w:t>
      </w:r>
    </w:p>
    <w:p w14:paraId="665EFE3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强调安全操作规程，确保用户在使用过程中的安全。</w:t>
      </w:r>
    </w:p>
    <w:p w14:paraId="3E12637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提供定期检查和更换护套的建议，以延长螺丝刀的使用寿命。</w:t>
      </w:r>
    </w:p>
    <w:p w14:paraId="31E7D27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5. 结论</w:t>
      </w:r>
    </w:p>
    <w:p w14:paraId="0D2C8AC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本可阻隔防护的双层螺丝刀护套通过创新的设计解决了螺丝刀在运输和存储过程中刀头易受损的问题。建议在相关行业中广泛应用，并持续收集反馈以进行必要的改进和优化。</w:t>
      </w:r>
    </w:p>
    <w:p w14:paraId="09426BC6">
      <w:pPr>
        <w:pStyle w:val="5"/>
        <w:ind w:left="0" w:leftChars="0" w:firstLine="0" w:firstLineChars="0"/>
        <w:rPr>
          <w:lang w:val="en-US" w:eastAsia="zh-CN"/>
        </w:rPr>
      </w:pPr>
      <w:bookmarkStart w:id="14" w:name="_GoBack"/>
      <w:bookmarkEnd w:id="14"/>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细黑">
    <w:altName w:val="微软雅黑"/>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D7EA3">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DA5924">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7DA5924">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A07CF4"/>
    <w:multiLevelType w:val="multilevel"/>
    <w:tmpl w:val="5DA07CF4"/>
    <w:lvl w:ilvl="0" w:tentative="0">
      <w:start w:val="1"/>
      <w:numFmt w:val="decimal"/>
      <w:pStyle w:val="3"/>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wMWU2ZTM1YTA4YmMyOWFlMzdiMzQ2NWJmOWVhZDUifQ=="/>
  </w:docVars>
  <w:rsids>
    <w:rsidRoot w:val="17B03AFF"/>
    <w:rsid w:val="02483B6C"/>
    <w:rsid w:val="0B78105E"/>
    <w:rsid w:val="0D4B2831"/>
    <w:rsid w:val="17B03AFF"/>
    <w:rsid w:val="500E503E"/>
    <w:rsid w:val="50AD47D6"/>
    <w:rsid w:val="51D9308A"/>
    <w:rsid w:val="5D3E2967"/>
    <w:rsid w:val="77C809EB"/>
    <w:rsid w:val="7C1E15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tabs>
        <w:tab w:val="left" w:pos="525"/>
      </w:tabs>
    </w:pPr>
    <w:rPr>
      <w:rFonts w:ascii="Arial" w:hAnsi="Arial" w:eastAsia="华文细黑" w:cs="Arial"/>
      <w:sz w:val="30"/>
    </w:rPr>
  </w:style>
  <w:style w:type="paragraph" w:styleId="3">
    <w:name w:val="Title"/>
    <w:basedOn w:val="1"/>
    <w:next w:val="1"/>
    <w:qFormat/>
    <w:uiPriority w:val="0"/>
    <w:pPr>
      <w:numPr>
        <w:ilvl w:val="0"/>
        <w:numId w:val="1"/>
      </w:numPr>
      <w:tabs>
        <w:tab w:val="left" w:pos="525"/>
      </w:tabs>
      <w:spacing w:line="500" w:lineRule="exact"/>
      <w:ind w:firstLine="0" w:firstLineChars="0"/>
    </w:pPr>
    <w:rPr>
      <w:rFonts w:ascii="宋体" w:hAnsi="宋体"/>
      <w:b/>
      <w:kern w:val="0"/>
      <w:sz w:val="24"/>
      <w:szCs w:val="24"/>
    </w:rPr>
  </w:style>
  <w:style w:type="paragraph" w:styleId="4">
    <w:name w:val="Plain Text"/>
    <w:basedOn w:val="1"/>
    <w:qFormat/>
    <w:uiPriority w:val="0"/>
    <w:rPr>
      <w:rFonts w:ascii="宋体" w:hAnsi="Courier New" w:eastAsiaTheme="minorEastAsia" w:cstheme="minorBidi"/>
      <w:szCs w:val="22"/>
    </w:rPr>
  </w:style>
  <w:style w:type="paragraph" w:styleId="5">
    <w:name w:val="Body Text Indent 2"/>
    <w:basedOn w:val="1"/>
    <w:qFormat/>
    <w:uiPriority w:val="0"/>
    <w:pPr>
      <w:adjustRightInd w:val="0"/>
      <w:spacing w:before="120" w:beforeLines="0" w:line="300" w:lineRule="auto"/>
      <w:ind w:firstLine="480"/>
      <w:jc w:val="left"/>
      <w:textAlignment w:val="baseline"/>
    </w:pPr>
    <w:rPr>
      <w:rFonts w:eastAsia="仿宋_GB2312"/>
      <w:kern w:val="0"/>
      <w:sz w:val="28"/>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780</Words>
  <Characters>814</Characters>
  <Lines>0</Lines>
  <Paragraphs>0</Paragraphs>
  <TotalTime>0</TotalTime>
  <ScaleCrop>false</ScaleCrop>
  <LinksUpToDate>false</LinksUpToDate>
  <CharactersWithSpaces>826</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2024-09-02T10:19:00Z</dcterms:created>
  <dc:creator>Admin</dc:creator>
  <cp:lastModifiedBy>Admin</cp:lastModifiedBy>
  <dcterms:modified xsi:type="dcterms:W3CDTF">2024-09-12T03:47:16Z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54144443EC5647E29A4EFF08871040D6_13</vt:lpwstr>
  </property>
</Properties>
</file>