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10"/>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4" w:type="first"/>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68390" cy="120586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）技术要求文件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4.95pt;width:485.7pt;mso-position-horizontal-relative:margin;z-index:251662336;mso-width-relative:page;mso-height-relative:page;" filled="f" stroked="f" coordsize="21600,21600" o:gfxdata="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Qh+LWt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）技术要求文件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1"/>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none"/>
          <w:u w:val="single"/>
          <w:lang w:val="zh-CN"/>
        </w:rPr>
      </w:pPr>
      <w:r>
        <w:rPr>
          <w:rFonts w:hint="eastAsia" w:ascii="黑体" w:hAnsi="黑体" w:eastAsia="黑体" w:cs="宋体"/>
          <w:b/>
          <w:color w:val="auto"/>
          <w:sz w:val="36"/>
          <w:szCs w:val="36"/>
          <w:highlight w:val="none"/>
          <w:u w:val="single"/>
          <w:lang w:val="zh-CN"/>
        </w:rPr>
        <w:t>昆明局2024年楚雄换流站10kV换东线变压器修理项目</w:t>
      </w:r>
    </w:p>
    <w:p>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adjustRightInd w:val="0"/>
        <w:snapToGrid w:val="0"/>
        <w:spacing w:before="156" w:beforeLines="50" w:line="360" w:lineRule="auto"/>
        <w:ind w:firstLine="560" w:firstLineChars="200"/>
        <w:outlineLvl w:val="0"/>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lang w:val="en-US" w:eastAsia="zh-CN"/>
        </w:rPr>
        <w:t>2024年08月26日，10kV换东线017DL断路器跳闸。对10kV换东线变压器检查及试验时，发现10kV换东线变压器高压、低压绕组对地绝缘不合格。变压器油微水试验、耐压试验均不合格。初步判断为变压器密封不良导致绝缘油微水超标，内部绝缘恶化。</w:t>
      </w:r>
      <w:r>
        <w:rPr>
          <w:rFonts w:hint="eastAsia" w:ascii="宋体" w:hAnsi="宋体" w:cs="宋体"/>
          <w:color w:val="auto"/>
          <w:sz w:val="28"/>
          <w:szCs w:val="28"/>
          <w:highlight w:val="none"/>
          <w:u w:val="single"/>
          <w:lang w:val="en-US" w:eastAsia="zh-CN"/>
        </w:rPr>
        <w:t>需要进行修理。</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eastAsia="宋体" w:cs="宋体"/>
          <w:color w:val="auto"/>
          <w:sz w:val="28"/>
          <w:szCs w:val="28"/>
          <w:highlight w:val="none"/>
          <w:u w:val="single"/>
          <w:lang w:val="en-US" w:eastAsia="zh-CN"/>
        </w:rPr>
        <w:t>修理10kV换东线变压器一台，型号S11-M-200。包含变压器拆卸</w:t>
      </w:r>
      <w:r>
        <w:rPr>
          <w:rFonts w:hint="eastAsia" w:ascii="宋体" w:hAnsi="宋体" w:cs="宋体"/>
          <w:color w:val="auto"/>
          <w:sz w:val="28"/>
          <w:szCs w:val="28"/>
          <w:highlight w:val="none"/>
          <w:u w:val="single"/>
          <w:lang w:val="en-US" w:eastAsia="zh-CN"/>
        </w:rPr>
        <w:t>运输</w:t>
      </w:r>
      <w:r>
        <w:rPr>
          <w:rFonts w:hint="eastAsia" w:ascii="宋体" w:hAnsi="宋体" w:eastAsia="宋体" w:cs="宋体"/>
          <w:color w:val="auto"/>
          <w:sz w:val="28"/>
          <w:szCs w:val="28"/>
          <w:highlight w:val="none"/>
          <w:u w:val="single"/>
          <w:lang w:val="en-US" w:eastAsia="zh-CN"/>
        </w:rPr>
        <w:t>、厂内修理、厂内试验、现场交接试验、回装</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服务方提供完成修理、更换及试验所需的</w:t>
      </w:r>
      <w:r>
        <w:rPr>
          <w:rFonts w:hint="eastAsia" w:ascii="宋体" w:hAnsi="宋体" w:cs="宋体"/>
          <w:color w:val="auto"/>
          <w:sz w:val="28"/>
          <w:szCs w:val="28"/>
          <w:highlight w:val="none"/>
          <w:u w:val="single"/>
          <w:lang w:val="en-US" w:eastAsia="zh-CN"/>
        </w:rPr>
        <w:t>合格</w:t>
      </w:r>
      <w:r>
        <w:rPr>
          <w:rFonts w:hint="eastAsia" w:ascii="宋体" w:hAnsi="宋体" w:eastAsia="宋体" w:cs="宋体"/>
          <w:color w:val="auto"/>
          <w:sz w:val="28"/>
          <w:szCs w:val="28"/>
          <w:highlight w:val="none"/>
          <w:u w:val="single"/>
          <w:lang w:val="en-US" w:eastAsia="zh-CN"/>
        </w:rPr>
        <w:t>仪器、工器具、人员、车辆等全部服务。</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2.2服务期限：</w:t>
      </w:r>
      <w:r>
        <w:rPr>
          <w:rFonts w:hint="eastAsia" w:ascii="宋体" w:hAnsi="宋体" w:cs="宋体"/>
          <w:b w:val="0"/>
          <w:bCs/>
          <w:color w:val="auto"/>
          <w:sz w:val="28"/>
          <w:szCs w:val="28"/>
          <w:highlight w:val="none"/>
          <w:u w:val="single"/>
          <w:lang w:val="en-US" w:eastAsia="zh-CN"/>
        </w:rPr>
        <w:t>2024</w:t>
      </w:r>
      <w:r>
        <w:rPr>
          <w:rFonts w:hint="eastAsia" w:ascii="宋体" w:hAnsi="宋体" w:eastAsia="宋体" w:cs="宋体"/>
          <w:b w:val="0"/>
          <w:bCs/>
          <w:color w:val="auto"/>
          <w:sz w:val="28"/>
          <w:szCs w:val="28"/>
          <w:highlight w:val="none"/>
          <w:u w:val="single"/>
          <w:lang w:val="en-US" w:eastAsia="zh-CN"/>
        </w:rPr>
        <w:t>年</w:t>
      </w:r>
      <w:r>
        <w:rPr>
          <w:rFonts w:hint="eastAsia" w:ascii="宋体" w:hAnsi="宋体" w:cs="宋体"/>
          <w:b w:val="0"/>
          <w:bCs/>
          <w:color w:val="auto"/>
          <w:sz w:val="28"/>
          <w:szCs w:val="28"/>
          <w:highlight w:val="none"/>
          <w:u w:val="single"/>
          <w:lang w:val="en-US" w:eastAsia="zh-CN"/>
        </w:rPr>
        <w:t>9</w:t>
      </w:r>
      <w:r>
        <w:rPr>
          <w:rFonts w:hint="eastAsia" w:ascii="宋体" w:hAnsi="宋体" w:eastAsia="宋体" w:cs="宋体"/>
          <w:b w:val="0"/>
          <w:bCs/>
          <w:color w:val="auto"/>
          <w:sz w:val="28"/>
          <w:szCs w:val="28"/>
          <w:highlight w:val="none"/>
          <w:u w:val="single"/>
          <w:lang w:val="en-US" w:eastAsia="zh-CN"/>
        </w:rPr>
        <w:t>月</w:t>
      </w:r>
      <w:r>
        <w:rPr>
          <w:rFonts w:hint="eastAsia" w:ascii="宋体" w:hAnsi="宋体" w:cs="宋体"/>
          <w:b w:val="0"/>
          <w:bCs/>
          <w:color w:val="auto"/>
          <w:sz w:val="28"/>
          <w:szCs w:val="28"/>
          <w:highlight w:val="none"/>
          <w:u w:val="single"/>
          <w:lang w:val="en-US" w:eastAsia="zh-CN"/>
        </w:rPr>
        <w:t>30</w:t>
      </w:r>
      <w:r>
        <w:rPr>
          <w:rFonts w:hint="eastAsia" w:ascii="宋体" w:hAnsi="宋体" w:eastAsia="宋体" w:cs="宋体"/>
          <w:b w:val="0"/>
          <w:bCs/>
          <w:color w:val="auto"/>
          <w:sz w:val="28"/>
          <w:szCs w:val="28"/>
          <w:highlight w:val="none"/>
          <w:u w:val="single"/>
          <w:lang w:val="en-US" w:eastAsia="zh-CN"/>
        </w:rPr>
        <w:t>日</w:t>
      </w:r>
      <w:r>
        <w:rPr>
          <w:rFonts w:hint="eastAsia" w:ascii="宋体" w:hAnsi="宋体" w:cs="宋体"/>
          <w:b w:val="0"/>
          <w:bCs/>
          <w:color w:val="auto"/>
          <w:sz w:val="28"/>
          <w:szCs w:val="28"/>
          <w:highlight w:val="none"/>
          <w:u w:val="single"/>
          <w:lang w:val="en-US" w:eastAsia="zh-CN"/>
        </w:rPr>
        <w:t>至2025</w:t>
      </w:r>
      <w:r>
        <w:rPr>
          <w:rFonts w:hint="eastAsia" w:ascii="宋体" w:hAnsi="宋体" w:eastAsia="宋体" w:cs="宋体"/>
          <w:b w:val="0"/>
          <w:bCs/>
          <w:color w:val="auto"/>
          <w:sz w:val="28"/>
          <w:szCs w:val="28"/>
          <w:highlight w:val="none"/>
          <w:u w:val="single"/>
          <w:lang w:val="en-US" w:eastAsia="zh-CN"/>
        </w:rPr>
        <w:t>年</w:t>
      </w:r>
      <w:r>
        <w:rPr>
          <w:rFonts w:hint="eastAsia" w:ascii="宋体" w:hAnsi="宋体" w:cs="宋体"/>
          <w:b w:val="0"/>
          <w:bCs/>
          <w:color w:val="auto"/>
          <w:sz w:val="28"/>
          <w:szCs w:val="28"/>
          <w:highlight w:val="none"/>
          <w:u w:val="single"/>
          <w:lang w:val="en-US" w:eastAsia="zh-CN"/>
        </w:rPr>
        <w:t>10</w:t>
      </w:r>
      <w:r>
        <w:rPr>
          <w:rFonts w:hint="eastAsia" w:ascii="宋体" w:hAnsi="宋体" w:eastAsia="宋体" w:cs="宋体"/>
          <w:b w:val="0"/>
          <w:bCs/>
          <w:color w:val="auto"/>
          <w:sz w:val="28"/>
          <w:szCs w:val="28"/>
          <w:highlight w:val="none"/>
          <w:u w:val="single"/>
          <w:lang w:val="en-US" w:eastAsia="zh-CN"/>
        </w:rPr>
        <w:t>月</w:t>
      </w:r>
      <w:r>
        <w:rPr>
          <w:rFonts w:hint="eastAsia" w:ascii="宋体" w:hAnsi="宋体" w:cs="宋体"/>
          <w:b w:val="0"/>
          <w:bCs/>
          <w:color w:val="auto"/>
          <w:sz w:val="28"/>
          <w:szCs w:val="28"/>
          <w:highlight w:val="none"/>
          <w:u w:val="single"/>
          <w:lang w:val="en-US" w:eastAsia="zh-CN"/>
        </w:rPr>
        <w:t>6</w:t>
      </w:r>
      <w:r>
        <w:rPr>
          <w:rFonts w:hint="eastAsia" w:ascii="宋体" w:hAnsi="宋体" w:eastAsia="宋体" w:cs="宋体"/>
          <w:b w:val="0"/>
          <w:bCs/>
          <w:color w:val="auto"/>
          <w:sz w:val="28"/>
          <w:szCs w:val="28"/>
          <w:highlight w:val="none"/>
          <w:u w:val="single"/>
          <w:lang w:val="en-US" w:eastAsia="zh-CN"/>
        </w:rPr>
        <w:t>日</w:t>
      </w:r>
      <w:r>
        <w:rPr>
          <w:rFonts w:hint="eastAsia" w:ascii="宋体" w:hAnsi="宋体" w:eastAsia="宋体" w:cs="宋体"/>
          <w:color w:val="auto"/>
          <w:sz w:val="28"/>
          <w:szCs w:val="28"/>
          <w:highlight w:val="none"/>
          <w:u w:val="single"/>
          <w:lang w:val="en-US" w:eastAsia="zh-CN"/>
        </w:rPr>
        <w:t>，若定标时间晚于起始时间，服务期限顺延</w:t>
      </w:r>
      <w:r>
        <w:rPr>
          <w:rFonts w:hint="eastAsia" w:ascii="宋体" w:hAnsi="宋体" w:eastAsia="宋体" w:cs="宋体"/>
          <w:b w:val="0"/>
          <w:bCs/>
          <w:color w:val="auto"/>
          <w:sz w:val="28"/>
          <w:szCs w:val="28"/>
          <w:highlight w:val="none"/>
          <w:u w:val="single"/>
          <w:lang w:val="en-US" w:eastAsia="zh-CN"/>
        </w:rPr>
        <w:t>。</w:t>
      </w:r>
      <w:r>
        <w:rPr>
          <w:rFonts w:hint="eastAsia" w:ascii="宋体" w:hAnsi="宋体" w:cs="宋体"/>
          <w:b w:val="0"/>
          <w:bCs/>
          <w:color w:val="auto"/>
          <w:sz w:val="28"/>
          <w:szCs w:val="28"/>
          <w:highlight w:val="none"/>
          <w:u w:val="single"/>
          <w:lang w:val="en-US" w:eastAsia="zh-CN"/>
        </w:rPr>
        <w:t>(定标后立即开展修理</w:t>
      </w:r>
      <w:bookmarkStart w:id="3" w:name="_GoBack"/>
      <w:bookmarkEnd w:id="3"/>
      <w:r>
        <w:rPr>
          <w:rFonts w:hint="eastAsia" w:ascii="宋体" w:hAnsi="宋体" w:cs="宋体"/>
          <w:b w:val="0"/>
          <w:bCs/>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2.3项目服务地点：</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云南省昆明市禄丰市和平镇三湾村东河水库</w:t>
      </w:r>
      <w:r>
        <w:rPr>
          <w:rFonts w:hint="eastAsia" w:ascii="宋体" w:hAnsi="宋体" w:eastAsia="宋体" w:cs="宋体"/>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2.4其他要求：</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场内修理期限为5天，质保期为投运后一年，其他要求见设备附图备注。</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2.5采购明细详见</w:t>
      </w:r>
      <w:r>
        <w:rPr>
          <w:rFonts w:hint="eastAsia" w:ascii="宋体" w:hAnsi="宋体" w:cs="宋体"/>
          <w:b w:val="0"/>
          <w:bCs/>
          <w:color w:val="auto"/>
          <w:sz w:val="28"/>
          <w:szCs w:val="28"/>
          <w:highlight w:val="none"/>
          <w:u w:val="single"/>
          <w:lang w:val="en-US" w:eastAsia="zh-CN"/>
        </w:rPr>
        <w:t>“六</w:t>
      </w:r>
      <w:r>
        <w:rPr>
          <w:rFonts w:hint="eastAsia" w:ascii="Times New Roman" w:hAnsi="Times New Roman" w:eastAsia="宋体" w:cs="Times New Roman"/>
          <w:b/>
          <w:color w:val="auto"/>
          <w:sz w:val="28"/>
          <w:szCs w:val="28"/>
          <w:highlight w:val="none"/>
          <w:u w:val="single"/>
          <w:lang w:val="en-US" w:eastAsia="zh-CN"/>
        </w:rPr>
        <w:t>设备附图</w:t>
      </w:r>
      <w:r>
        <w:rPr>
          <w:rFonts w:hint="eastAsia" w:cs="Times New Roman"/>
          <w:b/>
          <w:color w:val="auto"/>
          <w:sz w:val="28"/>
          <w:szCs w:val="28"/>
          <w:highlight w:val="none"/>
          <w:u w:val="single"/>
          <w:lang w:val="en-US" w:eastAsia="zh-CN"/>
        </w:rPr>
        <w:t>及参数</w:t>
      </w:r>
      <w:r>
        <w:rPr>
          <w:rFonts w:hint="eastAsia" w:ascii="宋体" w:hAnsi="宋体" w:cs="宋体"/>
          <w:b w:val="0"/>
          <w:bCs/>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p>
    <w:bookmarkEnd w:id="0"/>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三、 </w:t>
      </w:r>
      <w:r>
        <w:rPr>
          <w:rFonts w:hint="eastAsia" w:ascii="Times New Roman" w:hAnsi="Times New Roman" w:eastAsia="宋体" w:cs="Times New Roman"/>
          <w:b/>
          <w:color w:val="auto"/>
          <w:sz w:val="28"/>
          <w:szCs w:val="28"/>
          <w:highlight w:val="none"/>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686" w:type="dxa"/>
            <w:noWrap w:val="0"/>
            <w:vAlign w:val="center"/>
          </w:tcPr>
          <w:p>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68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宋体" w:hAnsi="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3.5</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lang w:val="en-US" w:eastAsia="zh-CN"/>
              </w:rPr>
            </w:pPr>
            <w:r>
              <w:rPr>
                <w:rFonts w:hint="eastAsia" w:ascii="宋体" w:hAnsi="宋体" w:cs="Times New Roman"/>
                <w:color w:val="auto"/>
                <w:sz w:val="24"/>
                <w:highlight w:val="none"/>
                <w:u w:val="single"/>
                <w:vertAlign w:val="baseline"/>
                <w:lang w:val="en-US" w:eastAsia="zh-CN"/>
              </w:rPr>
              <w:t>无。</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4.2.1卖方应严格执行国家现行法规、规章，行业的规范，确保提供的产品或服务符合相关规定。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4.2.2售后服务的响应时间在</w:t>
      </w:r>
      <w:r>
        <w:rPr>
          <w:rFonts w:hint="eastAsia" w:ascii="宋体" w:hAnsi="宋体" w:cs="宋体"/>
          <w:color w:val="auto"/>
          <w:sz w:val="28"/>
          <w:szCs w:val="28"/>
          <w:highlight w:val="none"/>
          <w:lang w:val="en-US" w:eastAsia="zh-CN"/>
        </w:rPr>
        <w:t>24</w:t>
      </w:r>
      <w:r>
        <w:rPr>
          <w:rFonts w:hint="eastAsia" w:ascii="宋体" w:hAnsi="宋体" w:eastAsia="宋体" w:cs="宋体"/>
          <w:color w:val="auto"/>
          <w:sz w:val="28"/>
          <w:szCs w:val="28"/>
          <w:highlight w:val="none"/>
          <w:lang w:val="en-US" w:eastAsia="zh-CN"/>
        </w:rPr>
        <w:t>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4.2.3卖方应妥善作好买方所提供的文件资料的保存、回收及保密工作，不得泄漏、传播与监造设备有关的技术秘密和商业秘密。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4.2.4卖方完成本次投标活动视为接受并认可本采购文件所有条款。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4.2.5卖方所提供的产品或服务应不涉及知识产权纠纷，若出现任何知识产权问题，由卖方承担全部责任。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4.2.6其他要求</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见设备附图备注</w:t>
      </w:r>
      <w:r>
        <w:rPr>
          <w:rFonts w:hint="eastAsia" w:ascii="宋体" w:hAnsi="宋体" w:eastAsia="宋体" w:cs="宋体"/>
          <w:color w:val="auto"/>
          <w:sz w:val="28"/>
          <w:szCs w:val="28"/>
          <w:highlight w:val="none"/>
          <w:u w:val="single"/>
          <w:lang w:val="en-US" w:eastAsia="zh-CN"/>
        </w:rPr>
        <w:t xml:space="preserve">  </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五、违约责任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pPr>
        <w:spacing w:line="360" w:lineRule="auto"/>
        <w:ind w:firstLine="560" w:firstLineChars="200"/>
        <w:rPr>
          <w:rFonts w:hint="eastAsia" w:ascii="宋体" w:hAnsi="宋体" w:cs="宋体"/>
          <w:color w:val="auto"/>
          <w:spacing w:val="-1"/>
          <w:szCs w:val="21"/>
          <w:highlight w:val="none"/>
          <w:lang w:val="en-US" w:eastAsia="zh-CN"/>
        </w:rPr>
      </w:pPr>
      <w:r>
        <w:rPr>
          <w:rFonts w:hint="eastAsia" w:ascii="宋体" w:hAnsi="宋体" w:eastAsia="宋体" w:cs="宋体"/>
          <w:color w:val="auto"/>
          <w:sz w:val="28"/>
          <w:szCs w:val="28"/>
          <w:highlight w:val="none"/>
          <w:lang w:val="en-US" w:eastAsia="zh-CN"/>
        </w:rPr>
        <w:t>5.3卖方与买方若存在纠纷，应友好协商解决，若存在诉讼，应在买方所在地提起诉讼或仲裁。</w:t>
      </w:r>
      <w:r>
        <w:rPr>
          <w:rFonts w:hint="eastAsia" w:ascii="宋体" w:hAnsi="宋体" w:cs="宋体"/>
          <w:color w:val="auto"/>
          <w:sz w:val="21"/>
          <w:szCs w:val="21"/>
          <w:highlight w:val="none"/>
          <w:lang w:val="en-US" w:eastAsia="zh-CN"/>
        </w:rPr>
        <w:t xml:space="preserve">  </w:t>
      </w:r>
    </w:p>
    <w:p>
      <w:pPr>
        <w:adjustRightInd w:val="0"/>
        <w:snapToGrid w:val="0"/>
        <w:spacing w:before="156" w:line="360" w:lineRule="auto"/>
        <w:jc w:val="left"/>
        <w:outlineLvl w:val="0"/>
        <w:rPr>
          <w:rFonts w:hint="eastAsia" w:ascii="宋体" w:hAnsi="宋体" w:cs="宋体"/>
          <w:color w:val="auto"/>
          <w:spacing w:val="-1"/>
          <w:szCs w:val="21"/>
          <w:highlight w:val="none"/>
          <w:lang w:val="en-US" w:eastAsia="zh-CN"/>
        </w:rPr>
      </w:pPr>
      <w:r>
        <w:rPr>
          <w:rFonts w:hint="eastAsia" w:cs="Times New Roman"/>
          <w:b/>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5"/>
        <w:gridCol w:w="1339"/>
        <w:gridCol w:w="3773"/>
        <w:gridCol w:w="33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0" w:type="dxa"/>
            <w:noWrap w:val="0"/>
            <w:vAlign w:val="center"/>
          </w:tcPr>
          <w:p>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075"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子项</w:t>
            </w:r>
            <w:r>
              <w:rPr>
                <w:rFonts w:hint="default" w:ascii="宋体" w:hAnsi="宋体" w:eastAsia="宋体"/>
                <w:b/>
                <w:color w:val="auto"/>
                <w:kern w:val="0"/>
                <w:sz w:val="18"/>
                <w:szCs w:val="21"/>
                <w:highlight w:val="none"/>
              </w:rPr>
              <w:t>名称</w:t>
            </w:r>
          </w:p>
        </w:tc>
        <w:tc>
          <w:tcPr>
            <w:tcW w:w="1339" w:type="dxa"/>
            <w:noWrap w:val="0"/>
            <w:vAlign w:val="center"/>
          </w:tcPr>
          <w:p>
            <w:pPr>
              <w:adjustRightInd w:val="0"/>
              <w:snapToGrid w:val="0"/>
              <w:spacing w:beforeLines="0" w:afterLines="0" w:line="360" w:lineRule="auto"/>
              <w:jc w:val="center"/>
              <w:rPr>
                <w:rFonts w:hint="eastAsia" w:ascii="宋体" w:hAnsi="宋体" w:eastAsia="宋体" w:cs="宋体"/>
                <w:b/>
                <w:bCs/>
                <w:color w:val="auto"/>
                <w:kern w:val="0"/>
                <w:sz w:val="18"/>
                <w:szCs w:val="20"/>
                <w:highlight w:val="none"/>
                <w:lang w:eastAsia="zh-CN"/>
              </w:rPr>
            </w:pPr>
            <w:r>
              <w:rPr>
                <w:rFonts w:hint="eastAsia" w:ascii="宋体" w:hAnsi="宋体" w:eastAsia="宋体"/>
                <w:b/>
                <w:color w:val="auto"/>
                <w:kern w:val="0"/>
                <w:sz w:val="18"/>
                <w:szCs w:val="21"/>
                <w:highlight w:val="none"/>
                <w:lang w:eastAsia="zh-CN"/>
              </w:rPr>
              <w:t>型号</w:t>
            </w:r>
          </w:p>
        </w:tc>
        <w:tc>
          <w:tcPr>
            <w:tcW w:w="3773"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b/>
                <w:color w:val="auto"/>
                <w:kern w:val="0"/>
                <w:sz w:val="18"/>
                <w:szCs w:val="21"/>
                <w:highlight w:val="none"/>
                <w:lang w:val="en-US" w:eastAsia="zh-CN"/>
              </w:rPr>
              <w:t>附图</w:t>
            </w:r>
          </w:p>
        </w:tc>
        <w:tc>
          <w:tcPr>
            <w:tcW w:w="3342"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none"/>
              </w:rPr>
            </w:pPr>
            <w:r>
              <w:rPr>
                <w:rFonts w:hint="default" w:ascii="宋体" w:hAnsi="宋体" w:eastAsia="宋体"/>
                <w:color w:val="auto"/>
                <w:kern w:val="0"/>
                <w:sz w:val="18"/>
                <w:szCs w:val="21"/>
                <w:highlight w:val="none"/>
              </w:rPr>
              <w:t>1</w:t>
            </w:r>
          </w:p>
        </w:tc>
        <w:tc>
          <w:tcPr>
            <w:tcW w:w="1075" w:type="dxa"/>
            <w:noWrap w:val="0"/>
            <w:vAlign w:val="center"/>
          </w:tcPr>
          <w:p>
            <w:pPr>
              <w:keepNext w:val="0"/>
              <w:keepLines w:val="0"/>
              <w:widowControl/>
              <w:suppressLineNumbers w:val="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cs="宋体"/>
                <w:b w:val="0"/>
                <w:bCs w:val="0"/>
                <w:color w:val="auto"/>
                <w:kern w:val="0"/>
                <w:sz w:val="18"/>
                <w:szCs w:val="18"/>
                <w:highlight w:val="none"/>
                <w:lang w:val="en-US" w:eastAsia="zh-CN"/>
              </w:rPr>
              <w:t>修理</w:t>
            </w:r>
            <w:r>
              <w:rPr>
                <w:rFonts w:hint="eastAsia" w:ascii="宋体" w:hAnsi="宋体" w:eastAsia="宋体" w:cs="宋体"/>
                <w:b w:val="0"/>
                <w:bCs w:val="0"/>
                <w:color w:val="auto"/>
                <w:kern w:val="0"/>
                <w:sz w:val="18"/>
                <w:szCs w:val="18"/>
                <w:highlight w:val="none"/>
                <w:lang w:val="en-US" w:eastAsia="zh-CN"/>
              </w:rPr>
              <w:t>10kV换东线变压器</w:t>
            </w:r>
            <w:r>
              <w:rPr>
                <w:rFonts w:hint="eastAsia" w:ascii="宋体" w:hAnsi="宋体" w:cs="宋体"/>
                <w:b w:val="0"/>
                <w:bCs w:val="0"/>
                <w:color w:val="auto"/>
                <w:kern w:val="0"/>
                <w:sz w:val="18"/>
                <w:szCs w:val="18"/>
                <w:highlight w:val="none"/>
                <w:lang w:val="en-US" w:eastAsia="zh-CN"/>
              </w:rPr>
              <w:t>一台</w:t>
            </w:r>
          </w:p>
        </w:tc>
        <w:tc>
          <w:tcPr>
            <w:tcW w:w="1339" w:type="dxa"/>
            <w:noWrap w:val="0"/>
            <w:vAlign w:val="center"/>
          </w:tcPr>
          <w:p>
            <w:pPr>
              <w:adjustRightInd w:val="0"/>
              <w:snapToGrid w:val="0"/>
              <w:spacing w:beforeLines="0" w:afterLines="0" w:line="360" w:lineRule="auto"/>
              <w:jc w:val="center"/>
              <w:rPr>
                <w:rFonts w:hint="default" w:ascii="宋体" w:hAnsi="宋体" w:eastAsia="宋体" w:cs="宋体"/>
                <w:b/>
                <w:i w:val="0"/>
                <w:color w:val="auto"/>
                <w:kern w:val="0"/>
                <w:sz w:val="18"/>
                <w:szCs w:val="18"/>
                <w:highlight w:val="none"/>
                <w:u w:val="none"/>
                <w:lang w:val="en-US" w:eastAsia="zh-CN" w:bidi="ar"/>
              </w:rPr>
            </w:pPr>
            <w:r>
              <w:rPr>
                <w:rFonts w:hint="default" w:ascii="宋体" w:hAnsi="宋体" w:eastAsia="宋体" w:cs="宋体"/>
                <w:b/>
                <w:i w:val="0"/>
                <w:color w:val="auto"/>
                <w:kern w:val="0"/>
                <w:sz w:val="18"/>
                <w:szCs w:val="18"/>
                <w:highlight w:val="none"/>
                <w:u w:val="none"/>
                <w:lang w:val="en-US" w:eastAsia="zh-CN" w:bidi="ar"/>
              </w:rPr>
              <w:t>S11-M-200</w:t>
            </w:r>
          </w:p>
        </w:tc>
        <w:tc>
          <w:tcPr>
            <w:tcW w:w="3773" w:type="dxa"/>
            <w:noWrap w:val="0"/>
            <w:vAlign w:val="center"/>
          </w:tcPr>
          <w:p>
            <w:pPr>
              <w:keepNext w:val="0"/>
              <w:keepLines w:val="0"/>
              <w:widowControl/>
              <w:suppressLineNumbers w:val="0"/>
              <w:jc w:val="center"/>
              <w:textAlignment w:val="center"/>
              <w:rPr>
                <w:rFonts w:hint="eastAsia" w:eastAsia="宋体"/>
                <w:vanish w:val="0"/>
                <w:color w:val="auto"/>
                <w:highlight w:val="none"/>
                <w:lang w:eastAsia="zh-CN"/>
              </w:rPr>
            </w:pPr>
            <w:r>
              <w:rPr>
                <w:rFonts w:ascii="宋体" w:hAnsi="宋体" w:eastAsia="宋体" w:cs="宋体"/>
                <w:sz w:val="24"/>
                <w:szCs w:val="24"/>
                <w:highlight w:val="none"/>
              </w:rPr>
              <w:drawing>
                <wp:inline distT="0" distB="0" distL="114300" distR="114300">
                  <wp:extent cx="1822450" cy="1367155"/>
                  <wp:effectExtent l="0" t="0" r="6350" b="4445"/>
                  <wp:docPr id="4"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56"/>
                          <pic:cNvPicPr>
                            <a:picLocks noChangeAspect="1"/>
                          </pic:cNvPicPr>
                        </pic:nvPicPr>
                        <pic:blipFill>
                          <a:blip r:embed="rId12"/>
                          <a:stretch>
                            <a:fillRect/>
                          </a:stretch>
                        </pic:blipFill>
                        <pic:spPr>
                          <a:xfrm>
                            <a:off x="0" y="0"/>
                            <a:ext cx="1822450" cy="1367155"/>
                          </a:xfrm>
                          <a:prstGeom prst="rect">
                            <a:avLst/>
                          </a:prstGeom>
                          <a:noFill/>
                          <a:ln>
                            <a:noFill/>
                          </a:ln>
                        </pic:spPr>
                      </pic:pic>
                    </a:graphicData>
                  </a:graphic>
                </wp:inline>
              </w:drawing>
            </w:r>
            <w:r>
              <w:rPr>
                <w:rFonts w:hint="eastAsia" w:eastAsia="宋体"/>
                <w:vanish w:val="0"/>
                <w:color w:val="auto"/>
                <w:highlight w:val="none"/>
                <w:lang w:eastAsia="zh-CN"/>
              </w:rPr>
              <w:drawing>
                <wp:inline distT="0" distB="0" distL="114300" distR="114300">
                  <wp:extent cx="2226945" cy="2969895"/>
                  <wp:effectExtent l="0" t="0" r="1905" b="1905"/>
                  <wp:docPr id="5" name="图片 2" descr="fbcba6071f4a1f9d0b5ca209b7b8a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fbcba6071f4a1f9d0b5ca209b7b8abc"/>
                          <pic:cNvPicPr>
                            <a:picLocks noChangeAspect="1"/>
                          </pic:cNvPicPr>
                        </pic:nvPicPr>
                        <pic:blipFill>
                          <a:blip r:embed="rId13"/>
                          <a:stretch>
                            <a:fillRect/>
                          </a:stretch>
                        </pic:blipFill>
                        <pic:spPr>
                          <a:xfrm>
                            <a:off x="0" y="0"/>
                            <a:ext cx="2226945" cy="2969895"/>
                          </a:xfrm>
                          <a:prstGeom prst="rect">
                            <a:avLst/>
                          </a:prstGeom>
                          <a:noFill/>
                          <a:ln>
                            <a:noFill/>
                          </a:ln>
                        </pic:spPr>
                      </pic:pic>
                    </a:graphicData>
                  </a:graphic>
                </wp:inline>
              </w:drawing>
            </w:r>
          </w:p>
          <w:p>
            <w:pPr>
              <w:keepNext w:val="0"/>
              <w:keepLines w:val="0"/>
              <w:widowControl/>
              <w:suppressLineNumbers w:val="0"/>
              <w:jc w:val="center"/>
              <w:textAlignment w:val="center"/>
              <w:rPr>
                <w:rFonts w:hint="eastAsia" w:eastAsia="宋体"/>
                <w:vanish w:val="0"/>
                <w:color w:val="auto"/>
                <w:highlight w:val="none"/>
                <w:lang w:val="en-US" w:eastAsia="zh-CN"/>
              </w:rPr>
            </w:pPr>
            <w:r>
              <w:rPr>
                <w:rFonts w:hint="eastAsia" w:ascii="宋体" w:hAnsi="宋体" w:eastAsia="宋体" w:cs="宋体"/>
                <w:color w:val="auto"/>
                <w:sz w:val="28"/>
                <w:szCs w:val="28"/>
                <w:highlight w:val="none"/>
                <w:lang w:val="en-US" w:eastAsia="zh-CN"/>
              </w:rPr>
              <w:drawing>
                <wp:inline distT="0" distB="0" distL="114300" distR="114300">
                  <wp:extent cx="2400935" cy="2813685"/>
                  <wp:effectExtent l="0" t="0" r="18415" b="5715"/>
                  <wp:docPr id="6" name="图片 10" descr="93c77ccecf69a361bb6436ba755ff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0" descr="93c77ccecf69a361bb6436ba755ff63"/>
                          <pic:cNvPicPr>
                            <a:picLocks noChangeAspect="1"/>
                          </pic:cNvPicPr>
                        </pic:nvPicPr>
                        <pic:blipFill>
                          <a:blip r:embed="rId14"/>
                          <a:stretch>
                            <a:fillRect/>
                          </a:stretch>
                        </pic:blipFill>
                        <pic:spPr>
                          <a:xfrm>
                            <a:off x="0" y="0"/>
                            <a:ext cx="2400935" cy="2813685"/>
                          </a:xfrm>
                          <a:prstGeom prst="rect">
                            <a:avLst/>
                          </a:prstGeom>
                          <a:noFill/>
                          <a:ln>
                            <a:noFill/>
                          </a:ln>
                        </pic:spPr>
                      </pic:pic>
                    </a:graphicData>
                  </a:graphic>
                </wp:inline>
              </w:drawing>
            </w:r>
            <w:r>
              <w:rPr>
                <w:rFonts w:hint="eastAsia" w:ascii="宋体" w:hAnsi="宋体" w:eastAsia="宋体" w:cs="宋体"/>
                <w:color w:val="auto"/>
                <w:sz w:val="28"/>
                <w:szCs w:val="28"/>
                <w:highlight w:val="none"/>
                <w:lang w:val="en-US" w:eastAsia="zh-CN"/>
              </w:rPr>
              <w:drawing>
                <wp:inline distT="0" distB="0" distL="114300" distR="114300">
                  <wp:extent cx="2348230" cy="2819400"/>
                  <wp:effectExtent l="0" t="0" r="13970" b="0"/>
                  <wp:docPr id="8" name="图片 11" descr="a72f1a835de07d8f3f884cea6965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1" descr="a72f1a835de07d8f3f884cea6965969"/>
                          <pic:cNvPicPr>
                            <a:picLocks noChangeAspect="1"/>
                          </pic:cNvPicPr>
                        </pic:nvPicPr>
                        <pic:blipFill>
                          <a:blip r:embed="rId15"/>
                          <a:stretch>
                            <a:fillRect/>
                          </a:stretch>
                        </pic:blipFill>
                        <pic:spPr>
                          <a:xfrm>
                            <a:off x="0" y="0"/>
                            <a:ext cx="2348230" cy="2819400"/>
                          </a:xfrm>
                          <a:prstGeom prst="rect">
                            <a:avLst/>
                          </a:prstGeom>
                          <a:noFill/>
                          <a:ln>
                            <a:noFill/>
                          </a:ln>
                        </pic:spPr>
                      </pic:pic>
                    </a:graphicData>
                  </a:graphic>
                </wp:inline>
              </w:drawing>
            </w:r>
            <w:r>
              <w:rPr>
                <w:rFonts w:hint="eastAsia" w:ascii="宋体" w:hAnsi="宋体" w:eastAsia="宋体" w:cs="宋体"/>
                <w:color w:val="auto"/>
                <w:sz w:val="28"/>
                <w:szCs w:val="28"/>
                <w:highlight w:val="none"/>
                <w:lang w:val="en-US" w:eastAsia="zh-CN"/>
              </w:rPr>
              <w:drawing>
                <wp:inline distT="0" distB="0" distL="114300" distR="114300">
                  <wp:extent cx="2308860" cy="2558415"/>
                  <wp:effectExtent l="0" t="0" r="15240" b="13335"/>
                  <wp:docPr id="9" name="图片 13" descr="f9b2b55b605fdd73826d41657da85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3" descr="f9b2b55b605fdd73826d41657da85d6"/>
                          <pic:cNvPicPr>
                            <a:picLocks noChangeAspect="1"/>
                          </pic:cNvPicPr>
                        </pic:nvPicPr>
                        <pic:blipFill>
                          <a:blip r:embed="rId16"/>
                          <a:stretch>
                            <a:fillRect/>
                          </a:stretch>
                        </pic:blipFill>
                        <pic:spPr>
                          <a:xfrm>
                            <a:off x="0" y="0"/>
                            <a:ext cx="2308860" cy="2558415"/>
                          </a:xfrm>
                          <a:prstGeom prst="rect">
                            <a:avLst/>
                          </a:prstGeom>
                          <a:noFill/>
                          <a:ln>
                            <a:noFill/>
                          </a:ln>
                        </pic:spPr>
                      </pic:pic>
                    </a:graphicData>
                  </a:graphic>
                </wp:inline>
              </w:drawing>
            </w:r>
          </w:p>
        </w:tc>
        <w:tc>
          <w:tcPr>
            <w:tcW w:w="3342" w:type="dxa"/>
            <w:noWrap w:val="0"/>
            <w:vAlign w:val="center"/>
          </w:tcPr>
          <w:p>
            <w:p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服务方提供完成以下项目所需的人员、物资、车辆、仪器、工器具等，</w:t>
            </w:r>
            <w:r>
              <w:rPr>
                <w:rFonts w:hint="eastAsia" w:ascii="宋体" w:hAnsi="宋体" w:cs="宋体"/>
                <w:b/>
                <w:bCs/>
                <w:color w:val="auto"/>
                <w:kern w:val="0"/>
                <w:sz w:val="18"/>
                <w:szCs w:val="18"/>
                <w:highlight w:val="none"/>
                <w:lang w:val="en-US" w:eastAsia="zh-CN" w:bidi="ar-SA"/>
              </w:rPr>
              <w:t>所有车辆、仪器、工器具等需第三方检测合格且在有效期内</w:t>
            </w:r>
            <w:r>
              <w:rPr>
                <w:rFonts w:hint="eastAsia" w:ascii="宋体" w:hAnsi="宋体" w:cs="宋体"/>
                <w:b w:val="0"/>
                <w:bCs w:val="0"/>
                <w:color w:val="auto"/>
                <w:kern w:val="0"/>
                <w:sz w:val="18"/>
                <w:szCs w:val="18"/>
                <w:highlight w:val="none"/>
                <w:lang w:val="en-US" w:eastAsia="zh-CN" w:bidi="ar-SA"/>
              </w:rPr>
              <w:t>。项目内容包含：</w:t>
            </w:r>
          </w:p>
          <w:p>
            <w:pPr>
              <w:numPr>
                <w:ilvl w:val="0"/>
                <w:numId w:val="2"/>
              </w:num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bCs/>
                <w:color w:val="auto"/>
                <w:kern w:val="0"/>
                <w:sz w:val="18"/>
                <w:szCs w:val="18"/>
                <w:highlight w:val="none"/>
                <w:lang w:val="en-US" w:eastAsia="zh-CN" w:bidi="ar-SA"/>
              </w:rPr>
              <w:t>变压器拆装；</w:t>
            </w:r>
            <w:r>
              <w:rPr>
                <w:rFonts w:hint="eastAsia" w:ascii="宋体" w:hAnsi="宋体" w:cs="宋体"/>
                <w:b w:val="0"/>
                <w:bCs w:val="0"/>
                <w:color w:val="auto"/>
                <w:kern w:val="0"/>
                <w:sz w:val="18"/>
                <w:szCs w:val="18"/>
                <w:highlight w:val="none"/>
                <w:lang w:val="en-US" w:eastAsia="zh-CN" w:bidi="ar-SA"/>
              </w:rPr>
              <w:t>变压器距离车辆可运输道路约500米，此段距离需要人工搬运，其他距离服务方提供汽车吊运输及吊装。</w:t>
            </w:r>
          </w:p>
          <w:p>
            <w:pPr>
              <w:numPr>
                <w:ilvl w:val="0"/>
                <w:numId w:val="2"/>
              </w:numPr>
              <w:adjustRightInd w:val="0"/>
              <w:snapToGrid w:val="0"/>
              <w:spacing w:line="360" w:lineRule="auto"/>
              <w:jc w:val="both"/>
              <w:rPr>
                <w:rFonts w:hint="default" w:ascii="宋体" w:hAnsi="宋体" w:cs="宋体"/>
                <w:b/>
                <w:bCs/>
                <w:color w:val="auto"/>
                <w:kern w:val="0"/>
                <w:sz w:val="18"/>
                <w:szCs w:val="18"/>
                <w:highlight w:val="none"/>
                <w:lang w:val="en-US" w:eastAsia="zh-CN" w:bidi="ar-SA"/>
              </w:rPr>
            </w:pPr>
            <w:r>
              <w:rPr>
                <w:rFonts w:hint="eastAsia" w:ascii="宋体" w:hAnsi="宋体" w:cs="宋体"/>
                <w:b/>
                <w:bCs/>
                <w:color w:val="auto"/>
                <w:kern w:val="0"/>
                <w:sz w:val="18"/>
                <w:szCs w:val="18"/>
                <w:highlight w:val="none"/>
                <w:lang w:val="en-US" w:eastAsia="zh-CN" w:bidi="ar-SA"/>
              </w:rPr>
              <w:t>变压器场内修理：需进行吊芯解体检查，查明故障点并修复。需在无尘干燥室内进行绕组、器身干燥处理。需更换全部变压器油。需提供出厂试验报告及场内修理报告。</w:t>
            </w:r>
          </w:p>
          <w:p>
            <w:pPr>
              <w:numPr>
                <w:ilvl w:val="0"/>
                <w:numId w:val="0"/>
              </w:numPr>
              <w:adjustRightInd w:val="0"/>
              <w:snapToGrid w:val="0"/>
              <w:spacing w:line="360" w:lineRule="auto"/>
              <w:jc w:val="both"/>
              <w:rPr>
                <w:rFonts w:hint="eastAsia" w:ascii="宋体" w:hAnsi="宋体" w:cs="宋体"/>
                <w:b/>
                <w:bCs/>
                <w:color w:val="auto"/>
                <w:kern w:val="0"/>
                <w:sz w:val="18"/>
                <w:szCs w:val="18"/>
                <w:highlight w:val="none"/>
                <w:lang w:val="en-US" w:eastAsia="zh-CN" w:bidi="ar-SA"/>
              </w:rPr>
            </w:pPr>
            <w:r>
              <w:rPr>
                <w:rFonts w:hint="eastAsia" w:ascii="宋体" w:hAnsi="宋体" w:cs="宋体"/>
                <w:b/>
                <w:bCs/>
                <w:color w:val="auto"/>
                <w:kern w:val="0"/>
                <w:sz w:val="18"/>
                <w:szCs w:val="18"/>
                <w:highlight w:val="none"/>
                <w:lang w:val="en-US" w:eastAsia="zh-CN" w:bidi="ar-SA"/>
              </w:rPr>
              <w:t>出厂试验项目包含：</w:t>
            </w:r>
          </w:p>
          <w:p>
            <w:pPr>
              <w:numPr>
                <w:ilvl w:val="0"/>
                <w:numId w:val="0"/>
              </w:num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2.1、测量绕组连同套管的直流电阻：测量仪器采用直流单双臂电桥；</w:t>
            </w:r>
          </w:p>
          <w:p>
            <w:pPr>
              <w:numPr>
                <w:ilvl w:val="0"/>
                <w:numId w:val="0"/>
              </w:num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2.2、检查所有分接头的变压比；</w:t>
            </w:r>
          </w:p>
          <w:p>
            <w:pPr>
              <w:numPr>
                <w:ilvl w:val="0"/>
                <w:numId w:val="0"/>
              </w:num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2.3、检查变压器的三相接线组别和单相变压器引出线的极性；</w:t>
            </w:r>
          </w:p>
          <w:p>
            <w:pPr>
              <w:numPr>
                <w:ilvl w:val="0"/>
                <w:numId w:val="0"/>
              </w:num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2.4、测量绕组连同套管的绝缘电阻、吸收比和极化指数；</w:t>
            </w:r>
          </w:p>
          <w:p>
            <w:pPr>
              <w:numPr>
                <w:ilvl w:val="0"/>
                <w:numId w:val="0"/>
              </w:num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2.5、测量绕组连同套管的介质损耗角正切值tg§；</w:t>
            </w:r>
          </w:p>
          <w:p>
            <w:pPr>
              <w:numPr>
                <w:ilvl w:val="0"/>
                <w:numId w:val="0"/>
              </w:num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2.6、测量绕组连同套管的泄漏电流，施加的试验电压为 20kV，持续时间1min，再读取泄漏电流。在温度20℃时泄漏电流值不超过50，温度30℃时泄漏电流值不超过74；</w:t>
            </w:r>
          </w:p>
          <w:p>
            <w:pPr>
              <w:numPr>
                <w:ilvl w:val="0"/>
                <w:numId w:val="0"/>
              </w:num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2.7、绕组连同套管的交流耐压试验，试验工频耐压&gt;35kV，耐压持续时间为 1min；</w:t>
            </w:r>
          </w:p>
          <w:p>
            <w:pPr>
              <w:numPr>
                <w:ilvl w:val="0"/>
                <w:numId w:val="0"/>
              </w:num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2.8、绕组连同套管的局部放电试验；</w:t>
            </w:r>
          </w:p>
          <w:p>
            <w:pPr>
              <w:numPr>
                <w:ilvl w:val="0"/>
                <w:numId w:val="0"/>
              </w:num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2.9、测量与铁心绝缘的各紧固件及铁芯接地线引出套管对外壳的绝缘电阻，测量的绝缘电阻值（换算至出厂试验时同温度条件下）的数值不应低于出厂试验数据值的 70%；</w:t>
            </w:r>
          </w:p>
          <w:p>
            <w:pPr>
              <w:numPr>
                <w:ilvl w:val="0"/>
                <w:numId w:val="0"/>
              </w:num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2.10、额定电压下的冲击合闸试验，在第一次投入时，可全电压冲击合闸。如有条件应从零起升压。从变压器高压进线侧（6kV端）对变压器进行5次冲击合闸试验，每次间隔时间为5min, 应无异常现象；</w:t>
            </w:r>
          </w:p>
          <w:p>
            <w:pPr>
              <w:numPr>
                <w:ilvl w:val="0"/>
                <w:numId w:val="0"/>
              </w:num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2.11、检查相位；</w:t>
            </w:r>
          </w:p>
          <w:p>
            <w:pPr>
              <w:numPr>
                <w:ilvl w:val="0"/>
                <w:numId w:val="0"/>
              </w:numPr>
              <w:adjustRightInd w:val="0"/>
              <w:snapToGrid w:val="0"/>
              <w:spacing w:line="360" w:lineRule="auto"/>
              <w:jc w:val="both"/>
              <w:rPr>
                <w:rFonts w:hint="default"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2.12、测量噪音。</w:t>
            </w:r>
          </w:p>
          <w:p>
            <w:pPr>
              <w:numPr>
                <w:ilvl w:val="0"/>
                <w:numId w:val="0"/>
              </w:numPr>
              <w:adjustRightInd w:val="0"/>
              <w:snapToGrid w:val="0"/>
              <w:spacing w:line="360" w:lineRule="auto"/>
              <w:jc w:val="both"/>
              <w:rPr>
                <w:rFonts w:hint="default" w:ascii="宋体" w:hAnsi="宋体" w:cs="宋体"/>
                <w:b/>
                <w:bCs/>
                <w:color w:val="auto"/>
                <w:kern w:val="0"/>
                <w:sz w:val="18"/>
                <w:szCs w:val="18"/>
                <w:highlight w:val="none"/>
                <w:lang w:val="en-US" w:eastAsia="zh-CN" w:bidi="ar-SA"/>
              </w:rPr>
            </w:pPr>
            <w:r>
              <w:rPr>
                <w:rFonts w:hint="eastAsia" w:ascii="宋体" w:hAnsi="宋体" w:cs="宋体"/>
                <w:b/>
                <w:bCs/>
                <w:color w:val="auto"/>
                <w:kern w:val="0"/>
                <w:sz w:val="18"/>
                <w:szCs w:val="18"/>
                <w:highlight w:val="none"/>
                <w:lang w:val="en-US" w:eastAsia="zh-CN" w:bidi="ar-SA"/>
              </w:rPr>
              <w:t>3、变压器现场交接试验：安装完成后需开展交接试验并提供报告，服务方提供试验仪器（含发电机）、人员，试验项目包含：</w:t>
            </w:r>
          </w:p>
          <w:p>
            <w:pPr>
              <w:numPr>
                <w:ilvl w:val="0"/>
                <w:numId w:val="0"/>
              </w:num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3.1、</w:t>
            </w:r>
            <w:r>
              <w:rPr>
                <w:rFonts w:hint="default" w:ascii="宋体" w:hAnsi="宋体" w:cs="宋体"/>
                <w:b w:val="0"/>
                <w:bCs w:val="0"/>
                <w:color w:val="auto"/>
                <w:kern w:val="0"/>
                <w:sz w:val="18"/>
                <w:szCs w:val="18"/>
                <w:highlight w:val="none"/>
                <w:lang w:val="en-US" w:eastAsia="zh-CN" w:bidi="ar-SA"/>
              </w:rPr>
              <w:t>绝缘油测试</w:t>
            </w:r>
            <w:r>
              <w:rPr>
                <w:rFonts w:hint="eastAsia" w:ascii="宋体" w:hAnsi="宋体" w:cs="宋体"/>
                <w:b w:val="0"/>
                <w:bCs w:val="0"/>
                <w:color w:val="auto"/>
                <w:kern w:val="0"/>
                <w:sz w:val="18"/>
                <w:szCs w:val="18"/>
                <w:highlight w:val="none"/>
                <w:lang w:val="en-US" w:eastAsia="zh-CN" w:bidi="ar-SA"/>
              </w:rPr>
              <w:t>：pH值、酸值、闭口闪点、水分、油中溶解气体的色谱分析。</w:t>
            </w:r>
          </w:p>
          <w:p>
            <w:pPr>
              <w:numPr>
                <w:ilvl w:val="0"/>
                <w:numId w:val="0"/>
              </w:num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3.2</w:t>
            </w:r>
            <w:r>
              <w:rPr>
                <w:rFonts w:hint="default" w:ascii="宋体" w:hAnsi="宋体" w:cs="宋体"/>
                <w:b w:val="0"/>
                <w:bCs w:val="0"/>
                <w:color w:val="auto"/>
                <w:kern w:val="0"/>
                <w:sz w:val="18"/>
                <w:szCs w:val="18"/>
                <w:highlight w:val="none"/>
                <w:lang w:val="en-US" w:eastAsia="zh-CN" w:bidi="ar-SA"/>
              </w:rPr>
              <w:t>整体密封检查</w:t>
            </w:r>
            <w:r>
              <w:rPr>
                <w:rFonts w:hint="eastAsia" w:ascii="宋体" w:hAnsi="宋体" w:cs="宋体"/>
                <w:b w:val="0"/>
                <w:bCs w:val="0"/>
                <w:color w:val="auto"/>
                <w:kern w:val="0"/>
                <w:sz w:val="18"/>
                <w:szCs w:val="18"/>
                <w:highlight w:val="none"/>
                <w:lang w:val="en-US" w:eastAsia="zh-CN" w:bidi="ar-SA"/>
              </w:rPr>
              <w:t>：整台变压器（包括所有充油附件，波纹油枕除外）应能承受在储油柜油面上施加30kPa静压力，持续24h，应无渗漏及损伤。</w:t>
            </w:r>
          </w:p>
          <w:p>
            <w:pPr>
              <w:numPr>
                <w:ilvl w:val="0"/>
                <w:numId w:val="0"/>
              </w:num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3.3</w:t>
            </w:r>
            <w:r>
              <w:rPr>
                <w:rFonts w:hint="default" w:ascii="宋体" w:hAnsi="宋体" w:cs="宋体"/>
                <w:b w:val="0"/>
                <w:bCs w:val="0"/>
                <w:color w:val="auto"/>
                <w:kern w:val="0"/>
                <w:sz w:val="18"/>
                <w:szCs w:val="18"/>
                <w:highlight w:val="none"/>
                <w:lang w:val="en-US" w:eastAsia="zh-CN" w:bidi="ar-SA"/>
              </w:rPr>
              <w:t>额定电压下的冲击合闸试验</w:t>
            </w:r>
            <w:r>
              <w:rPr>
                <w:rFonts w:hint="eastAsia" w:ascii="宋体" w:hAnsi="宋体" w:cs="宋体"/>
                <w:b w:val="0"/>
                <w:bCs w:val="0"/>
                <w:color w:val="auto"/>
                <w:kern w:val="0"/>
                <w:sz w:val="18"/>
                <w:szCs w:val="18"/>
                <w:highlight w:val="none"/>
                <w:lang w:val="en-US" w:eastAsia="zh-CN" w:bidi="ar-SA"/>
              </w:rPr>
              <w:t xml:space="preserve">：在额定电压下对变压器的冲击合闸试验，应进行5 次，每次间隔时间宜为5min，应无异常现象 </w:t>
            </w:r>
          </w:p>
          <w:p>
            <w:pPr>
              <w:numPr>
                <w:ilvl w:val="0"/>
                <w:numId w:val="0"/>
              </w:num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3.4</w:t>
            </w:r>
            <w:r>
              <w:rPr>
                <w:rFonts w:hint="default" w:ascii="宋体" w:hAnsi="宋体" w:cs="宋体"/>
                <w:b w:val="0"/>
                <w:bCs w:val="0"/>
                <w:color w:val="auto"/>
                <w:kern w:val="0"/>
                <w:sz w:val="18"/>
                <w:szCs w:val="18"/>
                <w:highlight w:val="none"/>
                <w:lang w:val="en-US" w:eastAsia="zh-CN" w:bidi="ar-SA"/>
              </w:rPr>
              <w:t>极性和相位检查</w:t>
            </w:r>
            <w:r>
              <w:rPr>
                <w:rFonts w:hint="eastAsia" w:ascii="宋体" w:hAnsi="宋体" w:cs="宋体"/>
                <w:b w:val="0"/>
                <w:bCs w:val="0"/>
                <w:color w:val="auto"/>
                <w:kern w:val="0"/>
                <w:sz w:val="18"/>
                <w:szCs w:val="18"/>
                <w:highlight w:val="none"/>
                <w:lang w:val="en-US" w:eastAsia="zh-CN" w:bidi="ar-SA"/>
              </w:rPr>
              <w:t>；</w:t>
            </w:r>
          </w:p>
          <w:p>
            <w:pPr>
              <w:numPr>
                <w:ilvl w:val="0"/>
                <w:numId w:val="0"/>
              </w:num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3.5</w:t>
            </w:r>
            <w:r>
              <w:rPr>
                <w:rFonts w:hint="default" w:ascii="宋体" w:hAnsi="宋体" w:cs="宋体"/>
                <w:b w:val="0"/>
                <w:bCs w:val="0"/>
                <w:color w:val="auto"/>
                <w:kern w:val="0"/>
                <w:sz w:val="18"/>
                <w:szCs w:val="18"/>
                <w:highlight w:val="none"/>
                <w:lang w:val="en-US" w:eastAsia="zh-CN" w:bidi="ar-SA"/>
              </w:rPr>
              <w:t>绕组连同套管的交流耐压</w:t>
            </w:r>
            <w:r>
              <w:rPr>
                <w:rFonts w:hint="eastAsia" w:ascii="宋体" w:hAnsi="宋体" w:cs="宋体"/>
                <w:b w:val="0"/>
                <w:bCs w:val="0"/>
                <w:color w:val="auto"/>
                <w:kern w:val="0"/>
                <w:sz w:val="18"/>
                <w:szCs w:val="18"/>
                <w:highlight w:val="none"/>
                <w:lang w:val="en-US" w:eastAsia="zh-CN" w:bidi="ar-SA"/>
              </w:rPr>
              <w:t>：外施交流电压试验电压的频率不应低于40Hz ，全电压下耐受时间应为60S。试验耐受电压标准为出厂试验值的80%。</w:t>
            </w:r>
          </w:p>
          <w:p>
            <w:pPr>
              <w:numPr>
                <w:ilvl w:val="0"/>
                <w:numId w:val="0"/>
              </w:num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3.6</w:t>
            </w:r>
            <w:r>
              <w:rPr>
                <w:rFonts w:hint="default" w:ascii="宋体" w:hAnsi="宋体" w:cs="宋体"/>
                <w:b w:val="0"/>
                <w:bCs w:val="0"/>
                <w:color w:val="auto"/>
                <w:kern w:val="0"/>
                <w:sz w:val="18"/>
                <w:szCs w:val="18"/>
                <w:highlight w:val="none"/>
                <w:lang w:val="en-US" w:eastAsia="zh-CN" w:bidi="ar-SA"/>
              </w:rPr>
              <w:t>铁芯夹件绝缘电阻</w:t>
            </w:r>
            <w:r>
              <w:rPr>
                <w:rFonts w:hint="eastAsia" w:ascii="宋体" w:hAnsi="宋体" w:cs="宋体"/>
                <w:b w:val="0"/>
                <w:bCs w:val="0"/>
                <w:color w:val="auto"/>
                <w:kern w:val="0"/>
                <w:sz w:val="18"/>
                <w:szCs w:val="18"/>
                <w:highlight w:val="none"/>
                <w:lang w:val="en-US" w:eastAsia="zh-CN" w:bidi="ar-SA"/>
              </w:rPr>
              <w:t>；</w:t>
            </w:r>
          </w:p>
          <w:p>
            <w:pPr>
              <w:numPr>
                <w:ilvl w:val="0"/>
                <w:numId w:val="0"/>
              </w:num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3.7</w:t>
            </w:r>
            <w:r>
              <w:rPr>
                <w:rFonts w:hint="default" w:ascii="宋体" w:hAnsi="宋体" w:cs="宋体"/>
                <w:b w:val="0"/>
                <w:bCs w:val="0"/>
                <w:color w:val="auto"/>
                <w:kern w:val="0"/>
                <w:sz w:val="18"/>
                <w:szCs w:val="18"/>
                <w:highlight w:val="none"/>
                <w:lang w:val="en-US" w:eastAsia="zh-CN" w:bidi="ar-SA"/>
              </w:rPr>
              <w:t>绕组连同套管绝缘电阻</w:t>
            </w:r>
            <w:r>
              <w:rPr>
                <w:rFonts w:hint="eastAsia" w:ascii="宋体" w:hAnsi="宋体" w:cs="宋体"/>
                <w:b w:val="0"/>
                <w:bCs w:val="0"/>
                <w:color w:val="auto"/>
                <w:kern w:val="0"/>
                <w:sz w:val="18"/>
                <w:szCs w:val="18"/>
                <w:highlight w:val="none"/>
                <w:lang w:val="en-US" w:eastAsia="zh-CN" w:bidi="ar-SA"/>
              </w:rPr>
              <w:t>；</w:t>
            </w:r>
          </w:p>
          <w:p>
            <w:pPr>
              <w:numPr>
                <w:ilvl w:val="0"/>
                <w:numId w:val="0"/>
              </w:num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3.8</w:t>
            </w:r>
            <w:r>
              <w:rPr>
                <w:rFonts w:hint="default" w:ascii="宋体" w:hAnsi="宋体" w:cs="宋体"/>
                <w:b w:val="0"/>
                <w:bCs w:val="0"/>
                <w:color w:val="auto"/>
                <w:kern w:val="0"/>
                <w:sz w:val="18"/>
                <w:szCs w:val="18"/>
                <w:highlight w:val="none"/>
                <w:lang w:val="en-US" w:eastAsia="zh-CN" w:bidi="ar-SA"/>
              </w:rPr>
              <w:t>变比及组别</w:t>
            </w:r>
            <w:r>
              <w:rPr>
                <w:rFonts w:hint="eastAsia" w:ascii="宋体" w:hAnsi="宋体" w:cs="宋体"/>
                <w:b w:val="0"/>
                <w:bCs w:val="0"/>
                <w:color w:val="auto"/>
                <w:kern w:val="0"/>
                <w:sz w:val="18"/>
                <w:szCs w:val="18"/>
                <w:highlight w:val="none"/>
                <w:lang w:val="en-US" w:eastAsia="zh-CN" w:bidi="ar-SA"/>
              </w:rPr>
              <w:t>；</w:t>
            </w:r>
          </w:p>
          <w:p>
            <w:pPr>
              <w:numPr>
                <w:ilvl w:val="0"/>
                <w:numId w:val="0"/>
              </w:numPr>
              <w:adjustRightInd w:val="0"/>
              <w:snapToGrid w:val="0"/>
              <w:spacing w:line="360" w:lineRule="auto"/>
              <w:jc w:val="both"/>
              <w:rPr>
                <w:rFonts w:hint="eastAsia" w:ascii="宋体" w:hAnsi="宋体" w:eastAsia="宋体" w:cs="宋体"/>
                <w:b/>
                <w:color w:val="auto"/>
                <w:kern w:val="0"/>
                <w:sz w:val="24"/>
                <w:szCs w:val="24"/>
                <w:highlight w:val="none"/>
                <w:lang w:val="en-US" w:eastAsia="zh-CN"/>
              </w:rPr>
            </w:pPr>
            <w:r>
              <w:rPr>
                <w:rFonts w:hint="eastAsia" w:ascii="宋体" w:hAnsi="宋体" w:cs="宋体"/>
                <w:b w:val="0"/>
                <w:bCs w:val="0"/>
                <w:color w:val="auto"/>
                <w:kern w:val="0"/>
                <w:sz w:val="18"/>
                <w:szCs w:val="18"/>
                <w:highlight w:val="none"/>
                <w:lang w:val="en-US" w:eastAsia="zh-CN" w:bidi="ar-SA"/>
              </w:rPr>
              <w:t>3.9</w:t>
            </w:r>
            <w:r>
              <w:rPr>
                <w:rFonts w:hint="default" w:ascii="宋体" w:hAnsi="宋体" w:cs="宋体"/>
                <w:b w:val="0"/>
                <w:bCs w:val="0"/>
                <w:color w:val="auto"/>
                <w:kern w:val="0"/>
                <w:sz w:val="18"/>
                <w:szCs w:val="18"/>
                <w:highlight w:val="none"/>
                <w:lang w:val="en-US" w:eastAsia="zh-CN" w:bidi="ar-SA"/>
              </w:rPr>
              <w:t>绕组直流电阻</w:t>
            </w:r>
            <w:r>
              <w:rPr>
                <w:rFonts w:hint="eastAsia" w:ascii="宋体" w:hAnsi="宋体" w:cs="宋体"/>
                <w:b w:val="0"/>
                <w:bCs w:val="0"/>
                <w:color w:val="auto"/>
                <w:kern w:val="0"/>
                <w:sz w:val="18"/>
                <w:szCs w:val="18"/>
                <w:highlight w:val="none"/>
                <w:lang w:val="en-US" w:eastAsia="zh-CN" w:bidi="ar-SA"/>
              </w:rPr>
              <w:t>。</w:t>
            </w:r>
          </w:p>
          <w:p>
            <w:pPr>
              <w:numPr>
                <w:ilvl w:val="0"/>
                <w:numId w:val="0"/>
              </w:numPr>
              <w:adjustRightInd w:val="0"/>
              <w:snapToGrid w:val="0"/>
              <w:spacing w:line="360" w:lineRule="auto"/>
              <w:jc w:val="both"/>
              <w:rPr>
                <w:rFonts w:hint="eastAsia" w:ascii="宋体" w:hAnsi="宋体" w:cs="宋体"/>
                <w:b/>
                <w:color w:val="auto"/>
                <w:kern w:val="0"/>
                <w:sz w:val="24"/>
                <w:szCs w:val="24"/>
                <w:highlight w:val="none"/>
                <w:lang w:val="en-US" w:eastAsia="zh-CN"/>
              </w:rPr>
            </w:pPr>
          </w:p>
        </w:tc>
      </w:tr>
    </w:tbl>
    <w:p>
      <w:pPr>
        <w:spacing w:line="360" w:lineRule="auto"/>
        <w:rPr>
          <w:rFonts w:hint="eastAsia" w:ascii="宋体" w:hAnsi="宋体" w:cs="宋体"/>
          <w:color w:val="auto"/>
          <w:spacing w:val="-1"/>
          <w:szCs w:val="21"/>
          <w:highlight w:val="none"/>
          <w:lang w:val="en-US" w:eastAsia="zh-CN"/>
        </w:rPr>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pPr>
    </w:p>
    <w:p>
      <w:pPr>
        <w:numPr>
          <w:ilvl w:val="0"/>
          <w:numId w:val="3"/>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联系人信息</w:t>
      </w:r>
    </w:p>
    <w:p>
      <w:pPr>
        <w:numPr>
          <w:ilvl w:val="0"/>
          <w:numId w:val="0"/>
        </w:numPr>
        <w:spacing w:line="360" w:lineRule="auto"/>
        <w:jc w:val="left"/>
        <w:outlineLvl w:val="9"/>
        <w:rPr>
          <w:rFonts w:hint="default"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 xml:space="preserve">                          ***公司（供应商填写）</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2"/>
        <w:gridCol w:w="1626"/>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姓名</w:t>
            </w:r>
          </w:p>
        </w:tc>
        <w:tc>
          <w:tcPr>
            <w:tcW w:w="1626"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职务</w:t>
            </w:r>
          </w:p>
        </w:tc>
        <w:tc>
          <w:tcPr>
            <w:tcW w:w="1704" w:type="dxa"/>
            <w:noWrap w:val="0"/>
            <w:vAlign w:val="top"/>
          </w:tcPr>
          <w:p>
            <w:pPr>
              <w:numPr>
                <w:ilvl w:val="0"/>
                <w:numId w:val="0"/>
              </w:numPr>
              <w:spacing w:line="360" w:lineRule="auto"/>
              <w:ind w:left="0" w:leftChars="0" w:firstLine="0" w:firstLineChars="0"/>
              <w:jc w:val="center"/>
              <w:outlineLvl w:val="9"/>
              <w:rPr>
                <w:rFonts w:hint="eastAsia" w:ascii="Times New Roman" w:hAnsi="Times New Roman" w:eastAsia="宋体" w:cs="Times New Roman"/>
                <w:b/>
                <w:color w:val="auto"/>
                <w:kern w:val="2"/>
                <w:sz w:val="28"/>
                <w:szCs w:val="28"/>
                <w:highlight w:val="none"/>
                <w:vertAlign w:val="baseline"/>
                <w:lang w:val="en-US" w:eastAsia="zh-CN" w:bidi="ar-SA"/>
              </w:rPr>
            </w:pPr>
            <w:r>
              <w:rPr>
                <w:rFonts w:hint="eastAsia" w:cs="Times New Roman"/>
                <w:b/>
                <w:color w:val="auto"/>
                <w:sz w:val="28"/>
                <w:szCs w:val="28"/>
                <w:highlight w:val="none"/>
                <w:vertAlign w:val="baseline"/>
                <w:lang w:val="en-US" w:eastAsia="zh-CN"/>
              </w:rPr>
              <w:t>联系方式</w:t>
            </w:r>
          </w:p>
        </w:tc>
        <w:tc>
          <w:tcPr>
            <w:tcW w:w="1705" w:type="dxa"/>
            <w:noWrap w:val="0"/>
            <w:vAlign w:val="top"/>
          </w:tcPr>
          <w:p>
            <w:pPr>
              <w:numPr>
                <w:ilvl w:val="0"/>
                <w:numId w:val="0"/>
              </w:numPr>
              <w:spacing w:line="360" w:lineRule="auto"/>
              <w:ind w:left="0" w:leftChars="0" w:firstLine="0" w:firstLineChars="0"/>
              <w:jc w:val="center"/>
              <w:outlineLvl w:val="9"/>
              <w:rPr>
                <w:rFonts w:hint="eastAsia" w:ascii="Times New Roman" w:hAnsi="Times New Roman" w:eastAsia="宋体" w:cs="Times New Roman"/>
                <w:b/>
                <w:color w:val="auto"/>
                <w:kern w:val="2"/>
                <w:sz w:val="28"/>
                <w:szCs w:val="28"/>
                <w:highlight w:val="none"/>
                <w:vertAlign w:val="baseline"/>
                <w:lang w:val="en-US" w:eastAsia="zh-CN" w:bidi="ar-SA"/>
              </w:rPr>
            </w:pPr>
            <w:r>
              <w:rPr>
                <w:rFonts w:hint="eastAsia" w:cs="Times New Roman"/>
                <w:b/>
                <w:color w:val="auto"/>
                <w:sz w:val="28"/>
                <w:szCs w:val="28"/>
                <w:highlight w:val="none"/>
                <w:vertAlign w:val="baseline"/>
                <w:lang w:val="en-US" w:eastAsia="zh-CN"/>
              </w:rPr>
              <w:t>邮箱</w:t>
            </w:r>
          </w:p>
        </w:tc>
        <w:tc>
          <w:tcPr>
            <w:tcW w:w="1705"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bl>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为方便沟通，请将此项目联系人信息填写后，上传系统。</w:t>
      </w: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rPr>
          <w:highlight w:val="none"/>
        </w:rPr>
      </w:pPr>
    </w:p>
    <w:sectPr>
      <w:headerReference r:id="rId7" w:type="default"/>
      <w:footerReference r:id="rId8"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楷体_GB2312"/>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sdOdMwBAACoAwAADgAAAGRycy9lMm9Eb2MueG1srVPNjtMwEL4j8Q6W&#10;7zRph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YcmZE5Ze/PL92+XHr8vPr+x1&#10;0qcPWFHZQ6DCONz5gWrnOFIw0R5asOlLhBjlSd3zVV01RCbTpfVqvS4pJSk3O4RfPF4PgPGt8pYl&#10;o+ZAz5dVFaf3GMfSuSR1c/5eG5Of0Li/AoQ5RlTegel2YjJOnKw47IeJ3t43Z2LX0x7U3NHac2be&#10;OZI5rcxswGzsZ+MYQB+6vFOpO4bbY6SR8qSpwwhLDJNDD5i5TsuWNuRPP1c9/mDb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Ox050zAEAAKgDAAAOAAAAAAAAAAEAIAAAAB4BAABkcnMvZTJv&#10;RG9jLnhtbFBLBQYAAAAABgAGAFkBAABcBQAAAAA=&#10;">
              <v:fill on="f" focussize="0,0"/>
              <v:stroke on="f"/>
              <v:imagedata o:title=""/>
              <o:lock v:ext="edit" aspectratio="f"/>
              <v:textbox inset="0mm,0mm,0mm,0mm" style="mso-fit-shape-to-text:t;">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bG09M0BAACo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6</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znU0jgCAABwBAAADgAAAAAAAAABACAAAAAfAQAAZHJzL2Uyb0RvYy54&#10;bWxQSwUGAAAAAAYABgBZAQAAyQU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6</w:t>
                    </w:r>
                    <w:r>
                      <w:t xml:space="preserve"> 页</w:t>
                    </w: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e9VfDICAABk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096010" cy="1828800"/>
              <wp:effectExtent l="0" t="0" r="0" b="0"/>
              <wp:wrapNone/>
              <wp:docPr id="1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文本框 5" o:spid="_x0000_s1026" o:spt="202" type="#_x0000_t202" style="position:absolute;left:0pt;margin-top:0pt;height:144pt;width:86.3pt;mso-position-horizontal:center;mso-position-horizontal-relative:margin;z-index:25166438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EZ8lzbeAQAAsw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bgJa0osMzjxy4/vl5+/&#10;L7++kXXSp/dQYdiDx8A4vHEDxs7vgI+J9iCDSV8kRNCP6p6v6oohEp6Sytsb5EgJR99ys9psyqx/&#10;8ZjuA8S3whmSjJoGHF9WlZ3eQ8RWMHQOSdWsu1da5xFqS/qa3q5X65xw9WCGtilW5GWYYBKlsfVk&#10;xeEwTDwPrjkjzR4XoqbwtWNBUKLfWVQ8bc9shNk4zEbngzq22PMy1wf/uovYXW461RiBkUG64Cwz&#10;l2nv0rL8fc9Rj//a7g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RnyXNt4BAACz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rJJ5k80BAACo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xry2sxAgAAZA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sa8tr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10" name="文本框 9"/>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文本框 9"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HC+0K94BAACz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3CAF4C"/>
    <w:multiLevelType w:val="singleLevel"/>
    <w:tmpl w:val="AA3CAF4C"/>
    <w:lvl w:ilvl="0" w:tentative="0">
      <w:start w:val="1"/>
      <w:numFmt w:val="decimal"/>
      <w:suff w:val="nothing"/>
      <w:lvlText w:val="%1、"/>
      <w:lvlJc w:val="left"/>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2"/>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19F56971"/>
    <w:multiLevelType w:val="singleLevel"/>
    <w:tmpl w:val="19F56971"/>
    <w:lvl w:ilvl="0" w:tentative="0">
      <w:start w:val="7"/>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4C5E80"/>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1B0815"/>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090CB8"/>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3C3E90"/>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B7951"/>
    <w:rsid w:val="0B6C711D"/>
    <w:rsid w:val="0B7F40B4"/>
    <w:rsid w:val="0B8348EE"/>
    <w:rsid w:val="0BB909EB"/>
    <w:rsid w:val="0BC87409"/>
    <w:rsid w:val="0BD33980"/>
    <w:rsid w:val="0BD62A7D"/>
    <w:rsid w:val="0BE57AEE"/>
    <w:rsid w:val="0C23558B"/>
    <w:rsid w:val="0C40504F"/>
    <w:rsid w:val="0C5B4095"/>
    <w:rsid w:val="0C6A35C6"/>
    <w:rsid w:val="0C7B6761"/>
    <w:rsid w:val="0C9E47DF"/>
    <w:rsid w:val="0CA92493"/>
    <w:rsid w:val="0CB414E2"/>
    <w:rsid w:val="0CBA1D90"/>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333741"/>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2B7516"/>
    <w:rsid w:val="1A484105"/>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DB4DA1"/>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0B2D03"/>
    <w:rsid w:val="2B29773C"/>
    <w:rsid w:val="2B3A41B6"/>
    <w:rsid w:val="2B4A63F8"/>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12A05"/>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3905EC"/>
    <w:rsid w:val="37480099"/>
    <w:rsid w:val="375706D4"/>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76A1B"/>
    <w:rsid w:val="3BA94B25"/>
    <w:rsid w:val="3BB1015F"/>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EF761CC"/>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BD0C14"/>
    <w:rsid w:val="41CA5C68"/>
    <w:rsid w:val="41DB145C"/>
    <w:rsid w:val="41F71EDB"/>
    <w:rsid w:val="41FD491F"/>
    <w:rsid w:val="42012231"/>
    <w:rsid w:val="420153BA"/>
    <w:rsid w:val="42463CF2"/>
    <w:rsid w:val="424E7592"/>
    <w:rsid w:val="42745D96"/>
    <w:rsid w:val="42812AB4"/>
    <w:rsid w:val="42A70B14"/>
    <w:rsid w:val="42B14241"/>
    <w:rsid w:val="42C51575"/>
    <w:rsid w:val="4307269F"/>
    <w:rsid w:val="43253A48"/>
    <w:rsid w:val="432B47C2"/>
    <w:rsid w:val="432C1F9E"/>
    <w:rsid w:val="434945A5"/>
    <w:rsid w:val="436D627C"/>
    <w:rsid w:val="437F587F"/>
    <w:rsid w:val="43862855"/>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C5402B"/>
    <w:rsid w:val="44D2629D"/>
    <w:rsid w:val="44DB054F"/>
    <w:rsid w:val="44F145B7"/>
    <w:rsid w:val="44F22E11"/>
    <w:rsid w:val="44F7344B"/>
    <w:rsid w:val="45293E47"/>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DA41D6"/>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CC5711"/>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DEA0679"/>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586003"/>
    <w:rsid w:val="545D0932"/>
    <w:rsid w:val="545F1B52"/>
    <w:rsid w:val="5468342F"/>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795B78"/>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11CEF"/>
    <w:rsid w:val="56DF4C9C"/>
    <w:rsid w:val="56EF724A"/>
    <w:rsid w:val="56F624D0"/>
    <w:rsid w:val="572E17D9"/>
    <w:rsid w:val="573B6221"/>
    <w:rsid w:val="574526C2"/>
    <w:rsid w:val="574F4D30"/>
    <w:rsid w:val="576E4B41"/>
    <w:rsid w:val="57703552"/>
    <w:rsid w:val="577210B5"/>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62495D"/>
    <w:rsid w:val="5A672916"/>
    <w:rsid w:val="5A7A2908"/>
    <w:rsid w:val="5A7F7766"/>
    <w:rsid w:val="5A9F4957"/>
    <w:rsid w:val="5AC667C1"/>
    <w:rsid w:val="5AE07A51"/>
    <w:rsid w:val="5AEA5BB9"/>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EA7BE1"/>
    <w:rsid w:val="5CFF0B78"/>
    <w:rsid w:val="5D2C56BE"/>
    <w:rsid w:val="5D2C7244"/>
    <w:rsid w:val="5D2F6940"/>
    <w:rsid w:val="5D350A87"/>
    <w:rsid w:val="5D3B38C1"/>
    <w:rsid w:val="5D440868"/>
    <w:rsid w:val="5D4B2D1B"/>
    <w:rsid w:val="5D607728"/>
    <w:rsid w:val="5D65761F"/>
    <w:rsid w:val="5D7622A6"/>
    <w:rsid w:val="5D9616AB"/>
    <w:rsid w:val="5DB46EAB"/>
    <w:rsid w:val="5DBC3BD6"/>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D70D4"/>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3B6571"/>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E45C01"/>
    <w:rsid w:val="67F24AE2"/>
    <w:rsid w:val="680841F7"/>
    <w:rsid w:val="68216248"/>
    <w:rsid w:val="6832491F"/>
    <w:rsid w:val="686A5143"/>
    <w:rsid w:val="68795A22"/>
    <w:rsid w:val="687B737E"/>
    <w:rsid w:val="68865177"/>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9E5DA9"/>
    <w:rsid w:val="6BC63A92"/>
    <w:rsid w:val="6BDC1E93"/>
    <w:rsid w:val="6BE51391"/>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DA001F"/>
    <w:rsid w:val="6EFB6D13"/>
    <w:rsid w:val="6EFD5BBE"/>
    <w:rsid w:val="6F211D2D"/>
    <w:rsid w:val="6F281BA4"/>
    <w:rsid w:val="6F327323"/>
    <w:rsid w:val="6F333990"/>
    <w:rsid w:val="6F4540F7"/>
    <w:rsid w:val="6F4D09C5"/>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67730"/>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00B64"/>
    <w:rsid w:val="72CC0957"/>
    <w:rsid w:val="72CC7C39"/>
    <w:rsid w:val="72E3096F"/>
    <w:rsid w:val="72F3475E"/>
    <w:rsid w:val="72F718BB"/>
    <w:rsid w:val="72F71C6B"/>
    <w:rsid w:val="72F87FAE"/>
    <w:rsid w:val="730541FC"/>
    <w:rsid w:val="73085DA9"/>
    <w:rsid w:val="733043A6"/>
    <w:rsid w:val="73393C07"/>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863D7"/>
    <w:rsid w:val="794B4CA7"/>
    <w:rsid w:val="79566F7E"/>
    <w:rsid w:val="796D7D49"/>
    <w:rsid w:val="7976514A"/>
    <w:rsid w:val="79771BA0"/>
    <w:rsid w:val="797D440D"/>
    <w:rsid w:val="79832A24"/>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760982"/>
    <w:rsid w:val="7A7A0FB7"/>
    <w:rsid w:val="7A9202CE"/>
    <w:rsid w:val="7A9579F8"/>
    <w:rsid w:val="7AA30AEA"/>
    <w:rsid w:val="7AB92960"/>
    <w:rsid w:val="7AC4522C"/>
    <w:rsid w:val="7AD77726"/>
    <w:rsid w:val="7ADC38AB"/>
    <w:rsid w:val="7AE860BA"/>
    <w:rsid w:val="7AFD3C43"/>
    <w:rsid w:val="7B112691"/>
    <w:rsid w:val="7B192531"/>
    <w:rsid w:val="7B5D7B42"/>
    <w:rsid w:val="7B7D668B"/>
    <w:rsid w:val="7B9B1BC8"/>
    <w:rsid w:val="7B9B3CBB"/>
    <w:rsid w:val="7BDC0132"/>
    <w:rsid w:val="7BE02A78"/>
    <w:rsid w:val="7BE76085"/>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496B03"/>
    <w:rsid w:val="7D557414"/>
    <w:rsid w:val="7D5E3508"/>
    <w:rsid w:val="7D830BF3"/>
    <w:rsid w:val="7D876FF5"/>
    <w:rsid w:val="7D8F225F"/>
    <w:rsid w:val="7D9717DD"/>
    <w:rsid w:val="7DAB1EDF"/>
    <w:rsid w:val="7DAC4CCA"/>
    <w:rsid w:val="7DBE0E73"/>
    <w:rsid w:val="7DCA5560"/>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4"/>
    <w:next w:val="4"/>
    <w:unhideWhenUsed/>
    <w:qFormat/>
    <w:uiPriority w:val="99"/>
    <w:pPr>
      <w:spacing w:after="120"/>
    </w:pPr>
  </w:style>
  <w:style w:type="paragraph" w:styleId="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qFormat/>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甘涛</cp:lastModifiedBy>
  <dcterms:modified xsi:type="dcterms:W3CDTF">2024-09-20T00:55:02Z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E2F57BFC6D36474A89263622CBA39C1A</vt:lpwstr>
  </property>
</Properties>
</file>