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lear" w:pos="3240"/>
        </w:tabs>
        <w:topLinePunct w:val="0"/>
        <w:spacing w:line="360" w:lineRule="auto"/>
        <w:ind w:firstLine="0"/>
        <w:jc w:val="center"/>
        <w:rPr>
          <w:rFonts w:hint="eastAsia" w:ascii="Times New Roman" w:hAnsi="宋体" w:eastAsia="宋体" w:cs="Times New Roman"/>
          <w:b/>
          <w:sz w:val="48"/>
          <w:szCs w:val="48"/>
        </w:rPr>
      </w:pPr>
      <w:r>
        <w:rPr>
          <w:rFonts w:eastAsia="宋体"/>
          <w:b/>
          <w:sz w:val="44"/>
          <w:szCs w:val="44"/>
        </w:rPr>
        <w:drawing>
          <wp:anchor distT="0" distB="0" distL="114300" distR="114300" simplePos="0" relativeHeight="251659264" behindDoc="1" locked="0" layoutInCell="1" allowOverlap="1">
            <wp:simplePos x="0" y="0"/>
            <wp:positionH relativeFrom="column">
              <wp:posOffset>-828040</wp:posOffset>
            </wp:positionH>
            <wp:positionV relativeFrom="paragraph">
              <wp:posOffset>-1183005</wp:posOffset>
            </wp:positionV>
            <wp:extent cx="7556500" cy="2319655"/>
            <wp:effectExtent l="0" t="0" r="2540" b="12065"/>
            <wp:wrapTight wrapText="bothSides">
              <wp:wrapPolygon>
                <wp:start x="0" y="0"/>
                <wp:lineTo x="0" y="21429"/>
                <wp:lineTo x="21564" y="21429"/>
                <wp:lineTo x="21564" y="0"/>
                <wp:lineTo x="0" y="0"/>
              </wp:wrapPolygon>
            </wp:wrapTight>
            <wp:docPr id="5"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模板-3"/>
                    <pic:cNvPicPr>
                      <a:picLocks noChangeAspect="1"/>
                    </pic:cNvPicPr>
                  </pic:nvPicPr>
                  <pic:blipFill>
                    <a:blip r:embed="rId13"/>
                    <a:stretch>
                      <a:fillRect/>
                    </a:stretch>
                  </pic:blipFill>
                  <pic:spPr>
                    <a:xfrm>
                      <a:off x="0" y="0"/>
                      <a:ext cx="7556500" cy="2319655"/>
                    </a:xfrm>
                    <a:prstGeom prst="rect">
                      <a:avLst/>
                    </a:prstGeom>
                    <a:noFill/>
                    <a:ln>
                      <a:noFill/>
                    </a:ln>
                  </pic:spPr>
                </pic:pic>
              </a:graphicData>
            </a:graphic>
          </wp:anchor>
        </w:drawing>
      </w:r>
    </w:p>
    <w:p>
      <w:pPr>
        <w:tabs>
          <w:tab w:val="clear" w:pos="3240"/>
        </w:tabs>
        <w:topLinePunct w:val="0"/>
        <w:spacing w:line="360" w:lineRule="auto"/>
        <w:ind w:firstLine="0"/>
        <w:jc w:val="center"/>
        <w:rPr>
          <w:rFonts w:hint="eastAsia" w:hAnsi="宋体" w:eastAsia="宋体"/>
          <w:b/>
          <w:sz w:val="48"/>
          <w:szCs w:val="48"/>
        </w:rPr>
      </w:pPr>
      <w:r>
        <w:rPr>
          <w:rFonts w:hint="eastAsia" w:hAnsi="宋体" w:eastAsia="宋体"/>
          <w:b/>
          <w:sz w:val="48"/>
          <w:szCs w:val="48"/>
          <w:lang w:val="en-US" w:eastAsia="zh-CN"/>
        </w:rPr>
        <w:t>南网通航</w:t>
      </w:r>
      <w:r>
        <w:rPr>
          <w:rFonts w:hint="eastAsia" w:hAnsi="宋体" w:eastAsia="宋体"/>
          <w:b/>
          <w:sz w:val="48"/>
          <w:szCs w:val="48"/>
        </w:rPr>
        <w:t>公司</w:t>
      </w:r>
      <w:r>
        <w:rPr>
          <w:rFonts w:hint="eastAsia" w:hAnsi="宋体" w:eastAsia="宋体"/>
          <w:b/>
          <w:sz w:val="48"/>
          <w:szCs w:val="48"/>
          <w:highlight w:val="none"/>
          <w:lang w:val="en-US" w:eastAsia="zh-CN"/>
        </w:rPr>
        <w:t>H125型直升机发动机航材</w:t>
      </w:r>
      <w:r>
        <w:rPr>
          <w:rFonts w:hint="eastAsia" w:hAnsi="宋体" w:eastAsia="宋体"/>
          <w:b/>
          <w:sz w:val="48"/>
          <w:szCs w:val="48"/>
          <w:lang w:val="en-US" w:eastAsia="zh-CN"/>
        </w:rPr>
        <w:t>采购</w:t>
      </w:r>
      <w:r>
        <w:rPr>
          <w:rFonts w:hint="eastAsia" w:hAnsi="宋体" w:eastAsia="宋体"/>
          <w:b/>
          <w:sz w:val="48"/>
          <w:szCs w:val="48"/>
          <w:lang w:eastAsia="zh-CN"/>
        </w:rPr>
        <w:t>项目</w:t>
      </w:r>
    </w:p>
    <w:p>
      <w:pPr>
        <w:tabs>
          <w:tab w:val="clear" w:pos="3240"/>
        </w:tabs>
        <w:topLinePunct w:val="0"/>
        <w:spacing w:line="360" w:lineRule="auto"/>
        <w:ind w:firstLine="0"/>
        <w:jc w:val="center"/>
        <w:rPr>
          <w:rFonts w:eastAsia="宋体"/>
          <w:b/>
          <w:sz w:val="48"/>
          <w:szCs w:val="48"/>
        </w:rPr>
      </w:pPr>
      <w:r>
        <w:rPr>
          <w:rFonts w:hAnsi="宋体" w:eastAsia="宋体"/>
          <w:b/>
          <w:sz w:val="48"/>
          <w:szCs w:val="48"/>
        </w:rPr>
        <w:t>技术规范书</w:t>
      </w:r>
    </w:p>
    <w:p>
      <w:pPr>
        <w:tabs>
          <w:tab w:val="clear" w:pos="3240"/>
        </w:tabs>
        <w:topLinePunct w:val="0"/>
        <w:spacing w:line="360" w:lineRule="auto"/>
        <w:ind w:firstLine="984" w:firstLineChars="350"/>
        <w:rPr>
          <w:rFonts w:eastAsia="宋体"/>
          <w:b/>
          <w:sz w:val="28"/>
          <w:szCs w:val="28"/>
        </w:rPr>
      </w:pPr>
    </w:p>
    <w:p>
      <w:pPr>
        <w:tabs>
          <w:tab w:val="clear" w:pos="3240"/>
        </w:tabs>
        <w:topLinePunct w:val="0"/>
        <w:spacing w:line="360" w:lineRule="auto"/>
        <w:ind w:firstLine="984" w:firstLineChars="350"/>
        <w:rPr>
          <w:rFonts w:eastAsia="宋体"/>
          <w:b/>
          <w:sz w:val="28"/>
          <w:szCs w:val="28"/>
        </w:rPr>
      </w:pPr>
    </w:p>
    <w:p>
      <w:pPr>
        <w:tabs>
          <w:tab w:val="clear" w:pos="3240"/>
        </w:tabs>
        <w:topLinePunct w:val="0"/>
        <w:spacing w:line="360" w:lineRule="auto"/>
        <w:ind w:firstLine="984" w:firstLineChars="350"/>
        <w:rPr>
          <w:rFonts w:eastAsia="宋体"/>
          <w:b/>
          <w:sz w:val="28"/>
          <w:szCs w:val="28"/>
        </w:rPr>
      </w:pPr>
    </w:p>
    <w:p>
      <w:pPr>
        <w:tabs>
          <w:tab w:val="clear" w:pos="3240"/>
        </w:tabs>
        <w:topLinePunct w:val="0"/>
        <w:spacing w:line="360" w:lineRule="auto"/>
        <w:ind w:firstLine="984" w:firstLineChars="350"/>
        <w:rPr>
          <w:rFonts w:eastAsia="宋体"/>
          <w:b/>
          <w:sz w:val="28"/>
          <w:szCs w:val="28"/>
        </w:rPr>
      </w:pPr>
    </w:p>
    <w:p>
      <w:pPr>
        <w:spacing w:before="480" w:beforeLines="200" w:line="360" w:lineRule="auto"/>
        <w:ind w:firstLine="599" w:firstLineChars="199"/>
        <w:rPr>
          <w:rFonts w:eastAsia="宋体"/>
          <w:b/>
          <w:szCs w:val="30"/>
        </w:rPr>
      </w:pPr>
      <w:r>
        <w:rPr>
          <w:rFonts w:eastAsia="宋体"/>
          <w:b/>
          <w:szCs w:val="30"/>
        </w:rPr>
        <w:t xml:space="preserve">        </w:t>
      </w:r>
    </w:p>
    <w:p>
      <w:pPr>
        <w:spacing w:before="480" w:beforeLines="200" w:line="360" w:lineRule="auto"/>
        <w:ind w:firstLine="599" w:firstLineChars="199"/>
        <w:rPr>
          <w:rFonts w:hint="eastAsia" w:eastAsia="宋体"/>
          <w:b/>
          <w:szCs w:val="30"/>
        </w:rPr>
      </w:pPr>
    </w:p>
    <w:p>
      <w:pPr>
        <w:spacing w:before="480" w:beforeLines="200" w:line="360" w:lineRule="auto"/>
        <w:ind w:firstLine="599" w:firstLineChars="199"/>
        <w:rPr>
          <w:rFonts w:hint="eastAsia" w:eastAsia="宋体"/>
          <w:b/>
          <w:szCs w:val="30"/>
        </w:rPr>
      </w:pPr>
    </w:p>
    <w:p>
      <w:pPr>
        <w:tabs>
          <w:tab w:val="clear" w:pos="3240"/>
        </w:tabs>
        <w:topLinePunct w:val="0"/>
        <w:spacing w:line="360" w:lineRule="auto"/>
        <w:ind w:firstLine="2249" w:firstLineChars="800"/>
        <w:rPr>
          <w:rFonts w:eastAsia="宋体"/>
          <w:b/>
          <w:sz w:val="28"/>
          <w:szCs w:val="28"/>
        </w:rPr>
      </w:pPr>
    </w:p>
    <w:p>
      <w:pPr>
        <w:spacing w:line="360" w:lineRule="auto"/>
        <w:ind w:firstLine="0"/>
        <w:jc w:val="center"/>
        <w:rPr>
          <w:rFonts w:eastAsia="宋体"/>
          <w:sz w:val="24"/>
          <w:szCs w:val="24"/>
        </w:rPr>
      </w:pPr>
    </w:p>
    <w:p>
      <w:pPr>
        <w:spacing w:line="360" w:lineRule="auto"/>
        <w:ind w:firstLine="0"/>
        <w:jc w:val="center"/>
        <w:rPr>
          <w:rFonts w:hint="eastAsia" w:eastAsia="宋体"/>
          <w:sz w:val="32"/>
          <w:szCs w:val="32"/>
          <w:lang w:val="en-US" w:eastAsia="zh-CN"/>
        </w:rPr>
      </w:pPr>
      <w:bookmarkStart w:id="0" w:name="_Toc167273041"/>
      <w:bookmarkStart w:id="1" w:name="_Toc154226342"/>
      <w:r>
        <w:rPr>
          <w:rFonts w:hint="eastAsia" w:eastAsia="宋体"/>
          <w:sz w:val="32"/>
          <w:szCs w:val="32"/>
          <w:lang w:val="en-US" w:eastAsia="zh-CN"/>
        </w:rPr>
        <w:t>南方电网通航航空服务有限公司</w:t>
      </w:r>
    </w:p>
    <w:p>
      <w:pPr>
        <w:spacing w:line="360" w:lineRule="auto"/>
        <w:ind w:firstLine="0"/>
        <w:jc w:val="center"/>
        <w:rPr>
          <w:rFonts w:eastAsia="宋体"/>
          <w:b/>
          <w:bCs/>
          <w:spacing w:val="30"/>
          <w:highlight w:val="none"/>
        </w:rPr>
        <w:sectPr>
          <w:footerReference r:id="rId9" w:type="first"/>
          <w:headerReference r:id="rId5" w:type="default"/>
          <w:footerReference r:id="rId7" w:type="default"/>
          <w:headerReference r:id="rId6" w:type="even"/>
          <w:footerReference r:id="rId8" w:type="even"/>
          <w:pgSz w:w="11907" w:h="16840"/>
          <w:pgMar w:top="1871" w:right="1304" w:bottom="1701" w:left="1304" w:header="850" w:footer="567" w:gutter="0"/>
          <w:pgNumType w:fmt="decimal"/>
          <w:cols w:space="720" w:num="1"/>
          <w:docGrid w:linePitch="286" w:charSpace="0"/>
        </w:sectPr>
      </w:pPr>
      <w:r>
        <w:rPr>
          <w:rFonts w:eastAsia="宋体"/>
          <w:sz w:val="32"/>
          <w:szCs w:val="32"/>
          <w:highlight w:val="none"/>
        </w:rPr>
        <w:t>202</w:t>
      </w:r>
      <w:r>
        <w:rPr>
          <w:rFonts w:hint="eastAsia" w:eastAsia="宋体"/>
          <w:sz w:val="32"/>
          <w:szCs w:val="32"/>
          <w:highlight w:val="none"/>
          <w:lang w:val="en-US" w:eastAsia="zh-CN"/>
        </w:rPr>
        <w:t>4</w:t>
      </w:r>
      <w:r>
        <w:rPr>
          <w:rFonts w:hAnsi="宋体" w:eastAsia="宋体"/>
          <w:sz w:val="32"/>
          <w:szCs w:val="32"/>
          <w:highlight w:val="none"/>
        </w:rPr>
        <w:t>年</w:t>
      </w:r>
      <w:r>
        <w:rPr>
          <w:rFonts w:hint="eastAsia" w:hAnsi="宋体" w:eastAsia="宋体"/>
          <w:sz w:val="32"/>
          <w:szCs w:val="32"/>
          <w:highlight w:val="none"/>
          <w:lang w:val="en-US" w:eastAsia="zh-CN"/>
        </w:rPr>
        <w:t>4</w:t>
      </w:r>
      <w:r>
        <w:rPr>
          <w:rFonts w:hAnsi="宋体" w:eastAsia="宋体"/>
          <w:sz w:val="32"/>
          <w:szCs w:val="32"/>
          <w:highlight w:val="none"/>
        </w:rPr>
        <w:t>月</w:t>
      </w:r>
    </w:p>
    <w:p>
      <w:pPr>
        <w:pStyle w:val="4"/>
        <w:spacing w:line="360" w:lineRule="auto"/>
        <w:rPr>
          <w:b/>
          <w:sz w:val="36"/>
          <w:szCs w:val="36"/>
        </w:rPr>
      </w:pPr>
      <w:bookmarkStart w:id="2" w:name="_Toc349747260"/>
      <w:r>
        <w:rPr>
          <w:rFonts w:hAnsi="宋体"/>
          <w:b/>
          <w:sz w:val="36"/>
          <w:szCs w:val="36"/>
        </w:rPr>
        <w:t>一</w:t>
      </w:r>
      <w:r>
        <w:rPr>
          <w:b/>
          <w:sz w:val="36"/>
          <w:szCs w:val="36"/>
        </w:rPr>
        <w:t xml:space="preserve">  </w:t>
      </w:r>
      <w:r>
        <w:rPr>
          <w:rFonts w:hAnsi="宋体"/>
          <w:b/>
          <w:sz w:val="36"/>
          <w:szCs w:val="36"/>
        </w:rPr>
        <w:t>总</w:t>
      </w:r>
      <w:r>
        <w:rPr>
          <w:b/>
          <w:sz w:val="36"/>
          <w:szCs w:val="36"/>
        </w:rPr>
        <w:t xml:space="preserve">   </w:t>
      </w:r>
      <w:r>
        <w:rPr>
          <w:rFonts w:hAnsi="宋体"/>
          <w:b/>
          <w:sz w:val="36"/>
          <w:szCs w:val="36"/>
        </w:rPr>
        <w:t>则</w:t>
      </w:r>
      <w:bookmarkEnd w:id="0"/>
      <w:bookmarkEnd w:id="1"/>
      <w:bookmarkEnd w:id="2"/>
    </w:p>
    <w:p>
      <w:pPr>
        <w:pStyle w:val="6"/>
        <w:spacing w:before="0" w:after="0" w:line="360" w:lineRule="auto"/>
      </w:pPr>
      <w:r>
        <w:t xml:space="preserve">1.1 </w:t>
      </w:r>
      <w:r>
        <w:rPr>
          <w:rFonts w:hAnsi="宋体"/>
        </w:rPr>
        <w:t>概</w:t>
      </w:r>
      <w:r>
        <w:t xml:space="preserve"> </w:t>
      </w:r>
      <w:r>
        <w:rPr>
          <w:rFonts w:hAnsi="宋体"/>
        </w:rPr>
        <w:t>述</w:t>
      </w:r>
    </w:p>
    <w:p>
      <w:pPr>
        <w:pStyle w:val="14"/>
        <w:numPr>
          <w:ilvl w:val="0"/>
          <w:numId w:val="0"/>
        </w:numPr>
        <w:spacing w:line="360" w:lineRule="auto"/>
        <w:ind w:firstLine="480" w:firstLineChars="200"/>
        <w:rPr>
          <w:color w:val="000000"/>
          <w:szCs w:val="24"/>
        </w:rPr>
      </w:pPr>
      <w:bookmarkStart w:id="3" w:name="_Toc239276525"/>
      <w:bookmarkStart w:id="4" w:name="_Toc205354768"/>
      <w:r>
        <w:rPr>
          <w:rFonts w:hint="eastAsia"/>
          <w:color w:val="000000"/>
          <w:szCs w:val="24"/>
          <w:lang w:val="en-US" w:eastAsia="zh-CN"/>
        </w:rPr>
        <w:t>1.1.1</w:t>
      </w:r>
      <w:r>
        <w:rPr>
          <w:color w:val="000000"/>
          <w:szCs w:val="24"/>
        </w:rPr>
        <w:t xml:space="preserve"> 本技术规范书提出</w:t>
      </w:r>
      <w:r>
        <w:rPr>
          <w:rFonts w:hint="eastAsia"/>
          <w:color w:val="000000"/>
          <w:szCs w:val="24"/>
          <w:lang w:val="en-US" w:eastAsia="zh-CN"/>
        </w:rPr>
        <w:t>了《南网通航公司H125型直升机发动机航材采购项目》</w:t>
      </w:r>
      <w:r>
        <w:rPr>
          <w:color w:val="000000"/>
          <w:szCs w:val="24"/>
        </w:rPr>
        <w:t>的功能、性能等方面的技术要求。</w:t>
      </w:r>
    </w:p>
    <w:p>
      <w:pPr>
        <w:pStyle w:val="14"/>
        <w:numPr>
          <w:ilvl w:val="0"/>
          <w:numId w:val="0"/>
        </w:numPr>
        <w:spacing w:line="360" w:lineRule="auto"/>
        <w:ind w:firstLine="480" w:firstLineChars="200"/>
        <w:rPr>
          <w:color w:val="000000"/>
          <w:szCs w:val="24"/>
        </w:rPr>
      </w:pPr>
      <w:r>
        <w:rPr>
          <w:rFonts w:hint="eastAsia"/>
          <w:color w:val="000000"/>
          <w:szCs w:val="24"/>
          <w:lang w:val="en-US" w:eastAsia="zh-CN"/>
        </w:rPr>
        <w:t xml:space="preserve">1.1.2 </w:t>
      </w:r>
      <w:r>
        <w:rPr>
          <w:rFonts w:hAnsi="宋体"/>
          <w:color w:val="000000"/>
          <w:szCs w:val="24"/>
        </w:rPr>
        <w:t>本技术规范提出的是最低限度的技术要求，并未对一切技术细节做出规定，也未充分引述有关标准和规范的条文，</w:t>
      </w:r>
      <w:r>
        <w:rPr>
          <w:rFonts w:hint="eastAsia" w:hAnsi="宋体"/>
          <w:color w:val="000000"/>
          <w:szCs w:val="24"/>
          <w:lang w:eastAsia="zh-CN"/>
        </w:rPr>
        <w:t>投标方</w:t>
      </w:r>
      <w:r>
        <w:rPr>
          <w:rFonts w:hAnsi="宋体"/>
          <w:color w:val="000000"/>
          <w:szCs w:val="24"/>
        </w:rPr>
        <w:t>应提供符合本技术规范引用标准的最新版本标准和本招标文件技术要求的全新产品，如果所引用的标准之间不一致或本招标文件所使用的标准如与</w:t>
      </w:r>
      <w:r>
        <w:rPr>
          <w:rFonts w:hint="eastAsia" w:hAnsi="宋体"/>
          <w:color w:val="000000"/>
          <w:szCs w:val="24"/>
          <w:lang w:eastAsia="zh-CN"/>
        </w:rPr>
        <w:t>投标方</w:t>
      </w:r>
      <w:r>
        <w:rPr>
          <w:rFonts w:hAnsi="宋体"/>
          <w:color w:val="000000"/>
          <w:szCs w:val="24"/>
        </w:rPr>
        <w:t>所执行的标准不一致时，按要求较高的标准执行。</w:t>
      </w:r>
    </w:p>
    <w:p>
      <w:pPr>
        <w:pStyle w:val="14"/>
        <w:numPr>
          <w:ilvl w:val="0"/>
          <w:numId w:val="0"/>
        </w:numPr>
        <w:spacing w:line="360" w:lineRule="auto"/>
        <w:ind w:firstLine="480" w:firstLineChars="200"/>
        <w:rPr>
          <w:color w:val="000000"/>
          <w:szCs w:val="24"/>
        </w:rPr>
      </w:pPr>
      <w:r>
        <w:rPr>
          <w:rFonts w:hint="eastAsia"/>
          <w:color w:val="000000"/>
          <w:szCs w:val="24"/>
          <w:lang w:val="en-US" w:eastAsia="zh-CN"/>
        </w:rPr>
        <w:t>1.1.3</w:t>
      </w:r>
      <w:r>
        <w:rPr>
          <w:color w:val="000000"/>
          <w:szCs w:val="24"/>
        </w:rPr>
        <w:t xml:space="preserve"> </w:t>
      </w:r>
      <w:r>
        <w:rPr>
          <w:rFonts w:hint="eastAsia" w:hAnsi="宋体"/>
          <w:color w:val="000000"/>
          <w:szCs w:val="24"/>
          <w:lang w:eastAsia="zh-CN"/>
        </w:rPr>
        <w:t>投标方</w:t>
      </w:r>
      <w:r>
        <w:rPr>
          <w:rFonts w:hAnsi="宋体"/>
          <w:color w:val="000000"/>
          <w:szCs w:val="24"/>
        </w:rPr>
        <w:t>须仔细阅读包括本技术规范阐述的全部条款。</w:t>
      </w:r>
      <w:r>
        <w:rPr>
          <w:rFonts w:hint="eastAsia" w:hAnsi="宋体"/>
          <w:color w:val="000000"/>
          <w:szCs w:val="24"/>
          <w:lang w:eastAsia="zh-CN"/>
        </w:rPr>
        <w:t>投标方</w:t>
      </w:r>
      <w:r>
        <w:rPr>
          <w:rFonts w:hAnsi="宋体"/>
          <w:color w:val="000000"/>
          <w:szCs w:val="24"/>
        </w:rPr>
        <w:t>提供的</w:t>
      </w:r>
      <w:r>
        <w:rPr>
          <w:rFonts w:hint="eastAsia" w:hAnsi="宋体"/>
          <w:color w:val="000000"/>
          <w:szCs w:val="24"/>
        </w:rPr>
        <w:t>服务</w:t>
      </w:r>
      <w:r>
        <w:rPr>
          <w:rFonts w:hAnsi="宋体"/>
          <w:color w:val="000000"/>
          <w:szCs w:val="24"/>
        </w:rPr>
        <w:t>应符合招标文件所规定的要求，每一条款必须逐条作出明确答复，并列出具体技术数据和指标。如有必要，也可以在技术投标文件中以</w:t>
      </w:r>
      <w:r>
        <w:rPr>
          <w:color w:val="000000"/>
          <w:szCs w:val="24"/>
        </w:rPr>
        <w:t>“</w:t>
      </w:r>
      <w:r>
        <w:rPr>
          <w:rFonts w:hAnsi="宋体"/>
          <w:color w:val="000000"/>
          <w:szCs w:val="24"/>
        </w:rPr>
        <w:t>对规范书的意见和同规范书的差异</w:t>
      </w:r>
      <w:r>
        <w:rPr>
          <w:color w:val="000000"/>
          <w:szCs w:val="24"/>
        </w:rPr>
        <w:t>”</w:t>
      </w:r>
      <w:r>
        <w:rPr>
          <w:rFonts w:hAnsi="宋体"/>
          <w:color w:val="000000"/>
          <w:szCs w:val="24"/>
        </w:rPr>
        <w:t>为标题的专门章节加以详细描述。</w:t>
      </w:r>
    </w:p>
    <w:p>
      <w:pPr>
        <w:pStyle w:val="14"/>
        <w:numPr>
          <w:ilvl w:val="0"/>
          <w:numId w:val="0"/>
        </w:numPr>
        <w:spacing w:line="360" w:lineRule="auto"/>
        <w:ind w:firstLine="480" w:firstLineChars="200"/>
        <w:rPr>
          <w:color w:val="000000"/>
          <w:szCs w:val="24"/>
        </w:rPr>
      </w:pPr>
      <w:r>
        <w:rPr>
          <w:rFonts w:hint="eastAsia"/>
          <w:color w:val="000000"/>
          <w:szCs w:val="24"/>
          <w:lang w:val="en-US" w:eastAsia="zh-CN"/>
        </w:rPr>
        <w:t>1.1.4</w:t>
      </w:r>
      <w:r>
        <w:rPr>
          <w:color w:val="000000"/>
          <w:szCs w:val="24"/>
        </w:rPr>
        <w:t xml:space="preserve"> </w:t>
      </w:r>
      <w:r>
        <w:rPr>
          <w:rFonts w:hAnsi="宋体"/>
          <w:color w:val="000000"/>
          <w:szCs w:val="24"/>
        </w:rPr>
        <w:t>如果</w:t>
      </w:r>
      <w:r>
        <w:rPr>
          <w:rFonts w:hint="eastAsia" w:hAnsi="宋体"/>
          <w:color w:val="000000"/>
          <w:szCs w:val="24"/>
          <w:lang w:eastAsia="zh-CN"/>
        </w:rPr>
        <w:t>投标方</w:t>
      </w:r>
      <w:r>
        <w:rPr>
          <w:rFonts w:hAnsi="宋体"/>
          <w:color w:val="000000"/>
          <w:szCs w:val="24"/>
        </w:rPr>
        <w:t>没有以书面形式对本招标文件技术规范的条文提出差异，则意味着</w:t>
      </w:r>
      <w:r>
        <w:rPr>
          <w:rFonts w:hint="eastAsia" w:hAnsi="宋体"/>
          <w:color w:val="000000"/>
          <w:szCs w:val="24"/>
          <w:lang w:eastAsia="zh-CN"/>
        </w:rPr>
        <w:t>投标方</w:t>
      </w:r>
      <w:r>
        <w:rPr>
          <w:rFonts w:hAnsi="宋体"/>
          <w:color w:val="000000"/>
          <w:szCs w:val="24"/>
        </w:rPr>
        <w:t>提供的</w:t>
      </w:r>
      <w:r>
        <w:rPr>
          <w:rFonts w:hint="eastAsia" w:hAnsi="宋体"/>
          <w:color w:val="000000"/>
          <w:szCs w:val="24"/>
        </w:rPr>
        <w:t>服务</w:t>
      </w:r>
      <w:r>
        <w:rPr>
          <w:rFonts w:hAnsi="宋体"/>
          <w:color w:val="000000"/>
          <w:szCs w:val="24"/>
        </w:rPr>
        <w:t>完全符合本招标文件的要求。若有与本招标文件要求不一致的地方，必须逐项在</w:t>
      </w:r>
      <w:r>
        <w:rPr>
          <w:color w:val="000000"/>
          <w:szCs w:val="24"/>
        </w:rPr>
        <w:t>“</w:t>
      </w:r>
      <w:r>
        <w:rPr>
          <w:rFonts w:hAnsi="宋体"/>
          <w:color w:val="000000"/>
          <w:szCs w:val="24"/>
        </w:rPr>
        <w:t>技术差异表</w:t>
      </w:r>
      <w:r>
        <w:rPr>
          <w:color w:val="000000"/>
          <w:szCs w:val="24"/>
        </w:rPr>
        <w:t>”</w:t>
      </w:r>
      <w:r>
        <w:rPr>
          <w:rFonts w:hAnsi="宋体"/>
          <w:color w:val="000000"/>
          <w:szCs w:val="24"/>
        </w:rPr>
        <w:t>中列出。</w:t>
      </w:r>
    </w:p>
    <w:p>
      <w:pPr>
        <w:pStyle w:val="14"/>
        <w:numPr>
          <w:ilvl w:val="0"/>
          <w:numId w:val="0"/>
        </w:numPr>
        <w:spacing w:line="360" w:lineRule="auto"/>
        <w:ind w:firstLine="480" w:firstLineChars="200"/>
        <w:rPr>
          <w:color w:val="000000"/>
          <w:szCs w:val="24"/>
        </w:rPr>
      </w:pPr>
      <w:r>
        <w:rPr>
          <w:rFonts w:hint="eastAsia"/>
          <w:color w:val="000000"/>
          <w:szCs w:val="24"/>
          <w:lang w:val="en-US" w:eastAsia="zh-CN"/>
        </w:rPr>
        <w:t>1.1.5</w:t>
      </w:r>
      <w:r>
        <w:rPr>
          <w:color w:val="000000"/>
          <w:szCs w:val="24"/>
        </w:rPr>
        <w:t xml:space="preserve"> </w:t>
      </w:r>
      <w:r>
        <w:rPr>
          <w:rFonts w:hAnsi="宋体"/>
          <w:color w:val="000000"/>
          <w:szCs w:val="24"/>
        </w:rPr>
        <w:t>本技术规范书经招、投标双方确认后作为订合同的技术附件，与合同正文具有同等的法律效力。</w:t>
      </w:r>
    </w:p>
    <w:p>
      <w:pPr>
        <w:pStyle w:val="14"/>
        <w:numPr>
          <w:ilvl w:val="0"/>
          <w:numId w:val="0"/>
        </w:numPr>
        <w:spacing w:line="360" w:lineRule="auto"/>
        <w:ind w:firstLine="480" w:firstLineChars="200"/>
        <w:rPr>
          <w:color w:val="000000"/>
          <w:szCs w:val="24"/>
        </w:rPr>
      </w:pPr>
      <w:r>
        <w:rPr>
          <w:rFonts w:hint="eastAsia"/>
          <w:color w:val="000000"/>
          <w:szCs w:val="24"/>
          <w:lang w:val="en-US" w:eastAsia="zh-CN"/>
        </w:rPr>
        <w:t xml:space="preserve">1.1.6 </w:t>
      </w:r>
      <w:r>
        <w:rPr>
          <w:rFonts w:hAnsi="宋体"/>
          <w:color w:val="000000"/>
          <w:szCs w:val="24"/>
        </w:rPr>
        <w:t>本技术规范书未尽事宜，由招、</w:t>
      </w:r>
      <w:r>
        <w:rPr>
          <w:rFonts w:hint="eastAsia" w:hAnsi="宋体"/>
          <w:color w:val="000000"/>
          <w:szCs w:val="24"/>
          <w:lang w:eastAsia="zh-CN"/>
        </w:rPr>
        <w:t>投标方</w:t>
      </w:r>
      <w:r>
        <w:rPr>
          <w:rFonts w:hAnsi="宋体"/>
          <w:color w:val="000000"/>
          <w:szCs w:val="24"/>
        </w:rPr>
        <w:t>双方协商确定。</w:t>
      </w:r>
    </w:p>
    <w:p>
      <w:pPr>
        <w:pStyle w:val="6"/>
        <w:spacing w:before="0" w:after="0" w:line="360" w:lineRule="auto"/>
      </w:pPr>
      <w:r>
        <w:t xml:space="preserve">1.2 </w:t>
      </w:r>
      <w:r>
        <w:rPr>
          <w:rFonts w:hAnsi="宋体"/>
        </w:rPr>
        <w:t>一般</w:t>
      </w:r>
      <w:bookmarkEnd w:id="3"/>
      <w:bookmarkEnd w:id="4"/>
      <w:r>
        <w:rPr>
          <w:rFonts w:hAnsi="宋体"/>
        </w:rPr>
        <w:t>要求</w:t>
      </w:r>
    </w:p>
    <w:p>
      <w:pPr>
        <w:spacing w:line="360" w:lineRule="auto"/>
        <w:ind w:firstLine="484" w:firstLineChars="202"/>
        <w:jc w:val="both"/>
        <w:rPr>
          <w:rFonts w:hAnsi="宋体" w:eastAsia="宋体"/>
          <w:color w:val="auto"/>
          <w:sz w:val="24"/>
          <w:szCs w:val="24"/>
        </w:rPr>
      </w:pPr>
      <w:r>
        <w:rPr>
          <w:rFonts w:hAnsi="宋体" w:eastAsia="宋体"/>
          <w:color w:val="auto"/>
          <w:sz w:val="24"/>
          <w:szCs w:val="24"/>
        </w:rPr>
        <w:t>本技术规范书适用于</w:t>
      </w:r>
      <w:r>
        <w:rPr>
          <w:rFonts w:hint="eastAsia" w:hAnsi="宋体" w:eastAsia="宋体"/>
          <w:color w:val="auto"/>
          <w:sz w:val="24"/>
          <w:szCs w:val="24"/>
        </w:rPr>
        <w:t>《</w:t>
      </w:r>
      <w:r>
        <w:rPr>
          <w:rFonts w:hint="eastAsia" w:hAnsi="宋体" w:eastAsia="宋体"/>
          <w:color w:val="auto"/>
          <w:sz w:val="24"/>
          <w:szCs w:val="24"/>
          <w:lang w:val="en-US" w:eastAsia="zh-CN"/>
        </w:rPr>
        <w:t>南网通航公司H125型直升机发动机航材采购项目</w:t>
      </w:r>
      <w:r>
        <w:rPr>
          <w:rFonts w:hint="eastAsia" w:hAnsi="宋体" w:eastAsia="宋体"/>
          <w:color w:val="auto"/>
          <w:sz w:val="24"/>
          <w:szCs w:val="24"/>
        </w:rPr>
        <w:t>》</w:t>
      </w:r>
      <w:r>
        <w:rPr>
          <w:rFonts w:hAnsi="宋体" w:eastAsia="宋体"/>
          <w:color w:val="auto"/>
          <w:sz w:val="24"/>
          <w:szCs w:val="24"/>
        </w:rPr>
        <w:t>，</w:t>
      </w:r>
      <w:r>
        <w:rPr>
          <w:rFonts w:hint="eastAsia" w:hAnsi="宋体" w:eastAsia="宋体"/>
          <w:color w:val="auto"/>
          <w:sz w:val="24"/>
          <w:szCs w:val="28"/>
        </w:rPr>
        <w:t>该</w:t>
      </w:r>
      <w:r>
        <w:rPr>
          <w:rFonts w:hint="eastAsia" w:hAnsi="宋体" w:eastAsia="宋体"/>
          <w:color w:val="auto"/>
          <w:sz w:val="24"/>
          <w:szCs w:val="24"/>
        </w:rPr>
        <w:t>项目</w:t>
      </w:r>
      <w:r>
        <w:rPr>
          <w:rFonts w:hAnsi="宋体" w:eastAsia="宋体"/>
          <w:color w:val="auto"/>
          <w:sz w:val="24"/>
          <w:szCs w:val="24"/>
        </w:rPr>
        <w:t>涉及</w:t>
      </w:r>
      <w:r>
        <w:rPr>
          <w:rFonts w:hint="eastAsia" w:hAnsi="宋体" w:eastAsia="宋体"/>
          <w:color w:val="auto"/>
          <w:sz w:val="24"/>
          <w:szCs w:val="24"/>
          <w:lang w:eastAsia="zh-CN"/>
        </w:rPr>
        <w:t>招标方</w:t>
      </w:r>
      <w:r>
        <w:rPr>
          <w:rFonts w:hint="eastAsia" w:hAnsi="宋体" w:eastAsia="宋体"/>
          <w:color w:val="auto"/>
          <w:sz w:val="24"/>
          <w:szCs w:val="24"/>
          <w:lang w:val="en-US" w:eastAsia="zh-CN"/>
        </w:rPr>
        <w:t>公司所有两架H125型直升机发动机航材</w:t>
      </w:r>
      <w:r>
        <w:rPr>
          <w:rFonts w:hAnsi="宋体" w:eastAsia="宋体"/>
          <w:color w:val="auto"/>
          <w:sz w:val="24"/>
          <w:szCs w:val="24"/>
        </w:rPr>
        <w:t>。</w:t>
      </w:r>
    </w:p>
    <w:p>
      <w:pPr>
        <w:spacing w:before="120" w:beforeLines="50" w:after="120" w:afterLines="50" w:line="360" w:lineRule="auto"/>
        <w:ind w:firstLine="0"/>
        <w:jc w:val="center"/>
        <w:outlineLvl w:val="0"/>
        <w:rPr>
          <w:rFonts w:ascii="Calibri" w:hAnsi="宋体" w:eastAsia="宋体"/>
          <w:b/>
          <w:kern w:val="44"/>
          <w:sz w:val="36"/>
          <w:szCs w:val="36"/>
        </w:rPr>
      </w:pPr>
      <w:bookmarkStart w:id="5" w:name="_Toc165739079"/>
      <w:bookmarkStart w:id="6" w:name="_Toc239276527"/>
    </w:p>
    <w:p>
      <w:pPr>
        <w:spacing w:before="120" w:beforeLines="50" w:after="120" w:afterLines="50" w:line="360" w:lineRule="auto"/>
        <w:ind w:firstLine="0"/>
        <w:jc w:val="center"/>
        <w:outlineLvl w:val="0"/>
        <w:rPr>
          <w:rFonts w:ascii="Calibri" w:hAnsi="宋体" w:eastAsia="宋体"/>
          <w:b/>
          <w:kern w:val="44"/>
          <w:sz w:val="36"/>
          <w:szCs w:val="36"/>
        </w:rPr>
      </w:pPr>
      <w:r>
        <w:rPr>
          <w:rFonts w:ascii="Calibri" w:hAnsi="宋体" w:eastAsia="宋体"/>
          <w:b/>
          <w:kern w:val="44"/>
          <w:sz w:val="36"/>
          <w:szCs w:val="36"/>
        </w:rPr>
        <w:t>二</w:t>
      </w:r>
      <w:r>
        <w:rPr>
          <w:rFonts w:ascii="Calibri" w:hAnsi="Calibri" w:eastAsia="宋体"/>
          <w:b/>
          <w:kern w:val="44"/>
          <w:sz w:val="36"/>
          <w:szCs w:val="36"/>
        </w:rPr>
        <w:t xml:space="preserve"> </w:t>
      </w:r>
      <w:r>
        <w:rPr>
          <w:rFonts w:hint="eastAsia" w:ascii="Calibri" w:hAnsi="宋体" w:eastAsia="宋体"/>
          <w:b/>
          <w:kern w:val="44"/>
          <w:sz w:val="36"/>
          <w:szCs w:val="36"/>
          <w:lang w:val="en-US" w:eastAsia="zh-CN"/>
        </w:rPr>
        <w:t>服务</w:t>
      </w:r>
      <w:r>
        <w:rPr>
          <w:rFonts w:ascii="Calibri" w:hAnsi="宋体" w:eastAsia="宋体"/>
          <w:b/>
          <w:kern w:val="44"/>
          <w:sz w:val="36"/>
          <w:szCs w:val="36"/>
        </w:rPr>
        <w:t>范围及要求</w:t>
      </w:r>
    </w:p>
    <w:bookmarkEnd w:id="5"/>
    <w:bookmarkEnd w:id="6"/>
    <w:p>
      <w:pPr>
        <w:pStyle w:val="6"/>
        <w:spacing w:before="0" w:after="0" w:line="360" w:lineRule="auto"/>
        <w:rPr>
          <w:rFonts w:eastAsia="宋体"/>
          <w:lang w:val="en-US" w:eastAsia="zh-CN"/>
        </w:rPr>
      </w:pPr>
      <w:bookmarkStart w:id="7" w:name="_Toc391641240"/>
      <w:r>
        <w:rPr>
          <w:rFonts w:hint="eastAsia" w:eastAsia="宋体"/>
          <w:lang w:val="en-US" w:eastAsia="zh-CN"/>
        </w:rPr>
        <w:t xml:space="preserve">2.1 </w:t>
      </w:r>
      <w:r>
        <w:rPr>
          <w:rFonts w:eastAsia="宋体"/>
          <w:lang w:val="en-US" w:eastAsia="zh-CN"/>
        </w:rPr>
        <w:t>总体要求</w:t>
      </w:r>
      <w:bookmarkEnd w:id="7"/>
    </w:p>
    <w:p>
      <w:pPr>
        <w:pStyle w:val="14"/>
        <w:numPr>
          <w:ilvl w:val="0"/>
          <w:numId w:val="0"/>
        </w:numPr>
        <w:spacing w:line="360" w:lineRule="auto"/>
        <w:ind w:firstLine="480" w:firstLineChars="200"/>
        <w:rPr>
          <w:rFonts w:hint="default" w:ascii="Times New Roman" w:hAnsi="宋体" w:eastAsia="宋体" w:cs="Times New Roman"/>
          <w:b w:val="0"/>
          <w:bCs w:val="0"/>
          <w:color w:val="auto"/>
          <w:kern w:val="2"/>
          <w:sz w:val="24"/>
          <w:szCs w:val="28"/>
          <w:highlight w:val="none"/>
          <w:lang w:val="en-US" w:eastAsia="zh-CN" w:bidi="ar-SA"/>
        </w:rPr>
      </w:pPr>
      <w:r>
        <w:rPr>
          <w:rFonts w:hint="eastAsia" w:ascii="Times New Roman" w:hAnsi="宋体" w:eastAsia="宋体" w:cs="Times New Roman"/>
          <w:b w:val="0"/>
          <w:bCs w:val="0"/>
          <w:color w:val="auto"/>
          <w:kern w:val="2"/>
          <w:sz w:val="24"/>
          <w:szCs w:val="28"/>
          <w:highlight w:val="none"/>
          <w:lang w:val="en-US" w:eastAsia="zh-CN" w:bidi="ar-SA"/>
        </w:rPr>
        <w:t>投标方提供的航材及工具应能完成招标方公司所有两家H125型直升机发动机维修保养。投标方应是赛峰发动机航材及零部件的供应商，且具有赛峰集团出具的销售权证明文件。</w:t>
      </w:r>
      <w:bookmarkStart w:id="26" w:name="_GoBack"/>
      <w:bookmarkEnd w:id="26"/>
    </w:p>
    <w:p>
      <w:pPr>
        <w:pStyle w:val="6"/>
        <w:spacing w:before="0" w:after="0" w:line="360" w:lineRule="auto"/>
        <w:rPr>
          <w:rFonts w:hint="default" w:eastAsia="宋体"/>
          <w:lang w:val="en-US" w:eastAsia="zh-CN"/>
        </w:rPr>
      </w:pPr>
      <w:bookmarkStart w:id="8" w:name="_Toc391641241"/>
      <w:r>
        <w:rPr>
          <w:rFonts w:hint="eastAsia" w:eastAsia="宋体"/>
          <w:lang w:val="en-US" w:eastAsia="zh-CN"/>
        </w:rPr>
        <w:t xml:space="preserve">2.2 </w:t>
      </w:r>
      <w:bookmarkEnd w:id="8"/>
      <w:r>
        <w:rPr>
          <w:rFonts w:hint="eastAsia" w:eastAsia="宋体"/>
          <w:lang w:val="en-US" w:eastAsia="zh-CN"/>
        </w:rPr>
        <w:t>具体</w:t>
      </w:r>
      <w:r>
        <w:rPr>
          <w:rFonts w:hint="eastAsia"/>
          <w:lang w:val="en-US" w:eastAsia="zh-CN"/>
        </w:rPr>
        <w:t>采购</w:t>
      </w:r>
      <w:r>
        <w:rPr>
          <w:rFonts w:hint="eastAsia" w:eastAsia="宋体"/>
          <w:lang w:val="en-US" w:eastAsia="zh-CN"/>
        </w:rPr>
        <w:t>范围</w:t>
      </w:r>
    </w:p>
    <w:p>
      <w:pPr>
        <w:pStyle w:val="6"/>
        <w:spacing w:before="0" w:after="0" w:line="360" w:lineRule="auto"/>
        <w:ind w:firstLine="480" w:firstLineChars="200"/>
        <w:rPr>
          <w:rFonts w:hint="eastAsia" w:ascii="Times New Roman" w:hAnsi="宋体" w:eastAsia="宋体" w:cs="Times New Roman"/>
          <w:b w:val="0"/>
          <w:bCs w:val="0"/>
          <w:kern w:val="0"/>
          <w:sz w:val="24"/>
          <w:szCs w:val="24"/>
          <w:lang w:val="en-US" w:eastAsia="zh-CN" w:bidi="ar-SA"/>
        </w:rPr>
      </w:pPr>
      <w:bookmarkStart w:id="9" w:name="_Toc391641244"/>
      <w:r>
        <w:rPr>
          <w:rFonts w:hint="eastAsia" w:ascii="Times New Roman" w:hAnsi="宋体" w:eastAsia="宋体" w:cs="Times New Roman"/>
          <w:b w:val="0"/>
          <w:bCs w:val="0"/>
          <w:kern w:val="0"/>
          <w:sz w:val="24"/>
          <w:szCs w:val="24"/>
          <w:lang w:val="en-US" w:eastAsia="zh-CN" w:bidi="ar-SA"/>
        </w:rPr>
        <w:t>提供</w:t>
      </w:r>
      <w:r>
        <w:rPr>
          <w:rFonts w:hint="eastAsia" w:hAnsi="宋体"/>
          <w:b w:val="0"/>
          <w:bCs w:val="0"/>
          <w:color w:val="auto"/>
          <w:sz w:val="24"/>
          <w:szCs w:val="28"/>
          <w:highlight w:val="none"/>
          <w:lang w:val="en-US" w:eastAsia="zh-CN"/>
        </w:rPr>
        <w:t>两架H125型直升机发动机所需航材</w:t>
      </w:r>
      <w:r>
        <w:rPr>
          <w:rFonts w:hint="eastAsia" w:hAnsi="宋体" w:cs="Times New Roman"/>
          <w:b w:val="0"/>
          <w:bCs w:val="0"/>
          <w:kern w:val="0"/>
          <w:sz w:val="24"/>
          <w:szCs w:val="24"/>
          <w:lang w:val="en-US" w:eastAsia="zh-CN" w:bidi="ar-SA"/>
        </w:rPr>
        <w:t>，</w:t>
      </w:r>
      <w:r>
        <w:rPr>
          <w:rFonts w:hint="eastAsia" w:ascii="Times New Roman" w:hAnsi="宋体" w:eastAsia="宋体" w:cs="Times New Roman"/>
          <w:b w:val="0"/>
          <w:bCs w:val="0"/>
          <w:kern w:val="0"/>
          <w:sz w:val="24"/>
          <w:szCs w:val="24"/>
          <w:lang w:val="en-US" w:eastAsia="zh-CN" w:bidi="ar-SA"/>
        </w:rPr>
        <w:t>以下</w:t>
      </w:r>
      <w:r>
        <w:rPr>
          <w:rFonts w:hint="eastAsia" w:hAnsi="宋体" w:cs="Times New Roman"/>
          <w:b w:val="0"/>
          <w:bCs w:val="0"/>
          <w:kern w:val="0"/>
          <w:sz w:val="24"/>
          <w:szCs w:val="24"/>
          <w:lang w:val="en-US" w:eastAsia="zh-CN" w:bidi="ar-SA"/>
        </w:rPr>
        <w:t>为</w:t>
      </w:r>
      <w:r>
        <w:rPr>
          <w:rFonts w:hint="eastAsia" w:ascii="Times New Roman" w:hAnsi="宋体" w:eastAsia="宋体" w:cs="Times New Roman"/>
          <w:b w:val="0"/>
          <w:bCs w:val="0"/>
          <w:kern w:val="0"/>
          <w:sz w:val="24"/>
          <w:szCs w:val="24"/>
          <w:lang w:val="en-US" w:eastAsia="zh-CN" w:bidi="ar-SA"/>
        </w:rPr>
        <w:t>具体</w:t>
      </w:r>
      <w:r>
        <w:rPr>
          <w:rFonts w:hint="eastAsia" w:hAnsi="宋体" w:cs="Times New Roman"/>
          <w:b w:val="0"/>
          <w:bCs w:val="0"/>
          <w:kern w:val="0"/>
          <w:sz w:val="24"/>
          <w:szCs w:val="24"/>
          <w:lang w:val="en-US" w:eastAsia="zh-CN" w:bidi="ar-SA"/>
        </w:rPr>
        <w:t>采购内容</w:t>
      </w:r>
      <w:r>
        <w:rPr>
          <w:rFonts w:hint="eastAsia" w:ascii="Times New Roman" w:hAnsi="宋体" w:eastAsia="宋体" w:cs="Times New Roman"/>
          <w:b w:val="0"/>
          <w:bCs w:val="0"/>
          <w:kern w:val="0"/>
          <w:sz w:val="24"/>
          <w:szCs w:val="24"/>
          <w:lang w:val="en-US" w:eastAsia="zh-CN" w:bidi="ar-SA"/>
        </w:rPr>
        <w:t>：</w:t>
      </w:r>
    </w:p>
    <w:p>
      <w:pPr>
        <w:numPr>
          <w:ilvl w:val="0"/>
          <w:numId w:val="3"/>
        </w:numPr>
        <w:jc w:val="lef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发动机航材清单</w:t>
      </w:r>
    </w:p>
    <w:tbl>
      <w:tblPr>
        <w:tblStyle w:val="9"/>
        <w:tblW w:w="416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8"/>
        <w:gridCol w:w="1793"/>
        <w:gridCol w:w="1109"/>
        <w:gridCol w:w="765"/>
        <w:gridCol w:w="1568"/>
        <w:gridCol w:w="787"/>
        <w:gridCol w:w="11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jc w:val="center"/>
        </w:trPr>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机型号</w:t>
            </w:r>
          </w:p>
        </w:tc>
        <w:tc>
          <w:tcPr>
            <w:tcW w:w="183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AS350B3e</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飞机序列号</w:t>
            </w:r>
          </w:p>
        </w:tc>
        <w:tc>
          <w:tcPr>
            <w:tcW w:w="9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8144/8399</w:t>
            </w:r>
          </w:p>
        </w:tc>
        <w:tc>
          <w:tcPr>
            <w:tcW w:w="496"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类型</w:t>
            </w:r>
          </w:p>
        </w:tc>
        <w:tc>
          <w:tcPr>
            <w:tcW w:w="742"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Item</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件号 （必填）</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描述（名称）</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9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IPC</w:t>
            </w:r>
          </w:p>
        </w:tc>
        <w:tc>
          <w:tcPr>
            <w:tcW w:w="496"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p>
        </w:tc>
        <w:tc>
          <w:tcPr>
            <w:tcW w:w="742"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autoSpaceDE/>
              <w:autoSpaceDN/>
              <w:bidi w:val="0"/>
              <w:adjustRightInd w:val="0"/>
              <w:snapToGrid/>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9794710200</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燃油滤0型垫圈 810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2</w:t>
            </w:r>
          </w:p>
        </w:tc>
        <w:tc>
          <w:tcPr>
            <w:tcW w:w="9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发动机</w:t>
            </w:r>
          </w:p>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IPC-73-23-14</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排故</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autoSpaceDE/>
              <w:autoSpaceDN/>
              <w:bidi w:val="0"/>
              <w:adjustRightInd w:val="0"/>
              <w:snapToGrid/>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CA01616A</w:t>
            </w:r>
            <w:r>
              <w:rPr>
                <w:rFonts w:hint="eastAsia" w:ascii="仿宋" w:hAnsi="仿宋" w:eastAsia="仿宋" w:cs="仿宋"/>
                <w:i w:val="0"/>
                <w:iCs w:val="0"/>
                <w:color w:val="000000"/>
                <w:kern w:val="0"/>
                <w:sz w:val="18"/>
                <w:szCs w:val="18"/>
                <w:u w:val="none"/>
                <w:lang w:val="en-US" w:eastAsia="zh-CN" w:bidi="ar"/>
              </w:rPr>
              <w:br w:type="textWrapping"/>
            </w:r>
            <w:r>
              <w:rPr>
                <w:rFonts w:hint="eastAsia" w:ascii="仿宋" w:hAnsi="仿宋" w:eastAsia="仿宋" w:cs="仿宋"/>
                <w:i w:val="0"/>
                <w:iCs w:val="0"/>
                <w:color w:val="000000"/>
                <w:kern w:val="0"/>
                <w:sz w:val="18"/>
                <w:szCs w:val="18"/>
                <w:u w:val="none"/>
                <w:lang w:val="en-US" w:eastAsia="zh-CN" w:bidi="ar"/>
              </w:rPr>
              <w:t>9560171250</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燃油滤芯 330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2</w:t>
            </w:r>
          </w:p>
        </w:tc>
        <w:tc>
          <w:tcPr>
            <w:tcW w:w="9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发动机</w:t>
            </w:r>
          </w:p>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IPC-73-23-14</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排故</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autoSpaceDE/>
              <w:autoSpaceDN/>
              <w:bidi w:val="0"/>
              <w:adjustRightInd w:val="0"/>
              <w:snapToGrid/>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9220-004-0</w:t>
            </w:r>
            <w:r>
              <w:rPr>
                <w:rFonts w:hint="eastAsia" w:ascii="仿宋" w:hAnsi="仿宋" w:eastAsia="仿宋" w:cs="仿宋"/>
                <w:i w:val="0"/>
                <w:iCs w:val="0"/>
                <w:color w:val="000000"/>
                <w:kern w:val="0"/>
                <w:sz w:val="18"/>
                <w:szCs w:val="18"/>
                <w:u w:val="none"/>
                <w:lang w:val="en-US" w:eastAsia="zh-CN" w:bidi="ar"/>
              </w:rPr>
              <w:br w:type="textWrapping"/>
            </w:r>
            <w:r>
              <w:rPr>
                <w:rFonts w:hint="eastAsia" w:ascii="仿宋" w:hAnsi="仿宋" w:eastAsia="仿宋" w:cs="仿宋"/>
                <w:i w:val="0"/>
                <w:iCs w:val="0"/>
                <w:color w:val="000000"/>
                <w:kern w:val="0"/>
                <w:sz w:val="18"/>
                <w:szCs w:val="18"/>
                <w:u w:val="none"/>
                <w:lang w:val="en-US" w:eastAsia="zh-CN" w:bidi="ar"/>
              </w:rPr>
              <w:t>9520010794</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空气滤密封 020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2</w:t>
            </w:r>
          </w:p>
        </w:tc>
        <w:tc>
          <w:tcPr>
            <w:tcW w:w="9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发动机</w:t>
            </w:r>
          </w:p>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IPC-73-23-14</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排故</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autoSpaceDE/>
              <w:autoSpaceDN/>
              <w:bidi w:val="0"/>
              <w:adjustRightInd w:val="0"/>
              <w:snapToGrid/>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CA00525A</w:t>
            </w:r>
            <w:r>
              <w:rPr>
                <w:rFonts w:hint="eastAsia" w:ascii="仿宋" w:hAnsi="仿宋" w:eastAsia="仿宋" w:cs="仿宋"/>
                <w:i w:val="0"/>
                <w:iCs w:val="0"/>
                <w:color w:val="000000"/>
                <w:kern w:val="0"/>
                <w:sz w:val="18"/>
                <w:szCs w:val="18"/>
                <w:u w:val="none"/>
                <w:lang w:val="en-US" w:eastAsia="zh-CN" w:bidi="ar"/>
              </w:rPr>
              <w:br w:type="textWrapping"/>
            </w:r>
            <w:r>
              <w:rPr>
                <w:rFonts w:hint="eastAsia" w:ascii="仿宋" w:hAnsi="仿宋" w:eastAsia="仿宋" w:cs="仿宋"/>
                <w:i w:val="0"/>
                <w:iCs w:val="0"/>
                <w:color w:val="000000"/>
                <w:kern w:val="0"/>
                <w:sz w:val="18"/>
                <w:szCs w:val="18"/>
                <w:u w:val="none"/>
                <w:lang w:val="en-US" w:eastAsia="zh-CN" w:bidi="ar"/>
              </w:rPr>
              <w:t>9560166860</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滑油滤芯 01-280</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2</w:t>
            </w:r>
          </w:p>
        </w:tc>
        <w:tc>
          <w:tcPr>
            <w:tcW w:w="9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kern w:val="0"/>
                <w:sz w:val="18"/>
                <w:szCs w:val="18"/>
                <w:u w:val="none"/>
                <w:lang w:val="en-US" w:eastAsia="zh-CN" w:bidi="ar"/>
              </w:rPr>
            </w:pPr>
            <w:r>
              <w:rPr>
                <w:rFonts w:hint="eastAsia" w:ascii="仿宋" w:hAnsi="仿宋" w:eastAsia="仿宋" w:cs="仿宋"/>
                <w:i w:val="0"/>
                <w:iCs w:val="0"/>
                <w:color w:val="000000"/>
                <w:kern w:val="0"/>
                <w:sz w:val="18"/>
                <w:szCs w:val="18"/>
                <w:u w:val="none"/>
                <w:lang w:val="en-US" w:eastAsia="zh-CN" w:bidi="ar"/>
              </w:rPr>
              <w:t>发动机</w:t>
            </w:r>
          </w:p>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IPC-79-21-00</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18"/>
                <w:szCs w:val="18"/>
                <w:u w:val="none"/>
                <w:lang w:val="en-US" w:eastAsia="zh-CN" w:bidi="ar"/>
              </w:rPr>
              <w:t>排故</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i w:val="0"/>
                <w:iCs w:val="0"/>
                <w:color w:val="000000"/>
                <w:sz w:val="22"/>
                <w:szCs w:val="22"/>
                <w:u w:val="none"/>
              </w:rPr>
            </w:pPr>
          </w:p>
        </w:tc>
      </w:tr>
    </w:tbl>
    <w:p>
      <w:pPr>
        <w:pStyle w:val="14"/>
        <w:numPr>
          <w:ilvl w:val="0"/>
          <w:numId w:val="0"/>
        </w:numPr>
        <w:spacing w:line="360" w:lineRule="auto"/>
        <w:rPr>
          <w:rFonts w:hint="eastAsia" w:hAnsi="宋体" w:cs="Times New Roman"/>
          <w:b w:val="0"/>
          <w:bCs w:val="0"/>
          <w:sz w:val="24"/>
          <w:szCs w:val="24"/>
          <w:lang w:val="en-US" w:eastAsia="zh-CN" w:bidi="ar-SA"/>
        </w:rPr>
      </w:pPr>
      <w:r>
        <w:rPr>
          <w:rFonts w:hint="eastAsia" w:hAnsi="宋体" w:cs="Times New Roman"/>
          <w:b w:val="0"/>
          <w:bCs w:val="0"/>
          <w:sz w:val="24"/>
          <w:szCs w:val="24"/>
          <w:lang w:val="en-US" w:eastAsia="zh-CN" w:bidi="ar-SA"/>
        </w:rPr>
        <w:t>备注：</w:t>
      </w:r>
    </w:p>
    <w:p>
      <w:pPr>
        <w:pStyle w:val="14"/>
        <w:numPr>
          <w:ilvl w:val="0"/>
          <w:numId w:val="0"/>
        </w:numPr>
        <w:spacing w:line="360" w:lineRule="auto"/>
        <w:rPr>
          <w:rFonts w:hint="default" w:hAnsi="宋体" w:cs="Times New Roman"/>
          <w:b w:val="0"/>
          <w:bCs w:val="0"/>
          <w:sz w:val="24"/>
          <w:szCs w:val="24"/>
          <w:lang w:val="en-US" w:eastAsia="zh-CN" w:bidi="ar-SA"/>
        </w:rPr>
      </w:pPr>
      <w:r>
        <w:rPr>
          <w:rFonts w:hint="eastAsia" w:hAnsi="宋体" w:cs="Times New Roman"/>
          <w:b w:val="0"/>
          <w:bCs w:val="0"/>
          <w:sz w:val="24"/>
          <w:szCs w:val="24"/>
          <w:lang w:val="en-US" w:eastAsia="zh-CN" w:bidi="ar-SA"/>
        </w:rPr>
        <w:t>1.未完成定检：机体6年检查、机体2250小时/6年检查、机体3000小时/6年检查、机体5000小时/6年检查、机体5400小时/6年检查。</w:t>
      </w:r>
    </w:p>
    <w:p>
      <w:pPr>
        <w:pStyle w:val="14"/>
        <w:numPr>
          <w:ilvl w:val="0"/>
          <w:numId w:val="0"/>
        </w:numPr>
        <w:spacing w:line="360" w:lineRule="auto"/>
        <w:rPr>
          <w:rFonts w:hint="eastAsia" w:hAnsi="宋体" w:cs="Times New Roman"/>
          <w:b w:val="0"/>
          <w:bCs w:val="0"/>
          <w:sz w:val="24"/>
          <w:szCs w:val="24"/>
          <w:lang w:val="en-US" w:eastAsia="zh-CN" w:bidi="ar-SA"/>
        </w:rPr>
      </w:pPr>
      <w:r>
        <w:rPr>
          <w:rFonts w:hint="eastAsia" w:hAnsi="宋体" w:cs="Times New Roman"/>
          <w:b w:val="0"/>
          <w:bCs w:val="0"/>
          <w:sz w:val="24"/>
          <w:szCs w:val="24"/>
          <w:lang w:val="en-US" w:eastAsia="zh-CN" w:bidi="ar-SA"/>
        </w:rPr>
        <w:t>2.标注“排故”类型的：直升机上目前安装的部件已损坏，飞行之前需要更换。</w:t>
      </w:r>
    </w:p>
    <w:p>
      <w:pPr>
        <w:pStyle w:val="14"/>
        <w:numPr>
          <w:ilvl w:val="0"/>
          <w:numId w:val="0"/>
        </w:numPr>
        <w:spacing w:line="360" w:lineRule="auto"/>
        <w:rPr>
          <w:rFonts w:hint="eastAsia" w:hAnsi="宋体" w:cs="Times New Roman"/>
          <w:b w:val="0"/>
          <w:bCs w:val="0"/>
          <w:sz w:val="24"/>
          <w:szCs w:val="24"/>
          <w:lang w:val="en-US" w:eastAsia="zh-CN" w:bidi="ar-SA"/>
        </w:rPr>
      </w:pPr>
    </w:p>
    <w:p>
      <w:pPr>
        <w:spacing w:before="120" w:beforeLines="50" w:after="120" w:afterLines="50" w:line="360" w:lineRule="auto"/>
        <w:ind w:firstLine="0"/>
        <w:jc w:val="center"/>
        <w:outlineLvl w:val="0"/>
        <w:rPr>
          <w:rFonts w:ascii="Calibri" w:hAnsi="宋体" w:eastAsia="宋体"/>
          <w:b/>
          <w:kern w:val="44"/>
          <w:sz w:val="36"/>
          <w:szCs w:val="32"/>
        </w:rPr>
      </w:pPr>
      <w:bookmarkStart w:id="10" w:name="_Toc398857776"/>
      <w:bookmarkStart w:id="11" w:name="_Toc396982639"/>
      <w:bookmarkStart w:id="12" w:name="_Toc346550843"/>
      <w:r>
        <w:rPr>
          <w:rFonts w:hint="eastAsia" w:ascii="Calibri" w:hAnsi="宋体" w:eastAsia="宋体"/>
          <w:b/>
          <w:kern w:val="44"/>
          <w:sz w:val="36"/>
          <w:szCs w:val="32"/>
        </w:rPr>
        <w:t xml:space="preserve">三 </w:t>
      </w:r>
      <w:r>
        <w:rPr>
          <w:rFonts w:ascii="Calibri" w:hAnsi="宋体" w:eastAsia="宋体"/>
          <w:b/>
          <w:kern w:val="44"/>
          <w:sz w:val="36"/>
          <w:szCs w:val="32"/>
        </w:rPr>
        <w:t>验收要求</w:t>
      </w:r>
    </w:p>
    <w:p>
      <w:pPr>
        <w:spacing w:before="120" w:beforeLines="50" w:after="120" w:afterLines="50" w:line="360" w:lineRule="auto"/>
        <w:ind w:firstLine="484" w:firstLineChars="202"/>
        <w:jc w:val="both"/>
        <w:rPr>
          <w:rFonts w:hint="eastAsia" w:ascii="Calibri" w:hAnsi="宋体" w:eastAsia="宋体"/>
          <w:sz w:val="32"/>
          <w:szCs w:val="40"/>
          <w:lang w:eastAsia="zh-CN"/>
        </w:rPr>
      </w:pPr>
      <w:r>
        <w:rPr>
          <w:rFonts w:hint="eastAsia" w:ascii="Calibri" w:hAnsi="宋体" w:eastAsia="宋体"/>
          <w:sz w:val="24"/>
          <w:szCs w:val="32"/>
        </w:rPr>
        <w:t>3.1</w:t>
      </w:r>
      <w:r>
        <w:rPr>
          <w:rFonts w:hint="eastAsia" w:ascii="Calibri" w:hAnsi="宋体" w:eastAsia="宋体"/>
          <w:sz w:val="24"/>
          <w:szCs w:val="32"/>
          <w:lang w:val="en-US" w:eastAsia="zh-CN"/>
        </w:rPr>
        <w:t xml:space="preserve"> </w:t>
      </w:r>
      <w:r>
        <w:rPr>
          <w:rFonts w:hint="eastAsia" w:ascii="Calibri" w:hAnsi="宋体" w:eastAsia="宋体"/>
          <w:sz w:val="24"/>
          <w:szCs w:val="32"/>
        </w:rPr>
        <w:t>按供货范围要求</w:t>
      </w:r>
      <w:r>
        <w:rPr>
          <w:rFonts w:hint="eastAsia" w:ascii="Calibri" w:hAnsi="宋体" w:eastAsia="宋体"/>
          <w:sz w:val="24"/>
          <w:szCs w:val="32"/>
          <w:lang w:val="en-US" w:eastAsia="zh-CN"/>
        </w:rPr>
        <w:t>和招标方实际业务</w:t>
      </w:r>
      <w:r>
        <w:rPr>
          <w:rFonts w:hint="eastAsia" w:ascii="Calibri" w:hAnsi="宋体" w:eastAsia="宋体"/>
          <w:sz w:val="24"/>
          <w:szCs w:val="32"/>
        </w:rPr>
        <w:t>提交交付物</w:t>
      </w:r>
      <w:r>
        <w:rPr>
          <w:rFonts w:hint="eastAsia" w:ascii="Calibri" w:hAnsi="宋体" w:eastAsia="宋体"/>
          <w:sz w:val="24"/>
          <w:szCs w:val="32"/>
          <w:lang w:eastAsia="zh-CN"/>
        </w:rPr>
        <w:t>：</w:t>
      </w:r>
      <w:bookmarkEnd w:id="10"/>
      <w:bookmarkEnd w:id="11"/>
      <w:bookmarkEnd w:id="12"/>
      <w:bookmarkStart w:id="13" w:name="_Toc396982643"/>
      <w:bookmarkStart w:id="14" w:name="_Toc398857777"/>
    </w:p>
    <w:p>
      <w:pPr>
        <w:pStyle w:val="14"/>
        <w:numPr>
          <w:ilvl w:val="0"/>
          <w:numId w:val="0"/>
        </w:numPr>
        <w:spacing w:line="360" w:lineRule="auto"/>
        <w:ind w:firstLine="480" w:firstLineChars="200"/>
        <w:rPr>
          <w:rFonts w:hint="eastAsia" w:hAnsi="宋体" w:cs="Times New Roman"/>
          <w:b w:val="0"/>
          <w:bCs w:val="0"/>
          <w:sz w:val="24"/>
          <w:szCs w:val="24"/>
          <w:lang w:val="en-US" w:eastAsia="zh-CN" w:bidi="ar-SA"/>
        </w:rPr>
      </w:pPr>
    </w:p>
    <w:p>
      <w:pPr>
        <w:spacing w:before="120" w:beforeLines="50" w:after="120" w:afterLines="50" w:line="360" w:lineRule="auto"/>
        <w:ind w:firstLine="0"/>
        <w:jc w:val="center"/>
        <w:outlineLvl w:val="0"/>
        <w:rPr>
          <w:rFonts w:hint="eastAsia" w:ascii="Calibri" w:hAnsi="宋体" w:eastAsia="宋体"/>
          <w:b/>
          <w:kern w:val="44"/>
          <w:sz w:val="36"/>
          <w:szCs w:val="32"/>
          <w:lang w:val="en-US" w:eastAsia="zh-CN"/>
        </w:rPr>
      </w:pPr>
      <w:r>
        <w:rPr>
          <w:rFonts w:hint="eastAsia" w:ascii="Calibri" w:hAnsi="宋体" w:eastAsia="宋体"/>
          <w:b/>
          <w:kern w:val="44"/>
          <w:sz w:val="36"/>
          <w:szCs w:val="32"/>
          <w:lang w:val="en-US" w:eastAsia="zh-CN"/>
        </w:rPr>
        <w:t>四 质量保证</w:t>
      </w:r>
      <w:bookmarkEnd w:id="13"/>
      <w:bookmarkEnd w:id="14"/>
    </w:p>
    <w:p>
      <w:pPr>
        <w:spacing w:before="120" w:beforeLines="50" w:after="120" w:afterLines="50" w:line="360" w:lineRule="auto"/>
        <w:ind w:firstLine="484" w:firstLineChars="202"/>
        <w:jc w:val="both"/>
        <w:rPr>
          <w:rFonts w:hint="eastAsia" w:ascii="Calibri" w:hAnsi="宋体" w:eastAsia="宋体"/>
          <w:sz w:val="24"/>
          <w:szCs w:val="32"/>
          <w:lang w:val="zh-CN" w:eastAsia="zh-CN"/>
        </w:rPr>
      </w:pPr>
      <w:bookmarkStart w:id="15" w:name="_Toc398857778"/>
      <w:bookmarkStart w:id="16" w:name="_Toc147119730"/>
      <w:bookmarkStart w:id="17" w:name="_Toc396982644"/>
      <w:r>
        <w:rPr>
          <w:rFonts w:hint="eastAsia" w:ascii="Calibri" w:hAnsi="宋体" w:eastAsia="宋体"/>
          <w:sz w:val="24"/>
          <w:szCs w:val="32"/>
          <w:lang w:val="en-US" w:eastAsia="zh-CN"/>
        </w:rPr>
        <w:t xml:space="preserve">4.1 </w:t>
      </w:r>
      <w:r>
        <w:rPr>
          <w:rFonts w:hint="eastAsia" w:ascii="Calibri" w:hAnsi="宋体" w:eastAsia="宋体"/>
          <w:sz w:val="24"/>
          <w:szCs w:val="32"/>
          <w:lang w:val="zh-CN" w:eastAsia="zh-CN"/>
        </w:rPr>
        <w:t>投标方提供的服务必须符合本技术规范书的各项要求和指标；但只要投标方认为有必要且经采购方认可，即可超越这些标准，采用更好、更经济的设计和材料，使投标方的服务持续稳定地运行。</w:t>
      </w:r>
    </w:p>
    <w:p>
      <w:pPr>
        <w:spacing w:before="120" w:beforeLines="50" w:after="120" w:afterLines="50" w:line="360" w:lineRule="auto"/>
        <w:ind w:firstLine="0"/>
        <w:jc w:val="center"/>
        <w:outlineLvl w:val="0"/>
        <w:rPr>
          <w:rFonts w:hint="eastAsia" w:ascii="Calibri" w:hAnsi="宋体" w:eastAsia="宋体"/>
          <w:b/>
          <w:kern w:val="44"/>
          <w:sz w:val="36"/>
          <w:szCs w:val="32"/>
        </w:rPr>
      </w:pPr>
      <w:r>
        <w:rPr>
          <w:rFonts w:hint="eastAsia" w:ascii="Calibri" w:hAnsi="宋体" w:eastAsia="宋体"/>
          <w:b/>
          <w:kern w:val="44"/>
          <w:sz w:val="36"/>
          <w:szCs w:val="32"/>
        </w:rPr>
        <w:t>五 时间保证</w:t>
      </w:r>
    </w:p>
    <w:p>
      <w:pPr>
        <w:ind w:firstLine="480"/>
        <w:rPr>
          <w:rFonts w:hAnsi="宋体" w:eastAsia="宋体"/>
          <w:sz w:val="24"/>
          <w:szCs w:val="28"/>
        </w:rPr>
      </w:pPr>
      <w:r>
        <w:rPr>
          <w:rFonts w:eastAsia="宋体"/>
          <w:sz w:val="24"/>
          <w:szCs w:val="28"/>
        </w:rPr>
        <w:t>5.</w:t>
      </w:r>
      <w:r>
        <w:rPr>
          <w:rFonts w:hint="eastAsia" w:eastAsia="宋体"/>
          <w:sz w:val="24"/>
          <w:szCs w:val="28"/>
          <w:lang w:val="en-US" w:eastAsia="zh-CN"/>
        </w:rPr>
        <w:t xml:space="preserve">1 </w:t>
      </w:r>
      <w:r>
        <w:rPr>
          <w:rFonts w:hint="eastAsia" w:hAnsi="宋体" w:eastAsia="宋体"/>
          <w:sz w:val="24"/>
          <w:szCs w:val="28"/>
          <w:lang w:val="en-US" w:eastAsia="zh-CN"/>
        </w:rPr>
        <w:t>招标方</w:t>
      </w:r>
      <w:r>
        <w:rPr>
          <w:rFonts w:hAnsi="宋体" w:eastAsia="宋体"/>
          <w:sz w:val="24"/>
          <w:szCs w:val="28"/>
        </w:rPr>
        <w:t>有义务协助</w:t>
      </w:r>
      <w:r>
        <w:rPr>
          <w:rFonts w:hint="eastAsia" w:hAnsi="宋体" w:eastAsia="宋体"/>
          <w:sz w:val="24"/>
          <w:szCs w:val="28"/>
          <w:lang w:val="en-US" w:eastAsia="zh-CN"/>
        </w:rPr>
        <w:t>投标</w:t>
      </w:r>
      <w:r>
        <w:rPr>
          <w:rFonts w:hAnsi="宋体" w:eastAsia="宋体"/>
          <w:sz w:val="24"/>
          <w:szCs w:val="28"/>
        </w:rPr>
        <w:t>方开展相关沟通协调工作，但</w:t>
      </w:r>
      <w:r>
        <w:rPr>
          <w:rFonts w:hint="eastAsia" w:hAnsi="宋体" w:eastAsia="宋体"/>
          <w:sz w:val="24"/>
          <w:szCs w:val="28"/>
          <w:lang w:eastAsia="zh-CN"/>
        </w:rPr>
        <w:t>投标方</w:t>
      </w:r>
      <w:r>
        <w:rPr>
          <w:rFonts w:hAnsi="宋体" w:eastAsia="宋体"/>
          <w:sz w:val="24"/>
          <w:szCs w:val="28"/>
        </w:rPr>
        <w:t>须按照本技术规范书第二部分供货范围及要求的时间节点，完成各项工作。</w:t>
      </w:r>
    </w:p>
    <w:p>
      <w:pPr>
        <w:pStyle w:val="4"/>
        <w:spacing w:line="360" w:lineRule="auto"/>
        <w:rPr>
          <w:rFonts w:hAnsi="宋体"/>
          <w:b/>
          <w:sz w:val="36"/>
          <w:szCs w:val="36"/>
        </w:rPr>
      </w:pPr>
      <w:r>
        <w:rPr>
          <w:rFonts w:hAnsi="宋体"/>
          <w:b/>
          <w:sz w:val="36"/>
          <w:szCs w:val="36"/>
        </w:rPr>
        <w:t>六</w:t>
      </w:r>
      <w:r>
        <w:rPr>
          <w:b/>
          <w:sz w:val="36"/>
          <w:szCs w:val="36"/>
        </w:rPr>
        <w:t xml:space="preserve"> </w:t>
      </w:r>
      <w:r>
        <w:rPr>
          <w:rFonts w:hAnsi="宋体"/>
          <w:b/>
          <w:sz w:val="36"/>
          <w:szCs w:val="36"/>
        </w:rPr>
        <w:t>技术服务</w:t>
      </w:r>
      <w:bookmarkEnd w:id="9"/>
      <w:bookmarkEnd w:id="15"/>
      <w:bookmarkEnd w:id="16"/>
      <w:bookmarkEnd w:id="17"/>
    </w:p>
    <w:p>
      <w:pPr>
        <w:pStyle w:val="6"/>
        <w:spacing w:before="0" w:after="0" w:line="360" w:lineRule="auto"/>
        <w:rPr>
          <w:rFonts w:hint="eastAsia" w:eastAsia="宋体"/>
          <w:lang w:val="zh-CN" w:eastAsia="zh-CN"/>
        </w:rPr>
      </w:pPr>
      <w:bookmarkStart w:id="18" w:name="_Toc340517219"/>
      <w:bookmarkStart w:id="19" w:name="_Toc391641247"/>
      <w:bookmarkStart w:id="20" w:name="_Toc385006574"/>
      <w:bookmarkStart w:id="21" w:name="_Toc325721150"/>
      <w:r>
        <w:rPr>
          <w:rFonts w:hint="eastAsia" w:eastAsia="宋体"/>
          <w:lang w:val="en-US" w:eastAsia="zh-CN"/>
        </w:rPr>
        <w:t xml:space="preserve">6.1 </w:t>
      </w:r>
      <w:r>
        <w:rPr>
          <w:rFonts w:hint="eastAsia" w:eastAsia="宋体"/>
          <w:lang w:val="zh-CN" w:eastAsia="zh-CN"/>
        </w:rPr>
        <w:t>技术配合</w:t>
      </w:r>
      <w:bookmarkEnd w:id="18"/>
      <w:bookmarkEnd w:id="19"/>
      <w:bookmarkEnd w:id="20"/>
      <w:bookmarkEnd w:id="21"/>
    </w:p>
    <w:p>
      <w:pPr>
        <w:topLinePunct/>
        <w:spacing w:line="360" w:lineRule="auto"/>
        <w:rPr>
          <w:rFonts w:hint="eastAsia" w:ascii="Calibri" w:hAnsi="宋体" w:eastAsia="宋体" w:cs="Times New Roman"/>
          <w:b w:val="0"/>
          <w:bCs w:val="0"/>
          <w:sz w:val="24"/>
          <w:szCs w:val="32"/>
          <w:lang w:val="zh-CN" w:eastAsia="zh-CN" w:bidi="ar-SA"/>
        </w:rPr>
      </w:pPr>
      <w:r>
        <w:rPr>
          <w:rFonts w:hint="eastAsia" w:ascii="Calibri" w:hAnsi="宋体" w:eastAsia="宋体" w:cs="Times New Roman"/>
          <w:b w:val="0"/>
          <w:bCs w:val="0"/>
          <w:sz w:val="24"/>
          <w:szCs w:val="32"/>
          <w:lang w:val="en-US" w:eastAsia="zh-CN" w:bidi="ar-SA"/>
        </w:rPr>
        <w:t>6</w:t>
      </w:r>
      <w:r>
        <w:rPr>
          <w:rFonts w:hint="eastAsia" w:ascii="Calibri" w:hAnsi="宋体" w:eastAsia="宋体" w:cs="Times New Roman"/>
          <w:b w:val="0"/>
          <w:bCs w:val="0"/>
          <w:sz w:val="24"/>
          <w:szCs w:val="32"/>
          <w:lang w:val="zh-CN" w:eastAsia="zh-CN" w:bidi="ar-SA"/>
        </w:rPr>
        <w:t>.1.1 合同签订后，投标方应指定负责本服务的代理人员团队，负责投标方在项目实施过程中的各项工作。</w:t>
      </w:r>
    </w:p>
    <w:p>
      <w:pPr>
        <w:pStyle w:val="6"/>
        <w:spacing w:before="0" w:after="0" w:line="360" w:lineRule="auto"/>
        <w:rPr>
          <w:rFonts w:hint="eastAsia" w:eastAsia="宋体"/>
          <w:lang w:val="zh-CN" w:eastAsia="zh-CN"/>
        </w:rPr>
      </w:pPr>
      <w:bookmarkStart w:id="22" w:name="_Toc385006577"/>
      <w:bookmarkStart w:id="23" w:name="_Toc391641249"/>
      <w:bookmarkStart w:id="24" w:name="_Toc325721152"/>
      <w:bookmarkStart w:id="25" w:name="_Toc340517221"/>
      <w:r>
        <w:rPr>
          <w:rFonts w:hint="eastAsia" w:eastAsia="宋体"/>
          <w:lang w:val="en-US" w:eastAsia="zh-CN"/>
        </w:rPr>
        <w:t>6</w:t>
      </w:r>
      <w:r>
        <w:rPr>
          <w:rFonts w:hint="eastAsia" w:eastAsia="宋体"/>
          <w:lang w:val="zh-CN" w:eastAsia="zh-CN"/>
        </w:rPr>
        <w:t>.</w:t>
      </w:r>
      <w:r>
        <w:rPr>
          <w:rFonts w:hint="eastAsia"/>
          <w:lang w:val="en-US" w:eastAsia="zh-CN"/>
        </w:rPr>
        <w:t>2</w:t>
      </w:r>
      <w:r>
        <w:rPr>
          <w:rFonts w:hint="eastAsia" w:eastAsia="宋体"/>
          <w:lang w:val="zh-CN" w:eastAsia="zh-CN"/>
        </w:rPr>
        <w:t>现场服务</w:t>
      </w:r>
      <w:bookmarkEnd w:id="22"/>
      <w:bookmarkEnd w:id="23"/>
      <w:bookmarkEnd w:id="24"/>
      <w:bookmarkEnd w:id="25"/>
    </w:p>
    <w:p>
      <w:pPr>
        <w:autoSpaceDE w:val="0"/>
        <w:autoSpaceDN w:val="0"/>
        <w:adjustRightInd w:val="0"/>
        <w:spacing w:line="360" w:lineRule="auto"/>
        <w:rPr>
          <w:rFonts w:hint="eastAsia" w:ascii="Calibri" w:hAnsi="宋体" w:eastAsia="宋体" w:cs="Times New Roman"/>
          <w:b w:val="0"/>
          <w:bCs w:val="0"/>
          <w:sz w:val="24"/>
          <w:szCs w:val="32"/>
          <w:lang w:val="zh-CN" w:eastAsia="zh-CN" w:bidi="ar-SA"/>
        </w:rPr>
      </w:pPr>
      <w:r>
        <w:rPr>
          <w:rFonts w:hint="eastAsia" w:ascii="Calibri" w:hAnsi="宋体" w:eastAsia="宋体" w:cs="Times New Roman"/>
          <w:b w:val="0"/>
          <w:bCs w:val="0"/>
          <w:sz w:val="24"/>
          <w:szCs w:val="32"/>
          <w:lang w:val="en-US" w:eastAsia="zh-CN" w:bidi="ar-SA"/>
        </w:rPr>
        <w:t>6</w:t>
      </w:r>
      <w:r>
        <w:rPr>
          <w:rFonts w:hint="eastAsia" w:ascii="Calibri" w:hAnsi="宋体" w:eastAsia="宋体" w:cs="Times New Roman"/>
          <w:b w:val="0"/>
          <w:bCs w:val="0"/>
          <w:sz w:val="24"/>
          <w:szCs w:val="32"/>
          <w:lang w:val="zh-CN" w:eastAsia="zh-CN" w:bidi="ar-SA"/>
        </w:rPr>
        <w:t>.</w:t>
      </w:r>
      <w:r>
        <w:rPr>
          <w:rFonts w:hint="eastAsia" w:ascii="Calibri" w:hAnsi="宋体" w:eastAsia="宋体" w:cs="Times New Roman"/>
          <w:b w:val="0"/>
          <w:bCs w:val="0"/>
          <w:sz w:val="24"/>
          <w:szCs w:val="32"/>
          <w:lang w:val="en-US" w:eastAsia="zh-CN" w:bidi="ar-SA"/>
        </w:rPr>
        <w:t>2</w:t>
      </w:r>
      <w:r>
        <w:rPr>
          <w:rFonts w:hint="eastAsia" w:ascii="Calibri" w:hAnsi="宋体" w:eastAsia="宋体" w:cs="Times New Roman"/>
          <w:b w:val="0"/>
          <w:bCs w:val="0"/>
          <w:sz w:val="24"/>
          <w:szCs w:val="32"/>
          <w:lang w:val="zh-CN" w:eastAsia="zh-CN" w:bidi="ar-SA"/>
        </w:rPr>
        <w:t>.1 在服务过程中视招标方工作情况投标方及时派出服务人员，以提供现场服务。</w:t>
      </w:r>
    </w:p>
    <w:p>
      <w:pPr>
        <w:autoSpaceDE w:val="0"/>
        <w:autoSpaceDN w:val="0"/>
        <w:adjustRightInd w:val="0"/>
        <w:spacing w:line="360" w:lineRule="auto"/>
        <w:rPr>
          <w:rFonts w:hint="default" w:eastAsia="仿宋_GB2312"/>
          <w:lang w:val="en-US" w:eastAsia="zh-CN"/>
        </w:rPr>
      </w:pPr>
      <w:r>
        <w:rPr>
          <w:rFonts w:hint="eastAsia" w:ascii="Calibri" w:hAnsi="宋体" w:eastAsia="宋体" w:cs="Times New Roman"/>
          <w:b w:val="0"/>
          <w:bCs w:val="0"/>
          <w:sz w:val="24"/>
          <w:szCs w:val="32"/>
          <w:lang w:val="en-US" w:eastAsia="zh-CN" w:bidi="ar-SA"/>
        </w:rPr>
        <w:t>6</w:t>
      </w:r>
      <w:r>
        <w:rPr>
          <w:rFonts w:hint="eastAsia" w:ascii="Calibri" w:hAnsi="宋体" w:eastAsia="宋体" w:cs="Times New Roman"/>
          <w:b w:val="0"/>
          <w:bCs w:val="0"/>
          <w:sz w:val="24"/>
          <w:szCs w:val="32"/>
          <w:lang w:val="zh-CN" w:eastAsia="zh-CN" w:bidi="ar-SA"/>
        </w:rPr>
        <w:t>.</w:t>
      </w:r>
      <w:r>
        <w:rPr>
          <w:rFonts w:hint="eastAsia" w:ascii="Calibri" w:hAnsi="宋体" w:eastAsia="宋体" w:cs="Times New Roman"/>
          <w:b w:val="0"/>
          <w:bCs w:val="0"/>
          <w:sz w:val="24"/>
          <w:szCs w:val="32"/>
          <w:lang w:val="en-US" w:eastAsia="zh-CN" w:bidi="ar-SA"/>
        </w:rPr>
        <w:t>2</w:t>
      </w:r>
      <w:r>
        <w:rPr>
          <w:rFonts w:hint="eastAsia" w:ascii="Calibri" w:hAnsi="宋体" w:eastAsia="宋体" w:cs="Times New Roman"/>
          <w:b w:val="0"/>
          <w:bCs w:val="0"/>
          <w:sz w:val="24"/>
          <w:szCs w:val="32"/>
          <w:lang w:val="zh-CN" w:eastAsia="zh-CN" w:bidi="ar-SA"/>
        </w:rPr>
        <w:t>.2 服务过程中发现的材料缺陷，投标方应及时无偿整理或更换，直至符合申请规范要求。申请期内材料出现不符合申请要求，投标方亦应负责修改或更换。</w:t>
      </w:r>
    </w:p>
    <w:p>
      <w:pPr>
        <w:spacing w:before="120" w:beforeLines="50" w:after="120" w:afterLines="50" w:line="360" w:lineRule="auto"/>
        <w:ind w:firstLine="646" w:firstLineChars="202"/>
        <w:jc w:val="both"/>
        <w:rPr>
          <w:rFonts w:hint="eastAsia" w:ascii="Calibri" w:hAnsi="宋体" w:eastAsia="宋体"/>
          <w:sz w:val="32"/>
          <w:szCs w:val="40"/>
          <w:lang w:val="zh-CN" w:eastAsia="zh-CN"/>
        </w:rPr>
      </w:pPr>
    </w:p>
    <w:p>
      <w:pPr>
        <w:rPr>
          <w:rFonts w:hint="default"/>
          <w:lang w:val="en-US" w:eastAsia="zh-CN"/>
        </w:rPr>
      </w:pPr>
    </w:p>
    <w:sectPr>
      <w:headerReference r:id="rId10" w:type="default"/>
      <w:footerReference r:id="rId11" w:type="default"/>
      <w:pgSz w:w="11906" w:h="16838"/>
      <w:pgMar w:top="1871" w:right="1304" w:bottom="1701" w:left="1304" w:header="1191" w:footer="11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szCs w:val="22"/>
        <w:lang w:val="fr-FR"/>
      </w:rPr>
      <w:t>招</w:t>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rPr>
        <w:rStyle w:val="12"/>
      </w:rPr>
      <w:instrText xml:space="preserve"> PAGE </w:instrText>
    </w:r>
    <w:r>
      <w:fldChar w:fldCharType="separate"/>
    </w:r>
    <w:r>
      <w:rPr>
        <w:rStyle w:val="12"/>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0"/>
      <w:rPr>
        <w:rFonts w:hint="eastAsia"/>
        <w:sz w:val="15"/>
        <w:szCs w:val="15"/>
      </w:rPr>
    </w:pP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p>
    <w:pPr>
      <w:pStyle w:val="7"/>
      <w:ind w:firstLine="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6" w:space="0"/>
      </w:pBdr>
      <w:ind w:left="0" w:leftChars="0" w:firstLine="0" w:firstLineChars="0"/>
      <w:jc w:val="both"/>
      <w:rPr>
        <w:rFonts w:hint="eastAsia"/>
      </w:rPr>
    </w:pP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457950" cy="5133975"/>
          <wp:effectExtent l="0" t="0" r="3810" b="1905"/>
          <wp:wrapNone/>
          <wp:docPr id="3" name="WordPictureWatermark1949529"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949529" descr="CreateImage"/>
                  <pic:cNvPicPr>
                    <a:picLocks noChangeAspect="1"/>
                  </pic:cNvPicPr>
                </pic:nvPicPr>
                <pic:blipFill>
                  <a:blip r:embed="rId1"/>
                  <a:stretch>
                    <a:fillRect/>
                  </a:stretch>
                </pic:blipFill>
                <pic:spPr>
                  <a:xfrm>
                    <a:off x="0" y="0"/>
                    <a:ext cx="6457950" cy="513397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fldChar w:fldCharType="end"/>
    </w: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457950" cy="5133975"/>
          <wp:effectExtent l="0" t="0" r="3810" b="1905"/>
          <wp:wrapNone/>
          <wp:docPr id="2" name="图片 2"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reateImage"/>
                  <pic:cNvPicPr>
                    <a:picLocks noChangeAspect="1"/>
                  </pic:cNvPicPr>
                </pic:nvPicPr>
                <pic:blipFill>
                  <a:blip r:embed="rId1"/>
                  <a:stretch>
                    <a:fillRect/>
                  </a:stretch>
                </pic:blipFill>
                <pic:spPr>
                  <a:xfrm>
                    <a:off x="0" y="0"/>
                    <a:ext cx="6457950" cy="5133975"/>
                  </a:xfrm>
                  <a:prstGeom prst="rect">
                    <a:avLst/>
                  </a:prstGeom>
                  <a:noFill/>
                  <a:ln>
                    <a:noFill/>
                  </a:ln>
                </pic:spPr>
              </pic:pic>
            </a:graphicData>
          </a:graphic>
        </wp:anchor>
      </w:drawing>
    </w:r>
  </w:p>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tabs>
        <w:tab w:val="clear" w:pos="3240"/>
      </w:tabs>
      <w:topLinePunct w:val="0"/>
      <w:spacing w:line="360" w:lineRule="auto"/>
      <w:ind w:firstLine="0"/>
      <w:rPr>
        <w:rFonts w:hint="eastAsia" w:ascii="宋体" w:hAnsi="宋体" w:eastAsia="宋体"/>
        <w:sz w:val="18"/>
        <w:szCs w:val="21"/>
      </w:rPr>
    </w:pP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457950" cy="5133975"/>
          <wp:effectExtent l="0" t="0" r="3810" b="1905"/>
          <wp:wrapNone/>
          <wp:docPr id="4" name="图片 3"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reateImage"/>
                  <pic:cNvPicPr>
                    <a:picLocks noChangeAspect="1"/>
                  </pic:cNvPicPr>
                </pic:nvPicPr>
                <pic:blipFill>
                  <a:blip r:embed="rId1"/>
                  <a:stretch>
                    <a:fillRect/>
                  </a:stretch>
                </pic:blipFill>
                <pic:spPr>
                  <a:xfrm>
                    <a:off x="0" y="0"/>
                    <a:ext cx="6457950" cy="51339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CCE1EB"/>
    <w:multiLevelType w:val="singleLevel"/>
    <w:tmpl w:val="EDCCE1EB"/>
    <w:lvl w:ilvl="0" w:tentative="0">
      <w:start w:val="1"/>
      <w:numFmt w:val="chineseCounting"/>
      <w:suff w:val="nothing"/>
      <w:lvlText w:val="%1、"/>
      <w:lvlJc w:val="left"/>
      <w:rPr>
        <w:rFonts w:hint="eastAsia"/>
      </w:rPr>
    </w:lvl>
  </w:abstractNum>
  <w:abstractNum w:abstractNumId="1">
    <w:nsid w:val="53AF26C9"/>
    <w:multiLevelType w:val="singleLevel"/>
    <w:tmpl w:val="53AF26C9"/>
    <w:lvl w:ilvl="0" w:tentative="0">
      <w:start w:val="1"/>
      <w:numFmt w:val="lowerLetter"/>
      <w:pStyle w:val="14"/>
      <w:lvlText w:val="%1)"/>
      <w:lvlJc w:val="left"/>
      <w:pPr>
        <w:tabs>
          <w:tab w:val="left" w:pos="425"/>
        </w:tabs>
        <w:ind w:left="425" w:hanging="425"/>
      </w:pPr>
      <w:rPr>
        <w:rFonts w:hint="default" w:ascii="Times New Roman" w:hAnsi="Times New Roman"/>
      </w:rPr>
    </w:lvl>
  </w:abstractNum>
  <w:abstractNum w:abstractNumId="2">
    <w:nsid w:val="61652B3B"/>
    <w:multiLevelType w:val="multilevel"/>
    <w:tmpl w:val="61652B3B"/>
    <w:lvl w:ilvl="0" w:tentative="0">
      <w:start w:val="1"/>
      <w:numFmt w:val="decimal"/>
      <w:lvlText w:val="%1"/>
      <w:lvlJc w:val="left"/>
      <w:pPr>
        <w:ind w:left="432" w:hanging="432"/>
      </w:pPr>
    </w:lvl>
    <w:lvl w:ilvl="1" w:tentative="0">
      <w:start w:val="1"/>
      <w:numFmt w:val="decimal"/>
      <w:pStyle w:val="5"/>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iZDE1M2RhOGE5NmMwNzU5ZGU1MzUxMDllN2Y4YTYifQ=="/>
  </w:docVars>
  <w:rsids>
    <w:rsidRoot w:val="00172A27"/>
    <w:rsid w:val="023C4E17"/>
    <w:rsid w:val="06117148"/>
    <w:rsid w:val="095031BD"/>
    <w:rsid w:val="09955D28"/>
    <w:rsid w:val="09970605"/>
    <w:rsid w:val="0B256833"/>
    <w:rsid w:val="0C325447"/>
    <w:rsid w:val="0D8F6B81"/>
    <w:rsid w:val="108958CC"/>
    <w:rsid w:val="11876D9C"/>
    <w:rsid w:val="1293514B"/>
    <w:rsid w:val="13B20E8A"/>
    <w:rsid w:val="13CC7025"/>
    <w:rsid w:val="13DC6977"/>
    <w:rsid w:val="149A777C"/>
    <w:rsid w:val="154712A7"/>
    <w:rsid w:val="185A10B4"/>
    <w:rsid w:val="19D37748"/>
    <w:rsid w:val="1B315970"/>
    <w:rsid w:val="1C9F6277"/>
    <w:rsid w:val="1CD11AFA"/>
    <w:rsid w:val="1E9C679C"/>
    <w:rsid w:val="23BB6EBB"/>
    <w:rsid w:val="23BF177B"/>
    <w:rsid w:val="24683F62"/>
    <w:rsid w:val="251D0C97"/>
    <w:rsid w:val="254E7B0D"/>
    <w:rsid w:val="26D23727"/>
    <w:rsid w:val="27A74A76"/>
    <w:rsid w:val="28185254"/>
    <w:rsid w:val="29494DB0"/>
    <w:rsid w:val="2A135DCB"/>
    <w:rsid w:val="2A5502B9"/>
    <w:rsid w:val="2C9F30B8"/>
    <w:rsid w:val="2D3A0079"/>
    <w:rsid w:val="2D446DCA"/>
    <w:rsid w:val="2E077858"/>
    <w:rsid w:val="2F7166FB"/>
    <w:rsid w:val="346A37E0"/>
    <w:rsid w:val="35C1714E"/>
    <w:rsid w:val="39190393"/>
    <w:rsid w:val="3AF34298"/>
    <w:rsid w:val="3B1A720F"/>
    <w:rsid w:val="3C1B0718"/>
    <w:rsid w:val="3C8A6A42"/>
    <w:rsid w:val="3D455739"/>
    <w:rsid w:val="3EAF7D05"/>
    <w:rsid w:val="3EB64E91"/>
    <w:rsid w:val="40FB3B98"/>
    <w:rsid w:val="42720928"/>
    <w:rsid w:val="42A32332"/>
    <w:rsid w:val="43EB44F4"/>
    <w:rsid w:val="45021A7B"/>
    <w:rsid w:val="45060392"/>
    <w:rsid w:val="464C44CA"/>
    <w:rsid w:val="4A232D8D"/>
    <w:rsid w:val="4A6200B4"/>
    <w:rsid w:val="4B326724"/>
    <w:rsid w:val="4C6F329D"/>
    <w:rsid w:val="4EF67A12"/>
    <w:rsid w:val="4F4C30F5"/>
    <w:rsid w:val="51052EF3"/>
    <w:rsid w:val="51420FAA"/>
    <w:rsid w:val="52B6297D"/>
    <w:rsid w:val="5441484F"/>
    <w:rsid w:val="544C7EE0"/>
    <w:rsid w:val="55494BFA"/>
    <w:rsid w:val="55573AE2"/>
    <w:rsid w:val="56AE5BF6"/>
    <w:rsid w:val="572220F5"/>
    <w:rsid w:val="58267048"/>
    <w:rsid w:val="58840B3B"/>
    <w:rsid w:val="5900361E"/>
    <w:rsid w:val="5C923224"/>
    <w:rsid w:val="5CDE0B43"/>
    <w:rsid w:val="5CFD6785"/>
    <w:rsid w:val="5D222429"/>
    <w:rsid w:val="605743B7"/>
    <w:rsid w:val="621F0672"/>
    <w:rsid w:val="62C93029"/>
    <w:rsid w:val="63864720"/>
    <w:rsid w:val="641D4C44"/>
    <w:rsid w:val="65815040"/>
    <w:rsid w:val="66812E71"/>
    <w:rsid w:val="67CD4C04"/>
    <w:rsid w:val="69211333"/>
    <w:rsid w:val="6AB451B7"/>
    <w:rsid w:val="6B2B618F"/>
    <w:rsid w:val="6B5B1F6F"/>
    <w:rsid w:val="6B733D9D"/>
    <w:rsid w:val="6BDC7ED1"/>
    <w:rsid w:val="6CC0027B"/>
    <w:rsid w:val="6D094050"/>
    <w:rsid w:val="6DFD11AC"/>
    <w:rsid w:val="6F3C7BD3"/>
    <w:rsid w:val="6F765F90"/>
    <w:rsid w:val="703A6FBE"/>
    <w:rsid w:val="70B859D2"/>
    <w:rsid w:val="71C06DA8"/>
    <w:rsid w:val="72C2560B"/>
    <w:rsid w:val="734E09B4"/>
    <w:rsid w:val="735B1944"/>
    <w:rsid w:val="748B6908"/>
    <w:rsid w:val="75F10F69"/>
    <w:rsid w:val="76EE52FE"/>
    <w:rsid w:val="7AE449F3"/>
    <w:rsid w:val="CAF58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abs>
        <w:tab w:val="left" w:pos="3240"/>
      </w:tabs>
      <w:topLinePunct/>
      <w:adjustRightInd w:val="0"/>
      <w:spacing w:line="530" w:lineRule="exact"/>
      <w:ind w:firstLine="601"/>
      <w:textAlignment w:val="baseline"/>
    </w:pPr>
    <w:rPr>
      <w:rFonts w:ascii="Times New Roman" w:hAnsi="Times New Roman" w:eastAsia="仿宋_GB2312" w:cs="Times New Roman"/>
      <w:sz w:val="30"/>
      <w:lang w:val="en-US" w:eastAsia="zh-CN" w:bidi="ar-SA"/>
    </w:rPr>
  </w:style>
  <w:style w:type="paragraph" w:styleId="4">
    <w:name w:val="heading 1"/>
    <w:basedOn w:val="1"/>
    <w:next w:val="1"/>
    <w:qFormat/>
    <w:uiPriority w:val="0"/>
    <w:pPr>
      <w:spacing w:before="700" w:after="360"/>
      <w:ind w:firstLine="0"/>
      <w:jc w:val="center"/>
      <w:outlineLvl w:val="0"/>
    </w:pPr>
    <w:rPr>
      <w:rFonts w:eastAsia="宋体"/>
      <w:kern w:val="44"/>
      <w:sz w:val="40"/>
    </w:rPr>
  </w:style>
  <w:style w:type="paragraph" w:styleId="5">
    <w:name w:val="heading 2"/>
    <w:basedOn w:val="1"/>
    <w:next w:val="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1"/>
    <w:qFormat/>
    <w:uiPriority w:val="0"/>
    <w:pPr>
      <w:keepNext/>
      <w:keepLines/>
      <w:tabs>
        <w:tab w:val="clear" w:pos="3240"/>
      </w:tabs>
      <w:topLinePunct w:val="0"/>
      <w:adjustRightInd/>
      <w:spacing w:before="260" w:after="260" w:line="416" w:lineRule="auto"/>
      <w:ind w:firstLine="0"/>
      <w:jc w:val="both"/>
      <w:textAlignment w:val="auto"/>
      <w:outlineLvl w:val="2"/>
    </w:pPr>
    <w:rPr>
      <w:rFonts w:eastAsia="宋体"/>
      <w:b/>
      <w:bCs/>
      <w:kern w:val="2"/>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tabs>
        <w:tab w:val="left" w:pos="3240"/>
      </w:tabs>
      <w:spacing w:after="120"/>
    </w:p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84"/>
      <w:szCs w:val="32"/>
    </w:rPr>
  </w:style>
  <w:style w:type="paragraph" w:styleId="7">
    <w:name w:val="footer"/>
    <w:basedOn w:val="1"/>
    <w:qFormat/>
    <w:uiPriority w:val="99"/>
    <w:pPr>
      <w:tabs>
        <w:tab w:val="right" w:pos="9100"/>
      </w:tabs>
      <w:spacing w:line="240" w:lineRule="exact"/>
      <w:ind w:firstLine="198"/>
    </w:pPr>
    <w:rPr>
      <w:rFonts w:eastAsia="宋体"/>
      <w:sz w:val="21"/>
    </w:rPr>
  </w:style>
  <w:style w:type="paragraph" w:styleId="8">
    <w:name w:val="header"/>
    <w:basedOn w:val="1"/>
    <w:qFormat/>
    <w:uiPriority w:val="0"/>
    <w:pPr>
      <w:pBdr>
        <w:bottom w:val="single" w:color="auto" w:sz="6" w:space="1"/>
      </w:pBdr>
      <w:tabs>
        <w:tab w:val="center" w:pos="4153"/>
        <w:tab w:val="right" w:pos="8306"/>
        <w:tab w:val="clear" w:pos="3240"/>
      </w:tabs>
      <w:snapToGrid w:val="0"/>
      <w:spacing w:line="240" w:lineRule="atLeast"/>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basedOn w:val="11"/>
    <w:qFormat/>
    <w:uiPriority w:val="0"/>
  </w:style>
  <w:style w:type="paragraph" w:customStyle="1" w:styleId="13">
    <w:name w:val="目录 21"/>
    <w:basedOn w:val="1"/>
    <w:next w:val="1"/>
    <w:qFormat/>
    <w:uiPriority w:val="0"/>
    <w:pPr>
      <w:spacing w:before="100" w:beforeAutospacing="1" w:after="100" w:afterAutospacing="1"/>
      <w:ind w:left="420" w:leftChars="200"/>
    </w:pPr>
  </w:style>
  <w:style w:type="paragraph" w:customStyle="1" w:styleId="14">
    <w:name w:val="英文标号正文"/>
    <w:basedOn w:val="1"/>
    <w:qFormat/>
    <w:uiPriority w:val="0"/>
    <w:pPr>
      <w:widowControl/>
      <w:numPr>
        <w:ilvl w:val="0"/>
        <w:numId w:val="2"/>
      </w:numPr>
      <w:tabs>
        <w:tab w:val="clear" w:pos="3240"/>
      </w:tabs>
      <w:autoSpaceDE w:val="0"/>
      <w:autoSpaceDN w:val="0"/>
    </w:pPr>
    <w:rPr>
      <w:rFonts w:ascii="Times New Roman" w:hAnsi="Times New Roman" w:eastAsia="宋体" w:cs="Times New Roman"/>
      <w:kern w:val="0"/>
      <w:sz w:val="24"/>
      <w:szCs w:val="21"/>
    </w:rPr>
  </w:style>
  <w:style w:type="paragraph" w:customStyle="1" w:styleId="15">
    <w:name w:val="列出段落1"/>
    <w:basedOn w:val="1"/>
    <w:qFormat/>
    <w:uiPriority w:val="99"/>
    <w:pPr>
      <w:ind w:firstLine="420" w:firstLineChars="200"/>
    </w:pPr>
    <w:rPr>
      <w:rFonts w:cs="Calibri"/>
    </w:rPr>
  </w:style>
  <w:style w:type="paragraph" w:customStyle="1" w:styleId="16">
    <w:name w:val="Table Paragraph"/>
    <w:basedOn w:val="1"/>
    <w:qFormat/>
    <w:uiPriority w:val="1"/>
    <w:pPr>
      <w:ind w:left="107"/>
    </w:pPr>
    <w:rPr>
      <w:rFonts w:ascii="仿宋" w:hAnsi="仿宋" w:eastAsia="仿宋" w:cs="仿宋"/>
      <w:lang w:val="zh-CN" w:eastAsia="zh-CN" w:bidi="zh-CN"/>
    </w:rPr>
  </w:style>
  <w:style w:type="character" w:customStyle="1" w:styleId="17">
    <w:name w:val="font41"/>
    <w:basedOn w:val="11"/>
    <w:qFormat/>
    <w:uiPriority w:val="0"/>
    <w:rPr>
      <w:rFonts w:hint="eastAsia" w:ascii="宋体" w:hAnsi="宋体" w:eastAsia="宋体" w:cs="宋体"/>
      <w:b/>
      <w:bCs/>
      <w:color w:val="000000"/>
      <w:sz w:val="18"/>
      <w:szCs w:val="18"/>
      <w:u w:val="none"/>
    </w:rPr>
  </w:style>
  <w:style w:type="character" w:customStyle="1" w:styleId="18">
    <w:name w:val="font11"/>
    <w:basedOn w:val="11"/>
    <w:qFormat/>
    <w:uiPriority w:val="0"/>
    <w:rPr>
      <w:rFonts w:hint="default" w:ascii="Times New Roman" w:hAnsi="Times New Roman" w:cs="Times New Roman"/>
      <w:b/>
      <w:bCs/>
      <w:color w:val="000000"/>
      <w:sz w:val="18"/>
      <w:szCs w:val="18"/>
      <w:u w:val="none"/>
    </w:rPr>
  </w:style>
  <w:style w:type="character" w:customStyle="1" w:styleId="19">
    <w:name w:val="font51"/>
    <w:basedOn w:val="11"/>
    <w:qFormat/>
    <w:uiPriority w:val="0"/>
    <w:rPr>
      <w:rFonts w:hint="eastAsia" w:ascii="宋体" w:hAnsi="宋体" w:eastAsia="宋体" w:cs="宋体"/>
      <w:color w:val="000000"/>
      <w:sz w:val="18"/>
      <w:szCs w:val="18"/>
      <w:u w:val="none"/>
    </w:rPr>
  </w:style>
  <w:style w:type="character" w:customStyle="1" w:styleId="20">
    <w:name w:val="font21"/>
    <w:basedOn w:val="11"/>
    <w:qFormat/>
    <w:uiPriority w:val="0"/>
    <w:rPr>
      <w:rFonts w:hint="default" w:ascii="Times New Roman" w:hAnsi="Times New Roman" w:cs="Times New Roman"/>
      <w:color w:val="000000"/>
      <w:sz w:val="18"/>
      <w:szCs w:val="18"/>
      <w:u w:val="none"/>
    </w:rPr>
  </w:style>
  <w:style w:type="character" w:customStyle="1" w:styleId="21">
    <w:name w:val="font61"/>
    <w:basedOn w:val="11"/>
    <w:qFormat/>
    <w:uiPriority w:val="0"/>
    <w:rPr>
      <w:rFonts w:ascii="楷体" w:hAnsi="楷体" w:eastAsia="楷体" w:cs="楷体"/>
      <w:color w:val="000000"/>
      <w:sz w:val="18"/>
      <w:szCs w:val="18"/>
      <w:u w:val="none"/>
    </w:rPr>
  </w:style>
  <w:style w:type="character" w:customStyle="1" w:styleId="22">
    <w:name w:val="font31"/>
    <w:basedOn w:val="1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6882</Words>
  <Characters>7114</Characters>
  <Lines>0</Lines>
  <Paragraphs>0</Paragraphs>
  <TotalTime>0</TotalTime>
  <ScaleCrop>false</ScaleCrop>
  <LinksUpToDate>false</LinksUpToDate>
  <CharactersWithSpaces>7204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2022-01-17T12:18:00Z</dcterms:created>
  <dc:creator>1</dc:creator>
  <cp:lastModifiedBy>huangdingwen</cp:lastModifiedBy>
  <cp:lastPrinted>2022-06-02T09:27:00Z</cp:lastPrinted>
  <dcterms:modified xsi:type="dcterms:W3CDTF">2024-09-27T01:50:44Z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D57355B355604E0AA23F12E667DE89AC</vt:lpwstr>
  </property>
</Properties>
</file>