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00" w:lineRule="exact"/>
      </w:pPr>
      <w:bookmarkStart w:id="0" w:name="page1"/>
      <w:bookmarkEnd w:id="0"/>
      <w:r>
        <w:drawing>
          <wp:anchor distT="0" distB="0" distL="114300" distR="114300" simplePos="0" relativeHeight="251659264" behindDoc="1" locked="0" layoutInCell="0" allowOverlap="1">
            <wp:simplePos x="0" y="0"/>
            <wp:positionH relativeFrom="page">
              <wp:posOffset>12065</wp:posOffset>
            </wp:positionH>
            <wp:positionV relativeFrom="page">
              <wp:posOffset>0</wp:posOffset>
            </wp:positionV>
            <wp:extent cx="7548245" cy="6268085"/>
            <wp:effectExtent l="0" t="0" r="14605" b="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48245" cy="6268085"/>
                    </a:xfrm>
                    <a:prstGeom prst="rect">
                      <a:avLst/>
                    </a:prstGeom>
                    <a:noFill/>
                  </pic:spPr>
                </pic:pic>
              </a:graphicData>
            </a:graphic>
          </wp:anchor>
        </w:drawing>
      </w: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9" w:lineRule="exact"/>
      </w:pPr>
    </w:p>
    <w:p>
      <w:pPr>
        <w:spacing w:line="751" w:lineRule="exact"/>
        <w:jc w:val="center"/>
        <w:rPr>
          <w:w w:val="90"/>
          <w:sz w:val="20"/>
          <w:szCs w:val="20"/>
          <w:lang w:eastAsia="zh-CN"/>
        </w:rPr>
      </w:pPr>
      <w:r>
        <w:rPr>
          <w:rFonts w:hint="eastAsia" w:ascii="黑体" w:hAnsi="黑体" w:eastAsia="黑体" w:cs="黑体"/>
          <w:color w:val="000036"/>
          <w:w w:val="90"/>
          <w:sz w:val="52"/>
          <w:szCs w:val="52"/>
          <w:lang w:eastAsia="zh-CN"/>
        </w:rPr>
        <w:t>南方电网贵州电动汽车服务有限公司2024年员工周转房租赁项目1技术规范书</w:t>
      </w:r>
    </w:p>
    <w:p>
      <w:pPr>
        <w:spacing w:line="200" w:lineRule="exact"/>
        <w:rPr>
          <w:lang w:eastAsia="zh-CN"/>
        </w:rPr>
      </w:pPr>
    </w:p>
    <w:p>
      <w:pPr>
        <w:spacing w:line="200" w:lineRule="exact"/>
        <w:rPr>
          <w:lang w:eastAsia="zh-CN"/>
        </w:rPr>
      </w:pPr>
    </w:p>
    <w:p>
      <w:pPr>
        <w:spacing w:line="270" w:lineRule="exact"/>
        <w:rPr>
          <w:lang w:eastAsia="zh-CN"/>
        </w:rPr>
      </w:pPr>
    </w:p>
    <w:p>
      <w:pPr>
        <w:spacing w:line="639" w:lineRule="exact"/>
        <w:ind w:left="6480"/>
        <w:rPr>
          <w:sz w:val="20"/>
          <w:szCs w:val="20"/>
          <w:lang w:eastAsia="zh-CN"/>
        </w:rPr>
      </w:pPr>
      <w:r>
        <w:rPr>
          <w:rFonts w:ascii="黑体" w:hAnsi="黑体" w:eastAsia="黑体" w:cs="黑体"/>
          <w:color w:val="000036"/>
          <w:sz w:val="56"/>
          <w:szCs w:val="56"/>
          <w:lang w:eastAsia="zh-CN"/>
        </w:rPr>
        <w:t>技术规范书</w:t>
      </w: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rFonts w:eastAsia="宋体"/>
          <w:lang w:eastAsia="zh-CN"/>
        </w:rPr>
      </w:pPr>
      <w:r>
        <w:rPr>
          <w:rFonts w:hint="eastAsia" w:eastAsia="宋体"/>
          <w:lang w:eastAsia="zh-CN"/>
        </w:rPr>
        <w:t xml:space="preserve">                   </w:t>
      </w:r>
    </w:p>
    <w:p>
      <w:pPr>
        <w:spacing w:line="200" w:lineRule="exact"/>
        <w:rPr>
          <w:rFonts w:eastAsia="宋体"/>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57" w:lineRule="exact"/>
        <w:rPr>
          <w:lang w:eastAsia="zh-CN"/>
        </w:rPr>
      </w:pPr>
    </w:p>
    <w:p>
      <w:pPr>
        <w:spacing w:line="320" w:lineRule="exact"/>
        <w:ind w:firstLine="3080" w:firstLineChars="1100"/>
        <w:rPr>
          <w:rFonts w:ascii="黑体" w:hAnsi="黑体" w:eastAsia="黑体" w:cs="黑体"/>
          <w:sz w:val="20"/>
          <w:szCs w:val="20"/>
          <w:lang w:eastAsia="zh-CN"/>
        </w:rPr>
      </w:pPr>
      <w:r>
        <w:rPr>
          <w:rFonts w:hint="eastAsia" w:ascii="黑体" w:hAnsi="黑体" w:eastAsia="黑体" w:cs="黑体"/>
          <w:sz w:val="28"/>
          <w:szCs w:val="28"/>
          <w:lang w:eastAsia="zh-CN"/>
        </w:rPr>
        <w:t>南方电网贵州电动汽车服务有限公司</w:t>
      </w:r>
    </w:p>
    <w:p>
      <w:pPr>
        <w:spacing w:line="305" w:lineRule="exact"/>
        <w:rPr>
          <w:rFonts w:ascii="黑体" w:hAnsi="黑体" w:eastAsia="黑体" w:cs="黑体"/>
          <w:lang w:eastAsia="zh-CN"/>
        </w:rPr>
      </w:pPr>
    </w:p>
    <w:p>
      <w:pPr>
        <w:spacing w:line="320" w:lineRule="exact"/>
        <w:ind w:left="4700"/>
        <w:rPr>
          <w:rFonts w:ascii="黑体" w:hAnsi="黑体" w:eastAsia="黑体" w:cs="黑体"/>
          <w:sz w:val="20"/>
          <w:szCs w:val="20"/>
          <w:lang w:eastAsia="zh-CN"/>
        </w:rPr>
      </w:pPr>
      <w:r>
        <w:rPr>
          <w:rFonts w:hint="eastAsia" w:ascii="黑体" w:hAnsi="黑体" w:eastAsia="黑体" w:cs="黑体"/>
          <w:sz w:val="28"/>
          <w:szCs w:val="28"/>
          <w:lang w:eastAsia="zh-CN"/>
        </w:rPr>
        <w:t>2024年9月</w:t>
      </w:r>
    </w:p>
    <w:p>
      <w:pPr>
        <w:rPr>
          <w:sz w:val="22"/>
          <w:szCs w:val="22"/>
          <w:lang w:eastAsia="zh-CN"/>
        </w:rPr>
        <w:sectPr>
          <w:pgSz w:w="11900" w:h="16838"/>
          <w:pgMar w:top="1440" w:right="1306" w:bottom="1440" w:left="800" w:header="0" w:footer="0" w:gutter="0"/>
          <w:cols w:equalWidth="0" w:num="1">
            <w:col w:w="9800"/>
          </w:cols>
        </w:sectPr>
      </w:pPr>
    </w:p>
    <w:p>
      <w:pPr>
        <w:spacing w:line="229" w:lineRule="exact"/>
        <w:rPr>
          <w:sz w:val="20"/>
          <w:szCs w:val="20"/>
          <w:lang w:eastAsia="zh-CN"/>
        </w:rPr>
      </w:pPr>
      <w:bookmarkStart w:id="1" w:name="page2"/>
      <w:bookmarkEnd w:id="1"/>
    </w:p>
    <w:p>
      <w:pPr>
        <w:spacing w:line="502" w:lineRule="exact"/>
        <w:ind w:left="3560"/>
        <w:rPr>
          <w:rFonts w:ascii="宋体" w:hAnsi="宋体" w:eastAsia="宋体" w:cs="宋体"/>
          <w:sz w:val="44"/>
          <w:szCs w:val="44"/>
          <w:lang w:eastAsia="zh-CN"/>
        </w:rPr>
      </w:pPr>
    </w:p>
    <w:p>
      <w:pPr>
        <w:spacing w:line="502" w:lineRule="exact"/>
        <w:ind w:left="3560"/>
        <w:rPr>
          <w:sz w:val="20"/>
          <w:szCs w:val="20"/>
          <w:lang w:eastAsia="zh-CN"/>
        </w:rPr>
      </w:pPr>
      <w:r>
        <w:rPr>
          <w:rFonts w:ascii="宋体" w:hAnsi="宋体" w:eastAsia="宋体" w:cs="宋体"/>
          <w:sz w:val="44"/>
          <w:szCs w:val="44"/>
          <w:lang w:eastAsia="zh-CN"/>
        </w:rPr>
        <w:t>目 录</w:t>
      </w:r>
    </w:p>
    <w:p>
      <w:pPr>
        <w:spacing w:line="200" w:lineRule="exact"/>
        <w:rPr>
          <w:sz w:val="20"/>
          <w:szCs w:val="20"/>
          <w:lang w:eastAsia="zh-CN"/>
        </w:rPr>
      </w:pPr>
    </w:p>
    <w:p>
      <w:pPr>
        <w:spacing w:line="200" w:lineRule="exact"/>
        <w:rPr>
          <w:sz w:val="20"/>
          <w:szCs w:val="20"/>
          <w:lang w:eastAsia="zh-CN"/>
        </w:rPr>
      </w:pPr>
    </w:p>
    <w:p>
      <w:pPr>
        <w:spacing w:line="200" w:lineRule="exact"/>
        <w:rPr>
          <w:sz w:val="20"/>
          <w:szCs w:val="20"/>
          <w:lang w:eastAsia="zh-CN"/>
        </w:rPr>
      </w:pPr>
    </w:p>
    <w:p>
      <w:pPr>
        <w:spacing w:line="390" w:lineRule="exact"/>
        <w:rPr>
          <w:sz w:val="20"/>
          <w:szCs w:val="20"/>
          <w:lang w:eastAsia="zh-CN"/>
        </w:rPr>
      </w:pPr>
    </w:p>
    <w:p>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总则</w:t>
      </w:r>
      <w:r>
        <w:rPr>
          <w:rFonts w:eastAsiaTheme="minorEastAsia"/>
          <w:sz w:val="20"/>
          <w:szCs w:val="20"/>
          <w:lang w:eastAsia="zh-CN"/>
        </w:rPr>
        <w:tab/>
      </w:r>
      <w:r>
        <w:rPr>
          <w:rFonts w:ascii="黑体" w:hAnsi="黑体" w:eastAsia="黑体" w:cs="黑体"/>
          <w:sz w:val="28"/>
          <w:szCs w:val="28"/>
          <w:lang w:eastAsia="zh-CN"/>
        </w:rPr>
        <w:t>1</w:t>
      </w:r>
    </w:p>
    <w:p>
      <w:pPr>
        <w:spacing w:line="305" w:lineRule="exact"/>
        <w:rPr>
          <w:sz w:val="20"/>
          <w:szCs w:val="20"/>
          <w:lang w:eastAsia="zh-CN"/>
        </w:rPr>
      </w:pPr>
    </w:p>
    <w:p>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二、适用范围</w:t>
      </w:r>
      <w:r>
        <w:rPr>
          <w:rFonts w:eastAsiaTheme="minorEastAsia"/>
          <w:sz w:val="20"/>
          <w:szCs w:val="20"/>
          <w:lang w:eastAsia="zh-CN"/>
        </w:rPr>
        <w:tab/>
      </w:r>
      <w:r>
        <w:rPr>
          <w:rFonts w:ascii="黑体" w:hAnsi="黑体" w:eastAsia="黑体" w:cs="黑体"/>
          <w:sz w:val="28"/>
          <w:szCs w:val="28"/>
          <w:lang w:eastAsia="zh-CN"/>
        </w:rPr>
        <w:t>1</w:t>
      </w:r>
    </w:p>
    <w:p>
      <w:pPr>
        <w:spacing w:line="305" w:lineRule="exact"/>
        <w:rPr>
          <w:sz w:val="20"/>
          <w:szCs w:val="20"/>
          <w:lang w:eastAsia="zh-CN"/>
        </w:rPr>
      </w:pPr>
    </w:p>
    <w:p>
      <w:pPr>
        <w:tabs>
          <w:tab w:val="left" w:leader="dot" w:pos="8500"/>
        </w:tabs>
        <w:spacing w:line="320" w:lineRule="exact"/>
        <w:ind w:left="360" w:firstLine="280" w:firstLineChars="100"/>
        <w:rPr>
          <w:sz w:val="20"/>
          <w:szCs w:val="20"/>
          <w:lang w:eastAsia="zh-CN"/>
        </w:rPr>
      </w:pPr>
      <w:r>
        <w:rPr>
          <w:rFonts w:hint="eastAsia" w:ascii="黑体" w:hAnsi="黑体" w:eastAsia="黑体" w:cs="黑体"/>
          <w:sz w:val="28"/>
          <w:szCs w:val="28"/>
          <w:lang w:eastAsia="zh-CN"/>
        </w:rPr>
        <w:t>三</w:t>
      </w:r>
      <w:r>
        <w:rPr>
          <w:rFonts w:ascii="黑体" w:hAnsi="黑体" w:eastAsia="黑体" w:cs="黑体"/>
          <w:sz w:val="28"/>
          <w:szCs w:val="28"/>
          <w:lang w:eastAsia="zh-CN"/>
        </w:rPr>
        <w:t>、项目概况</w:t>
      </w:r>
      <w:r>
        <w:rPr>
          <w:rFonts w:eastAsiaTheme="minorEastAsia"/>
          <w:sz w:val="20"/>
          <w:szCs w:val="20"/>
          <w:lang w:eastAsia="zh-CN"/>
        </w:rPr>
        <w:tab/>
      </w:r>
      <w:r>
        <w:rPr>
          <w:rFonts w:ascii="黑体" w:hAnsi="黑体" w:eastAsia="黑体" w:cs="黑体"/>
          <w:sz w:val="28"/>
          <w:szCs w:val="28"/>
          <w:lang w:eastAsia="zh-CN"/>
        </w:rPr>
        <w:t>1</w:t>
      </w:r>
    </w:p>
    <w:p>
      <w:pPr>
        <w:spacing w:line="305" w:lineRule="exact"/>
        <w:rPr>
          <w:sz w:val="20"/>
          <w:szCs w:val="20"/>
          <w:lang w:eastAsia="zh-CN"/>
        </w:rPr>
      </w:pPr>
    </w:p>
    <w:p>
      <w:pPr>
        <w:tabs>
          <w:tab w:val="left" w:leader="dot" w:pos="8500"/>
        </w:tabs>
        <w:spacing w:line="320" w:lineRule="exact"/>
        <w:ind w:left="360" w:firstLine="280" w:firstLineChars="100"/>
        <w:rPr>
          <w:rFonts w:eastAsiaTheme="minorEastAsia"/>
          <w:sz w:val="20"/>
          <w:szCs w:val="20"/>
          <w:lang w:eastAsia="zh-CN"/>
        </w:rPr>
      </w:pPr>
      <w:r>
        <w:rPr>
          <w:rFonts w:hint="eastAsia" w:ascii="黑体" w:hAnsi="黑体" w:eastAsia="黑体" w:cs="黑体"/>
          <w:sz w:val="28"/>
          <w:szCs w:val="28"/>
          <w:lang w:eastAsia="zh-CN"/>
        </w:rPr>
        <w:t>四</w:t>
      </w:r>
      <w:r>
        <w:rPr>
          <w:rFonts w:ascii="黑体" w:hAnsi="黑体" w:eastAsia="黑体" w:cs="黑体"/>
          <w:sz w:val="28"/>
          <w:szCs w:val="28"/>
          <w:lang w:eastAsia="zh-CN"/>
        </w:rPr>
        <w:t>、相关要求</w:t>
      </w:r>
      <w:r>
        <w:rPr>
          <w:rFonts w:eastAsiaTheme="minorEastAsia"/>
          <w:sz w:val="20"/>
          <w:szCs w:val="20"/>
          <w:lang w:eastAsia="zh-CN"/>
        </w:rPr>
        <w:tab/>
      </w:r>
      <w:r>
        <w:rPr>
          <w:rFonts w:ascii="黑体" w:hAnsi="黑体" w:eastAsia="黑体" w:cs="黑体"/>
          <w:sz w:val="28"/>
          <w:szCs w:val="28"/>
          <w:lang w:eastAsia="zh-CN"/>
        </w:rPr>
        <w:t>1</w:t>
      </w:r>
    </w:p>
    <w:p>
      <w:pPr>
        <w:spacing w:line="305" w:lineRule="exact"/>
        <w:rPr>
          <w:sz w:val="20"/>
          <w:szCs w:val="20"/>
          <w:lang w:eastAsia="zh-CN"/>
        </w:rPr>
      </w:pPr>
    </w:p>
    <w:p>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采购范围</w:t>
      </w:r>
      <w:r>
        <w:rPr>
          <w:rFonts w:eastAsiaTheme="minorEastAsia"/>
          <w:sz w:val="20"/>
          <w:szCs w:val="20"/>
          <w:lang w:eastAsia="zh-CN"/>
        </w:rPr>
        <w:tab/>
      </w:r>
      <w:r>
        <w:rPr>
          <w:rFonts w:ascii="黑体" w:hAnsi="黑体" w:eastAsia="黑体" w:cs="黑体"/>
          <w:sz w:val="28"/>
          <w:szCs w:val="28"/>
          <w:lang w:eastAsia="zh-CN"/>
        </w:rPr>
        <w:t>1</w:t>
      </w:r>
    </w:p>
    <w:p>
      <w:pPr>
        <w:tabs>
          <w:tab w:val="left" w:leader="dot" w:pos="8500"/>
        </w:tabs>
        <w:spacing w:line="320" w:lineRule="atLeast"/>
        <w:ind w:left="360"/>
        <w:rPr>
          <w:rFonts w:ascii="黑体" w:hAnsi="黑体" w:eastAsia="黑体" w:cs="黑体"/>
          <w:sz w:val="28"/>
          <w:szCs w:val="28"/>
          <w:lang w:eastAsia="zh-CN"/>
        </w:rPr>
      </w:pPr>
    </w:p>
    <w:p>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二</w:t>
      </w:r>
      <w:r>
        <w:rPr>
          <w:rFonts w:ascii="黑体" w:hAnsi="黑体" w:eastAsia="黑体" w:cs="黑体"/>
          <w:sz w:val="28"/>
          <w:szCs w:val="28"/>
          <w:lang w:eastAsia="zh-CN"/>
        </w:rPr>
        <w:t>）</w:t>
      </w:r>
      <w:r>
        <w:rPr>
          <w:rFonts w:hint="eastAsia" w:ascii="黑体" w:hAnsi="黑体" w:eastAsia="黑体" w:cs="黑体"/>
          <w:sz w:val="28"/>
          <w:szCs w:val="28"/>
          <w:lang w:eastAsia="zh-CN"/>
        </w:rPr>
        <w:t>报价方式</w:t>
      </w:r>
      <w:r>
        <w:rPr>
          <w:rFonts w:eastAsiaTheme="minorEastAsia"/>
          <w:sz w:val="20"/>
          <w:szCs w:val="20"/>
          <w:lang w:eastAsia="zh-CN"/>
        </w:rPr>
        <w:tab/>
      </w:r>
      <w:r>
        <w:rPr>
          <w:rFonts w:ascii="黑体" w:hAnsi="黑体" w:eastAsia="黑体" w:cs="黑体"/>
          <w:sz w:val="28"/>
          <w:szCs w:val="28"/>
          <w:lang w:eastAsia="zh-CN"/>
        </w:rPr>
        <w:t>1</w:t>
      </w:r>
    </w:p>
    <w:p>
      <w:pPr>
        <w:spacing w:line="320" w:lineRule="atLeast"/>
        <w:rPr>
          <w:sz w:val="20"/>
          <w:szCs w:val="20"/>
          <w:lang w:eastAsia="zh-CN"/>
        </w:rPr>
      </w:pPr>
    </w:p>
    <w:p>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三</w:t>
      </w:r>
      <w:r>
        <w:rPr>
          <w:rFonts w:ascii="黑体" w:hAnsi="黑体" w:eastAsia="黑体" w:cs="黑体"/>
          <w:sz w:val="28"/>
          <w:szCs w:val="28"/>
          <w:lang w:eastAsia="zh-CN"/>
        </w:rPr>
        <w:t>）</w:t>
      </w:r>
      <w:r>
        <w:rPr>
          <w:rFonts w:hint="eastAsia" w:ascii="黑体" w:hAnsi="黑体" w:eastAsia="黑体" w:cs="黑体"/>
          <w:sz w:val="28"/>
          <w:szCs w:val="28"/>
          <w:lang w:eastAsia="zh-CN"/>
        </w:rPr>
        <w:t>服务期限</w:t>
      </w:r>
      <w:r>
        <w:rPr>
          <w:rFonts w:eastAsiaTheme="minorEastAsia"/>
          <w:sz w:val="20"/>
          <w:szCs w:val="20"/>
          <w:lang w:eastAsia="zh-CN"/>
        </w:rPr>
        <w:tab/>
      </w:r>
      <w:r>
        <w:rPr>
          <w:rFonts w:ascii="黑体" w:hAnsi="黑体" w:eastAsia="黑体" w:cs="黑体"/>
          <w:sz w:val="28"/>
          <w:szCs w:val="28"/>
          <w:lang w:eastAsia="zh-CN"/>
        </w:rPr>
        <w:t>1</w:t>
      </w:r>
    </w:p>
    <w:p>
      <w:pPr>
        <w:spacing w:line="320" w:lineRule="atLeast"/>
        <w:rPr>
          <w:rFonts w:eastAsiaTheme="minorEastAsia"/>
          <w:lang w:eastAsia="zh-CN"/>
        </w:rPr>
      </w:pPr>
      <w:bookmarkStart w:id="2" w:name="page1_0"/>
      <w:bookmarkEnd w:id="2"/>
    </w:p>
    <w:p>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四</w:t>
      </w:r>
      <w:r>
        <w:rPr>
          <w:rFonts w:ascii="黑体" w:hAnsi="黑体" w:eastAsia="黑体" w:cs="黑体"/>
          <w:sz w:val="28"/>
          <w:szCs w:val="28"/>
          <w:lang w:eastAsia="zh-CN"/>
        </w:rPr>
        <w:t>）</w:t>
      </w:r>
      <w:r>
        <w:rPr>
          <w:rFonts w:hint="eastAsia" w:ascii="黑体" w:hAnsi="黑体" w:eastAsia="黑体" w:cs="黑体"/>
          <w:sz w:val="28"/>
          <w:szCs w:val="28"/>
          <w:lang w:eastAsia="zh-CN"/>
        </w:rPr>
        <w:t>服务地址</w:t>
      </w:r>
      <w:r>
        <w:rPr>
          <w:rFonts w:eastAsiaTheme="minorEastAsia"/>
          <w:sz w:val="20"/>
          <w:szCs w:val="20"/>
          <w:lang w:eastAsia="zh-CN"/>
        </w:rPr>
        <w:tab/>
      </w:r>
      <w:r>
        <w:rPr>
          <w:rFonts w:ascii="黑体" w:hAnsi="黑体" w:eastAsia="黑体" w:cs="黑体"/>
          <w:sz w:val="28"/>
          <w:szCs w:val="28"/>
          <w:lang w:eastAsia="zh-CN"/>
        </w:rPr>
        <w:t>1</w:t>
      </w:r>
    </w:p>
    <w:p>
      <w:pPr>
        <w:spacing w:line="320" w:lineRule="atLeast"/>
        <w:rPr>
          <w:sz w:val="20"/>
          <w:szCs w:val="20"/>
          <w:lang w:eastAsia="zh-CN"/>
        </w:rPr>
      </w:pPr>
    </w:p>
    <w:p>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五</w:t>
      </w:r>
      <w:r>
        <w:rPr>
          <w:rFonts w:ascii="黑体" w:hAnsi="黑体" w:eastAsia="黑体" w:cs="黑体"/>
          <w:sz w:val="28"/>
          <w:szCs w:val="28"/>
          <w:lang w:eastAsia="zh-CN"/>
        </w:rPr>
        <w:t>）</w:t>
      </w:r>
      <w:r>
        <w:rPr>
          <w:rFonts w:hint="eastAsia" w:ascii="黑体" w:hAnsi="黑体" w:eastAsia="黑体" w:cs="黑体"/>
          <w:sz w:val="28"/>
          <w:szCs w:val="28"/>
          <w:lang w:eastAsia="zh-CN"/>
        </w:rPr>
        <w:t>周转房要求</w:t>
      </w:r>
      <w:r>
        <w:rPr>
          <w:rFonts w:eastAsiaTheme="minorEastAsia"/>
          <w:sz w:val="20"/>
          <w:szCs w:val="20"/>
          <w:lang w:eastAsia="zh-CN"/>
        </w:rPr>
        <w:tab/>
      </w:r>
      <w:r>
        <w:rPr>
          <w:rFonts w:hint="eastAsia" w:ascii="黑体" w:hAnsi="黑体" w:eastAsia="黑体" w:cs="黑体"/>
          <w:sz w:val="28"/>
          <w:szCs w:val="28"/>
          <w:lang w:eastAsia="zh-CN"/>
        </w:rPr>
        <w:t>2</w:t>
      </w:r>
    </w:p>
    <w:p>
      <w:pPr>
        <w:spacing w:line="320" w:lineRule="atLeast"/>
        <w:rPr>
          <w:rFonts w:eastAsiaTheme="minorEastAsia"/>
          <w:lang w:eastAsia="zh-CN"/>
        </w:rPr>
      </w:pPr>
    </w:p>
    <w:p>
      <w:pPr>
        <w:spacing w:line="200" w:lineRule="exact"/>
        <w:rPr>
          <w:rFonts w:eastAsiaTheme="minorEastAsia"/>
          <w:lang w:eastAsia="zh-CN"/>
        </w:rPr>
      </w:pPr>
    </w:p>
    <w:p>
      <w:pPr>
        <w:spacing w:line="411" w:lineRule="exact"/>
        <w:ind w:right="6"/>
        <w:jc w:val="both"/>
        <w:rPr>
          <w:rFonts w:ascii="宋体" w:hAnsi="宋体" w:eastAsia="宋体" w:cs="宋体"/>
          <w:sz w:val="36"/>
          <w:szCs w:val="36"/>
          <w:lang w:eastAsia="zh-CN"/>
        </w:rPr>
      </w:pPr>
    </w:p>
    <w:p>
      <w:pPr>
        <w:spacing w:line="411" w:lineRule="exact"/>
        <w:ind w:right="6"/>
        <w:jc w:val="center"/>
        <w:rPr>
          <w:rFonts w:ascii="宋体" w:hAnsi="宋体" w:eastAsia="宋体" w:cs="宋体"/>
          <w:sz w:val="36"/>
          <w:szCs w:val="36"/>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both"/>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rPr>
          <w:rFonts w:hint="eastAsia"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r>
        <w:rPr>
          <w:rFonts w:hint="eastAsia" w:ascii="仿宋_GB2312" w:hAnsi="仿宋_GB2312" w:eastAsia="仿宋_GB2312" w:cs="仿宋_GB2312"/>
          <w:b/>
          <w:bCs/>
          <w:sz w:val="44"/>
          <w:szCs w:val="44"/>
          <w:lang w:eastAsia="zh-CN"/>
        </w:rPr>
        <w:t>技术规范书</w:t>
      </w:r>
    </w:p>
    <w:p>
      <w:pPr>
        <w:spacing w:line="200" w:lineRule="exact"/>
        <w:rPr>
          <w:rFonts w:ascii="仿宋_GB2312" w:hAnsi="仿宋_GB2312" w:eastAsia="仿宋_GB2312" w:cs="仿宋_GB2312"/>
          <w:sz w:val="32"/>
          <w:szCs w:val="32"/>
          <w:lang w:eastAsia="zh-CN"/>
        </w:rPr>
      </w:pPr>
    </w:p>
    <w:p>
      <w:pPr>
        <w:spacing w:line="205" w:lineRule="exact"/>
        <w:rPr>
          <w:rFonts w:ascii="仿宋_GB2312" w:hAnsi="仿宋_GB2312" w:eastAsia="仿宋_GB2312" w:cs="仿宋_GB2312"/>
          <w:sz w:val="32"/>
          <w:szCs w:val="32"/>
          <w:lang w:eastAsia="zh-CN"/>
        </w:rPr>
      </w:pPr>
    </w:p>
    <w:p>
      <w:pPr>
        <w:spacing w:line="336" w:lineRule="exact"/>
        <w:rPr>
          <w:rFonts w:ascii="仿宋_GB2312" w:hAnsi="仿宋_GB2312" w:eastAsia="仿宋_GB2312" w:cs="仿宋_GB2312"/>
          <w:sz w:val="32"/>
          <w:szCs w:val="32"/>
          <w:lang w:eastAsia="zh-CN"/>
        </w:rPr>
      </w:pPr>
    </w:p>
    <w:p>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一、总则</w:t>
      </w:r>
    </w:p>
    <w:p>
      <w:pPr>
        <w:spacing w:line="520" w:lineRule="exact"/>
        <w:ind w:left="360" w:right="22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为了规范南方电网贵州电动汽车服务有限公司2024年员工周转房租赁项目1</w:t>
      </w:r>
      <w:r>
        <w:rPr>
          <w:rFonts w:hint="eastAsia" w:ascii="仿宋_GB2312" w:hAnsi="仿宋_GB2312" w:eastAsia="仿宋_GB2312" w:cs="仿宋_GB2312"/>
          <w:sz w:val="32"/>
          <w:szCs w:val="32"/>
          <w:u w:val="single"/>
          <w:lang w:eastAsia="zh-CN"/>
        </w:rPr>
        <w:t>（以下简称“项目”）</w:t>
      </w:r>
      <w:r>
        <w:rPr>
          <w:rFonts w:hint="eastAsia" w:ascii="仿宋_GB2312" w:hAnsi="仿宋_GB2312" w:eastAsia="仿宋_GB2312" w:cs="仿宋_GB2312"/>
          <w:sz w:val="32"/>
          <w:szCs w:val="32"/>
          <w:lang w:eastAsia="zh-CN"/>
        </w:rPr>
        <w:t>质量，保证项目正常运行，特制定本规范。</w:t>
      </w:r>
    </w:p>
    <w:p>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二、适用范围</w:t>
      </w:r>
    </w:p>
    <w:p>
      <w:pPr>
        <w:spacing w:line="520" w:lineRule="exact"/>
        <w:ind w:left="360" w:right="36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适用于采购编号：南方电网贵州电动汽车服务有限公司2024年员工周转房租赁项目1。</w:t>
      </w:r>
    </w:p>
    <w:p>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三、项目概况</w:t>
      </w:r>
    </w:p>
    <w:p>
      <w:pPr>
        <w:spacing w:line="520" w:lineRule="exact"/>
        <w:ind w:left="278" w:leftChars="116" w:firstLine="800" w:firstLineChars="250"/>
        <w:jc w:val="both"/>
        <w:textAlignment w:val="baseline"/>
        <w:rPr>
          <w:rFonts w:ascii="仿宋_GB2312" w:hAnsi="仿宋_GB2312" w:eastAsia="仿宋_GB2312" w:cs="仿宋_GB2312"/>
          <w:b/>
          <w:bCs/>
          <w:sz w:val="32"/>
          <w:szCs w:val="32"/>
          <w:lang w:eastAsia="zh-CN"/>
        </w:rPr>
      </w:pPr>
      <w:r>
        <w:rPr>
          <w:rFonts w:hint="eastAsia" w:ascii="仿宋_GB2312" w:hAnsi="仿宋_GB2312" w:eastAsia="仿宋_GB2312" w:cs="仿宋_GB2312"/>
          <w:sz w:val="32"/>
          <w:szCs w:val="32"/>
          <w:lang w:eastAsia="zh-CN"/>
        </w:rPr>
        <w:t>为保障南方电网贵州电动汽车服务有限公司(以下简称:贵州电动公司)员工临时性住房需求，现须租赁房屋解决员工住宿需求。</w:t>
      </w:r>
    </w:p>
    <w:p>
      <w:pPr>
        <w:numPr>
          <w:ilvl w:val="0"/>
          <w:numId w:val="1"/>
        </w:numPr>
        <w:spacing w:line="520" w:lineRule="exact"/>
        <w:ind w:firstLine="964" w:firstLineChars="3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相关要求</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（一）采购范围</w:t>
      </w:r>
    </w:p>
    <w:tbl>
      <w:tblPr>
        <w:tblStyle w:val="3"/>
        <w:tblpPr w:leftFromText="180" w:rightFromText="180" w:vertAnchor="text" w:tblpX="254" w:tblpY="52"/>
        <w:tblOverlap w:val="never"/>
        <w:tblW w:w="8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4144"/>
        <w:gridCol w:w="1643"/>
        <w:gridCol w:w="1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1121"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序号</w:t>
            </w:r>
          </w:p>
        </w:tc>
        <w:tc>
          <w:tcPr>
            <w:tcW w:w="4144"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标的名称</w:t>
            </w:r>
          </w:p>
        </w:tc>
        <w:tc>
          <w:tcPr>
            <w:tcW w:w="1643"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最高限价（元）</w:t>
            </w:r>
          </w:p>
        </w:tc>
        <w:tc>
          <w:tcPr>
            <w:tcW w:w="1365"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1121"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w:t>
            </w:r>
          </w:p>
        </w:tc>
        <w:tc>
          <w:tcPr>
            <w:tcW w:w="4144"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南网贵州电动公司2024年周转房租赁零星采购项目1</w:t>
            </w:r>
          </w:p>
        </w:tc>
        <w:tc>
          <w:tcPr>
            <w:tcW w:w="1643"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48000</w:t>
            </w:r>
          </w:p>
        </w:tc>
        <w:tc>
          <w:tcPr>
            <w:tcW w:w="1365"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1年</w:t>
            </w:r>
          </w:p>
        </w:tc>
      </w:tr>
    </w:tbl>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rPr>
          <w:rFonts w:ascii="仿宋_GB2312" w:hAnsi="仿宋_GB2312" w:eastAsia="仿宋_GB2312" w:cs="仿宋_GB2312"/>
          <w:b/>
          <w:bCs/>
          <w:sz w:val="32"/>
          <w:szCs w:val="32"/>
        </w:rPr>
      </w:pPr>
    </w:p>
    <w:p>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报价方式</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总价报价，最低价中标。</w:t>
      </w:r>
    </w:p>
    <w:p>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服务期限</w:t>
      </w:r>
    </w:p>
    <w:p>
      <w:pPr>
        <w:spacing w:line="520" w:lineRule="exact"/>
        <w:ind w:left="920"/>
        <w:rPr>
          <w:rFonts w:ascii="仿宋_GB2312" w:hAnsi="仿宋_GB2312" w:eastAsia="仿宋_GB2312" w:cs="仿宋_GB2312"/>
          <w:sz w:val="32"/>
          <w:szCs w:val="32"/>
          <w:lang w:eastAsia="zh-CN"/>
        </w:rPr>
      </w:pPr>
      <w:bookmarkStart w:id="3" w:name="page2_1"/>
      <w:bookmarkEnd w:id="3"/>
      <w:r>
        <w:rPr>
          <w:rFonts w:hint="eastAsia" w:ascii="仿宋_GB2312" w:hAnsi="仿宋_GB2312" w:eastAsia="仿宋_GB2312" w:cs="仿宋_GB2312"/>
          <w:sz w:val="32"/>
          <w:szCs w:val="32"/>
          <w:lang w:eastAsia="zh-CN"/>
        </w:rPr>
        <w:t>自合同履约之日起1年。</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（四）服务地址</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贵阳市南明区</w:t>
      </w:r>
      <w:bookmarkStart w:id="4" w:name="_GoBack"/>
      <w:bookmarkEnd w:id="4"/>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（五）周转房要求</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1.出租人应为房屋的所有权人或授权人，提供房屋产权证明材料。其中，如房屋产权方投标的，则提供产权证明;如非房屋产权方投标的，则提供承租合同或房屋产权方出具的转租同意书等相关文件或证明材料。</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2.距离要求为距贵阳市南明区物资大厦步行十分钟内的范围。</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3.应为具有物业公司管理、安全环境好、生活便利的电梯房，非公寓类型房源。</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4.租赁数量1套，且租赁房屋的建筑面积应在100平方米（含）-140平方米（含），配置为3室2厅1卫及以上,具备独立厨房。</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5.租赁房屋应具备拎包入住条件，配置有基本的生活家电、家具(包含但不限于热水器、冰箱、电视机、洗衣机等主要常用电器)；基础家具(含但不限于于床(含床垫)、桌椅板凳、衣柜等)，水电气网络畅通。</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6.房屋租住期间的相关房屋运维服务由出租人负责，房屋租住期间包含但不限于家电、水电、房屋墙面地板、基础家具等房屋设施出现损坏、故障等出租人须提供维修服务。</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7.租赁房屋步行十分钟内附近应有商场或中大型超市等生活场所。</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8.出租人应按照承租人需求提供满足上述要求的房源。</w:t>
      </w:r>
    </w:p>
    <w:p>
      <w:pPr>
        <w:spacing w:line="520" w:lineRule="exact"/>
        <w:rPr>
          <w:rFonts w:ascii="仿宋_GB2312" w:hAnsi="仿宋_GB2312" w:eastAsia="仿宋_GB2312" w:cs="仿宋_GB2312"/>
          <w:sz w:val="32"/>
          <w:szCs w:val="32"/>
          <w:lang w:eastAsia="zh-CN"/>
        </w:rPr>
      </w:pPr>
    </w:p>
    <w:sectPr>
      <w:type w:val="continuous"/>
      <w:pgSz w:w="11900" w:h="16838"/>
      <w:pgMar w:top="1439" w:right="1440" w:bottom="435" w:left="1440" w:header="0" w:footer="0" w:gutter="0"/>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AC8D0"/>
    <w:multiLevelType w:val="singleLevel"/>
    <w:tmpl w:val="0A3AC8D0"/>
    <w:lvl w:ilvl="0" w:tentative="0">
      <w:start w:val="2"/>
      <w:numFmt w:val="chineseCounting"/>
      <w:suff w:val="nothing"/>
      <w:lvlText w:val="（%1）"/>
      <w:lvlJc w:val="left"/>
      <w:rPr>
        <w:rFonts w:hint="eastAsia"/>
      </w:rPr>
    </w:lvl>
  </w:abstractNum>
  <w:abstractNum w:abstractNumId="1">
    <w:nsid w:val="3B7C6B35"/>
    <w:multiLevelType w:val="singleLevel"/>
    <w:tmpl w:val="3B7C6B35"/>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A77B3E"/>
    <w:rsid w:val="00B93C2A"/>
    <w:rsid w:val="00BB1461"/>
    <w:rsid w:val="00C9241A"/>
    <w:rsid w:val="00CA2A55"/>
    <w:rsid w:val="013B3F63"/>
    <w:rsid w:val="025A6C04"/>
    <w:rsid w:val="037262BA"/>
    <w:rsid w:val="05B74771"/>
    <w:rsid w:val="068E3B66"/>
    <w:rsid w:val="07DE7D68"/>
    <w:rsid w:val="091273FA"/>
    <w:rsid w:val="0ADB7398"/>
    <w:rsid w:val="0B1B4E9F"/>
    <w:rsid w:val="0B3E3A9A"/>
    <w:rsid w:val="0D1302A2"/>
    <w:rsid w:val="0E02296D"/>
    <w:rsid w:val="0F870469"/>
    <w:rsid w:val="11C80677"/>
    <w:rsid w:val="11CF1B67"/>
    <w:rsid w:val="127C300E"/>
    <w:rsid w:val="13C12381"/>
    <w:rsid w:val="15E8637F"/>
    <w:rsid w:val="160B17F4"/>
    <w:rsid w:val="19994B83"/>
    <w:rsid w:val="1A722BCA"/>
    <w:rsid w:val="1CA478F2"/>
    <w:rsid w:val="1DAF24FC"/>
    <w:rsid w:val="213D3949"/>
    <w:rsid w:val="22017E7D"/>
    <w:rsid w:val="246057D0"/>
    <w:rsid w:val="263404C4"/>
    <w:rsid w:val="26A45974"/>
    <w:rsid w:val="27420C7A"/>
    <w:rsid w:val="27DE7716"/>
    <w:rsid w:val="28670FF6"/>
    <w:rsid w:val="292827B1"/>
    <w:rsid w:val="296F777A"/>
    <w:rsid w:val="2AAE5541"/>
    <w:rsid w:val="2BAB03D4"/>
    <w:rsid w:val="2DE051B2"/>
    <w:rsid w:val="2EBB13D0"/>
    <w:rsid w:val="2F0F0A9F"/>
    <w:rsid w:val="2F996FA3"/>
    <w:rsid w:val="303B7C0D"/>
    <w:rsid w:val="30883239"/>
    <w:rsid w:val="335740A1"/>
    <w:rsid w:val="33E1511F"/>
    <w:rsid w:val="346A38C2"/>
    <w:rsid w:val="351A453A"/>
    <w:rsid w:val="368A2987"/>
    <w:rsid w:val="377A733E"/>
    <w:rsid w:val="37A3652C"/>
    <w:rsid w:val="39D266CC"/>
    <w:rsid w:val="3A1E01E9"/>
    <w:rsid w:val="3A9A5EF5"/>
    <w:rsid w:val="3ADC2450"/>
    <w:rsid w:val="3AEA378B"/>
    <w:rsid w:val="3B6A7F86"/>
    <w:rsid w:val="3C593E8B"/>
    <w:rsid w:val="3D157D0E"/>
    <w:rsid w:val="3D7B4329"/>
    <w:rsid w:val="3ED55C68"/>
    <w:rsid w:val="3EDB2255"/>
    <w:rsid w:val="40256E36"/>
    <w:rsid w:val="40C34785"/>
    <w:rsid w:val="413C1A66"/>
    <w:rsid w:val="44191A5F"/>
    <w:rsid w:val="443E2003"/>
    <w:rsid w:val="44890DFE"/>
    <w:rsid w:val="45280308"/>
    <w:rsid w:val="459D0CC6"/>
    <w:rsid w:val="4650193A"/>
    <w:rsid w:val="46684A41"/>
    <w:rsid w:val="48FD4B4F"/>
    <w:rsid w:val="49A61540"/>
    <w:rsid w:val="4A2E1CF6"/>
    <w:rsid w:val="4D9F28D5"/>
    <w:rsid w:val="4DFC10F3"/>
    <w:rsid w:val="4F545534"/>
    <w:rsid w:val="500320DD"/>
    <w:rsid w:val="509A6463"/>
    <w:rsid w:val="518A3749"/>
    <w:rsid w:val="51C32D2F"/>
    <w:rsid w:val="53066D20"/>
    <w:rsid w:val="53247FF4"/>
    <w:rsid w:val="539E4BBE"/>
    <w:rsid w:val="57D1104A"/>
    <w:rsid w:val="57D34F8E"/>
    <w:rsid w:val="58263B33"/>
    <w:rsid w:val="597B335B"/>
    <w:rsid w:val="59E146C5"/>
    <w:rsid w:val="59FF13B5"/>
    <w:rsid w:val="5ADB2963"/>
    <w:rsid w:val="5C5435F1"/>
    <w:rsid w:val="5C642423"/>
    <w:rsid w:val="5ED81A8D"/>
    <w:rsid w:val="601A502E"/>
    <w:rsid w:val="607362D2"/>
    <w:rsid w:val="60DF3EFC"/>
    <w:rsid w:val="61AA75FB"/>
    <w:rsid w:val="629D1A5E"/>
    <w:rsid w:val="63CF6D0D"/>
    <w:rsid w:val="64D13754"/>
    <w:rsid w:val="64EA6203"/>
    <w:rsid w:val="65DA53F3"/>
    <w:rsid w:val="66D71736"/>
    <w:rsid w:val="679715F1"/>
    <w:rsid w:val="68346129"/>
    <w:rsid w:val="6AE622DC"/>
    <w:rsid w:val="6CBC13F4"/>
    <w:rsid w:val="6CE15CFC"/>
    <w:rsid w:val="6D271805"/>
    <w:rsid w:val="6D2B1985"/>
    <w:rsid w:val="6DC53E25"/>
    <w:rsid w:val="6F6B5B5E"/>
    <w:rsid w:val="70E055B2"/>
    <w:rsid w:val="72345596"/>
    <w:rsid w:val="72B8133A"/>
    <w:rsid w:val="737F6B89"/>
    <w:rsid w:val="74CF5D3A"/>
    <w:rsid w:val="798930D3"/>
    <w:rsid w:val="7C3F770A"/>
    <w:rsid w:val="7E304914"/>
    <w:rsid w:val="7ED04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4">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157</Words>
  <Characters>898</Characters>
  <Lines>7</Lines>
  <Paragraphs>2</Paragraphs>
  <TotalTime>1</TotalTime>
  <ScaleCrop>false</ScaleCrop>
  <LinksUpToDate>false</LinksUpToDate>
  <CharactersWithSpaces>1053</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2024-07-23T06:48:00Z</dcterms:created>
  <dc:creator>Administrator</dc:creator>
  <cp:lastModifiedBy>李衡蓉</cp:lastModifiedBy>
  <dcterms:modified xsi:type="dcterms:W3CDTF">2024-09-20T07:41:20Z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FDEC3D6AE5334468B80EFA87E1687516</vt:lpwstr>
  </property>
</Properties>
</file>