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bookmarkStart w:id="0" w:name="_Toc98920284"/>
      <w:r>
        <w:rPr>
          <w:rFonts w:ascii="宋体" w:hAnsi="宋体"/>
          <w:color w:val="auto"/>
          <w:highlight w:val="none"/>
        </w:rPr>
        <w:drawing>
          <wp:anchor distT="0" distB="0" distL="114300" distR="114300" simplePos="0" relativeHeight="251659264" behindDoc="1" locked="0" layoutInCell="1" allowOverlap="1">
            <wp:simplePos x="0" y="0"/>
            <wp:positionH relativeFrom="column">
              <wp:posOffset>-821690</wp:posOffset>
            </wp:positionH>
            <wp:positionV relativeFrom="paragraph">
              <wp:posOffset>-1410335</wp:posOffset>
            </wp:positionV>
            <wp:extent cx="7781925" cy="6972300"/>
            <wp:effectExtent l="0" t="0" r="9525" b="0"/>
            <wp:wrapNone/>
            <wp:docPr id="3"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未命名"/>
                    <pic:cNvPicPr>
                      <a:picLocks noChangeAspect="1"/>
                    </pic:cNvPicPr>
                  </pic:nvPicPr>
                  <pic:blipFill>
                    <a:blip r:embed="rId7"/>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579755</wp:posOffset>
                </wp:positionH>
                <wp:positionV relativeFrom="paragraph">
                  <wp:posOffset>509905</wp:posOffset>
                </wp:positionV>
                <wp:extent cx="5240655" cy="962025"/>
                <wp:effectExtent l="0" t="0" r="0" b="0"/>
                <wp:wrapNone/>
                <wp:docPr id="5" name="矩形 5"/>
                <wp:cNvGraphicFramePr/>
                <a:graphic xmlns:a="http://schemas.openxmlformats.org/drawingml/2006/main">
                  <a:graphicData uri="http://schemas.microsoft.com/office/word/2010/wordprocessingShape">
                    <wps:wsp>
                      <wps:cNvSpPr/>
                      <wps:spPr>
                        <a:xfrm>
                          <a:off x="0" y="0"/>
                          <a:ext cx="5240655" cy="962025"/>
                        </a:xfrm>
                        <a:prstGeom prst="rect">
                          <a:avLst/>
                        </a:prstGeom>
                        <a:noFill/>
                        <a:ln>
                          <a:noFill/>
                        </a:ln>
                      </wps:spPr>
                      <wps:txbx>
                        <w:txbxContent>
                          <w:p>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黑体" w:hAnsi="黑体" w:eastAsia="黑体"/>
                                <w:b/>
                                <w:bCs/>
                                <w:color w:val="auto"/>
                                <w:sz w:val="44"/>
                                <w:szCs w:val="44"/>
                                <w:highlight w:val="none"/>
                                <w:lang w:val="en-US" w:eastAsia="zh-CN"/>
                              </w:rPr>
                            </w:pPr>
                            <w:r>
                              <w:rPr>
                                <w:rFonts w:hint="eastAsia" w:ascii="黑体" w:hAnsi="黑体" w:eastAsia="黑体"/>
                                <w:b/>
                                <w:bCs/>
                                <w:color w:val="auto"/>
                                <w:sz w:val="44"/>
                                <w:szCs w:val="44"/>
                                <w:highlight w:val="none"/>
                                <w:lang w:val="en-US" w:eastAsia="zh-CN"/>
                              </w:rPr>
                              <w:t>基于南网“伏羲-PQ”芯片的</w:t>
                            </w:r>
                          </w:p>
                          <w:p>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黑体" w:hAnsi="黑体" w:eastAsia="黑体"/>
                                <w:b/>
                                <w:bCs/>
                                <w:color w:val="auto"/>
                                <w:sz w:val="44"/>
                                <w:szCs w:val="44"/>
                                <w:highlight w:val="none"/>
                                <w:lang w:val="en-US" w:eastAsia="zh-CN"/>
                              </w:rPr>
                            </w:pPr>
                            <w:r>
                              <w:rPr>
                                <w:rFonts w:hint="eastAsia" w:ascii="黑体" w:hAnsi="黑体" w:eastAsia="黑体"/>
                                <w:b/>
                                <w:bCs/>
                                <w:color w:val="auto"/>
                                <w:sz w:val="44"/>
                                <w:szCs w:val="44"/>
                                <w:highlight w:val="none"/>
                                <w:lang w:val="en-US" w:eastAsia="zh-CN"/>
                              </w:rPr>
                              <w:t>轨道式可移动充电桩</w:t>
                            </w:r>
                          </w:p>
                        </w:txbxContent>
                      </wps:txbx>
                      <wps:bodyPr upright="1"/>
                    </wps:wsp>
                  </a:graphicData>
                </a:graphic>
              </wp:anchor>
            </w:drawing>
          </mc:Choice>
          <mc:Fallback>
            <w:pict>
              <v:rect id="_x0000_s1026" o:spid="_x0000_s1026" o:spt="1" style="position:absolute;left:0pt;margin-left:45.65pt;margin-top:40.15pt;height:75.75pt;width:412.65pt;z-index:251660288;mso-width-relative:page;mso-height-relative:page;" filled="f" stroked="f" coordsize="21600,21600" o:gfxdata="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d36uT2gAAAAkBAAAPAAAA&#10;AAAAAAEAIAAAACIAAABkcnMvZG93bnJldi54bWxQSwECFAAUAAAACACHTuJAgd9lc6EBAABBAwAA&#10;DgAAAAAAAAABACAAAAApAQAAZHJzL2Uyb0RvYy54bWxQSwUGAAAAAAYABgBZAQAAPAUAAAAA&#10;">
                <v:fill on="f" focussize="0,0"/>
                <v:stroke on="f"/>
                <v:imagedata o:title=""/>
                <o:lock v:ext="edit" aspectratio="f"/>
                <v:textbox>
                  <w:txbxContent>
                    <w:p>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黑体" w:hAnsi="黑体" w:eastAsia="黑体"/>
                          <w:b/>
                          <w:bCs/>
                          <w:color w:val="auto"/>
                          <w:sz w:val="44"/>
                          <w:szCs w:val="44"/>
                          <w:highlight w:val="none"/>
                          <w:lang w:val="en-US" w:eastAsia="zh-CN"/>
                        </w:rPr>
                      </w:pPr>
                      <w:r>
                        <w:rPr>
                          <w:rFonts w:hint="eastAsia" w:ascii="黑体" w:hAnsi="黑体" w:eastAsia="黑体"/>
                          <w:b/>
                          <w:bCs/>
                          <w:color w:val="auto"/>
                          <w:sz w:val="44"/>
                          <w:szCs w:val="44"/>
                          <w:highlight w:val="none"/>
                          <w:lang w:val="en-US" w:eastAsia="zh-CN"/>
                        </w:rPr>
                        <w:t>基于南网“伏羲-PQ”芯片的</w:t>
                      </w:r>
                    </w:p>
                    <w:p>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黑体" w:hAnsi="黑体" w:eastAsia="黑体"/>
                          <w:b/>
                          <w:bCs/>
                          <w:color w:val="auto"/>
                          <w:sz w:val="44"/>
                          <w:szCs w:val="44"/>
                          <w:highlight w:val="none"/>
                          <w:lang w:val="en-US" w:eastAsia="zh-CN"/>
                        </w:rPr>
                      </w:pPr>
                      <w:r>
                        <w:rPr>
                          <w:rFonts w:hint="eastAsia" w:ascii="黑体" w:hAnsi="黑体" w:eastAsia="黑体"/>
                          <w:b/>
                          <w:bCs/>
                          <w:color w:val="auto"/>
                          <w:sz w:val="44"/>
                          <w:szCs w:val="44"/>
                          <w:highlight w:val="none"/>
                          <w:lang w:val="en-US" w:eastAsia="zh-CN"/>
                        </w:rPr>
                        <w:t>轨道式可移动充电桩</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jc w:val="center"/>
                              <w:rPr>
                                <w:rFonts w:hint="eastAsia" w:ascii="宋体" w:hAnsi="宋体" w:eastAsia="宋体" w:cs="宋体"/>
                                <w:b/>
                                <w:sz w:val="52"/>
                                <w:szCs w:val="52"/>
                                <w:lang w:eastAsia="zh-CN"/>
                              </w:rPr>
                            </w:pPr>
                            <w:r>
                              <w:rPr>
                                <w:rFonts w:hint="eastAsia" w:ascii="宋体" w:hAnsi="宋体" w:cs="宋体"/>
                                <w:b/>
                                <w:sz w:val="52"/>
                                <w:szCs w:val="52"/>
                              </w:rPr>
                              <w:t>加工服务</w:t>
                            </w:r>
                            <w:r>
                              <w:rPr>
                                <w:rFonts w:hint="eastAsia" w:ascii="宋体" w:hAnsi="宋体" w:cs="宋体"/>
                                <w:b/>
                                <w:sz w:val="52"/>
                                <w:szCs w:val="52"/>
                                <w:lang w:eastAsia="zh-CN"/>
                              </w:rPr>
                              <w:t>要求</w:t>
                            </w:r>
                          </w:p>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 </w:t>
                            </w:r>
                          </w:p>
                        </w:txbxContent>
                      </wps:txbx>
                      <wps:bodyPr upright="1"/>
                    </wps:wsp>
                  </a:graphicData>
                </a:graphic>
              </wp:anchor>
            </w:drawing>
          </mc:Choice>
          <mc:Fallback>
            <w:pict>
              <v:shape id="_x0000_s1026" o:spid="_x0000_s1026" o:spt="202" type="#_x0000_t202" style="position:absolute;left:0pt;margin-left:5.65pt;margin-top:5.1pt;height:59.35pt;width:488.65pt;z-index:251661312;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khZ+a1gAA&#10;AAkBAAAPAAAAAAAAAAEAIAAAACIAAABkcnMvZG93bnJldi54bWxQSwECFAAUAAAACACHTuJABMxH&#10;u64BAABOAwAADgAAAAAAAAABACAAAAAlAQAAZHJzL2Uyb0RvYy54bWxQSwUGAAAAAAYABgBZAQAA&#10;RQUAAAAA&#10;">
                <v:fill on="f" focussize="0,0"/>
                <v:stroke on="f"/>
                <v:imagedata o:title=""/>
                <o:lock v:ext="edit" aspectratio="f"/>
                <v:textbox>
                  <w:txbxContent>
                    <w:p>
                      <w:pPr>
                        <w:jc w:val="center"/>
                        <w:rPr>
                          <w:rFonts w:hint="eastAsia" w:ascii="宋体" w:hAnsi="宋体" w:eastAsia="宋体" w:cs="宋体"/>
                          <w:b/>
                          <w:sz w:val="52"/>
                          <w:szCs w:val="52"/>
                          <w:lang w:eastAsia="zh-CN"/>
                        </w:rPr>
                      </w:pPr>
                      <w:r>
                        <w:rPr>
                          <w:rFonts w:hint="eastAsia" w:ascii="宋体" w:hAnsi="宋体" w:cs="宋体"/>
                          <w:b/>
                          <w:sz w:val="52"/>
                          <w:szCs w:val="52"/>
                        </w:rPr>
                        <w:t>加工服务</w:t>
                      </w:r>
                      <w:r>
                        <w:rPr>
                          <w:rFonts w:hint="eastAsia" w:ascii="宋体" w:hAnsi="宋体" w:cs="宋体"/>
                          <w:b/>
                          <w:sz w:val="52"/>
                          <w:szCs w:val="52"/>
                          <w:lang w:eastAsia="zh-CN"/>
                        </w:rPr>
                        <w:t>要求</w:t>
                      </w:r>
                    </w:p>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柳州供电局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auto"/>
          <w:sz w:val="32"/>
          <w:szCs w:val="32"/>
          <w:highlight w:val="none"/>
        </w:rPr>
      </w:pPr>
      <w:r>
        <w:rPr>
          <w:rFonts w:hint="eastAsia"/>
          <w:b/>
          <w:bCs/>
          <w:color w:val="auto"/>
          <w:sz w:val="32"/>
          <w:szCs w:val="32"/>
          <w:highlight w:val="none"/>
        </w:rPr>
        <w:t>20</w:t>
      </w:r>
      <w:r>
        <w:rPr>
          <w:rFonts w:hint="eastAsia"/>
          <w:b/>
          <w:bCs/>
          <w:color w:val="auto"/>
          <w:sz w:val="32"/>
          <w:szCs w:val="32"/>
          <w:highlight w:val="none"/>
          <w:lang w:val="en-US" w:eastAsia="zh-CN"/>
        </w:rPr>
        <w:t>24</w:t>
      </w:r>
      <w:r>
        <w:rPr>
          <w:rFonts w:hint="eastAsia"/>
          <w:b/>
          <w:bCs/>
          <w:color w:val="auto"/>
          <w:sz w:val="32"/>
          <w:szCs w:val="32"/>
          <w:highlight w:val="none"/>
        </w:rPr>
        <w:t>年</w:t>
      </w:r>
      <w:r>
        <w:rPr>
          <w:rFonts w:hint="eastAsia"/>
          <w:b/>
          <w:bCs/>
          <w:color w:val="auto"/>
          <w:sz w:val="32"/>
          <w:szCs w:val="32"/>
          <w:highlight w:val="none"/>
          <w:lang w:val="en-US" w:eastAsia="zh-CN"/>
        </w:rPr>
        <w:t>7</w:t>
      </w:r>
      <w:r>
        <w:rPr>
          <w:rFonts w:hint="eastAsia"/>
          <w:b/>
          <w:bCs/>
          <w:color w:val="auto"/>
          <w:sz w:val="32"/>
          <w:szCs w:val="32"/>
          <w:highlight w:val="none"/>
        </w:rPr>
        <w:t>月</w:t>
      </w:r>
    </w:p>
    <w:p>
      <w:pPr>
        <w:jc w:val="both"/>
        <w:rPr>
          <w:rFonts w:ascii="宋体" w:hAnsi="宋体" w:cs="宋体"/>
          <w:sz w:val="44"/>
          <w:szCs w:val="44"/>
        </w:rPr>
      </w:pPr>
      <w:r>
        <w:rPr>
          <w:rStyle w:val="11"/>
          <w:rFonts w:ascii="仿宋_GB2312" w:eastAsia="仿宋_GB2312"/>
          <w:b/>
          <w:i w:val="0"/>
          <w:caps w:val="0"/>
          <w:color w:val="auto"/>
          <w:spacing w:val="0"/>
          <w:w w:val="100"/>
          <w:kern w:val="2"/>
          <w:sz w:val="28"/>
          <w:szCs w:val="28"/>
          <w:lang w:val="en-US" w:eastAsia="zh-CN" w:bidi="ar-SA"/>
        </w:rPr>
        <w:br w:type="page"/>
      </w:r>
    </w:p>
    <w:p>
      <w:pPr>
        <w:pStyle w:val="4"/>
        <w:numPr>
          <w:ilvl w:val="0"/>
          <w:numId w:val="1"/>
        </w:numPr>
        <w:rPr>
          <w:sz w:val="24"/>
          <w:szCs w:val="22"/>
        </w:rPr>
      </w:pPr>
      <w:bookmarkStart w:id="1" w:name="_Toc444945508"/>
      <w:bookmarkStart w:id="2" w:name="_Toc318799924"/>
      <w:bookmarkStart w:id="3" w:name="_Toc28526"/>
      <w:r>
        <w:rPr>
          <w:rFonts w:hint="eastAsia" w:ascii="Times New Roman" w:hAnsi="Times New Roman"/>
          <w:color w:val="000000"/>
          <w:sz w:val="28"/>
          <w:szCs w:val="28"/>
          <w:lang w:eastAsia="zh-CN"/>
        </w:rPr>
        <w:t>服务范围</w:t>
      </w:r>
    </w:p>
    <w:bookmarkEnd w:id="1"/>
    <w:bookmarkEnd w:id="2"/>
    <w:bookmarkEnd w:id="3"/>
    <w:p>
      <w:pPr>
        <w:numPr>
          <w:ilvl w:val="0"/>
          <w:numId w:val="0"/>
        </w:numPr>
        <w:ind w:left="400" w:leftChars="0" w:firstLine="480" w:firstLineChars="200"/>
        <w:rPr>
          <w:rFonts w:ascii="宋体" w:hAnsi="宋体"/>
        </w:rPr>
      </w:pPr>
      <w:r>
        <w:rPr>
          <w:rFonts w:hint="eastAsia" w:ascii="宋体" w:hAnsi="宋体"/>
        </w:rPr>
        <w:t>本技术条款主要描述</w:t>
      </w:r>
      <w:r>
        <w:rPr>
          <w:rFonts w:hint="eastAsia" w:ascii="宋体" w:hAnsi="宋体"/>
          <w:u w:val="single"/>
        </w:rPr>
        <w:t>广西电网有限</w:t>
      </w:r>
      <w:r>
        <w:rPr>
          <w:rFonts w:hint="eastAsia" w:ascii="宋体" w:hAnsi="宋体"/>
          <w:u w:val="single"/>
          <w:lang w:eastAsia="zh-CN"/>
        </w:rPr>
        <w:t>责任</w:t>
      </w:r>
      <w:r>
        <w:rPr>
          <w:rFonts w:hint="eastAsia" w:ascii="宋体" w:hAnsi="宋体"/>
          <w:u w:val="single"/>
        </w:rPr>
        <w:t>公司柳州供电局基于南网“伏羲-PQ”芯片的轨道式可移动充电桩加工服务项目</w:t>
      </w:r>
      <w:r>
        <w:rPr>
          <w:rFonts w:hint="eastAsia" w:ascii="宋体" w:hAnsi="宋体"/>
        </w:rPr>
        <w:t>有关事项。</w:t>
      </w:r>
    </w:p>
    <w:p>
      <w:pPr>
        <w:numPr>
          <w:ilvl w:val="0"/>
          <w:numId w:val="1"/>
        </w:numPr>
        <w:ind w:left="0" w:leftChars="0" w:firstLine="420" w:firstLineChars="0"/>
        <w:rPr>
          <w:rFonts w:hint="eastAsia" w:ascii="Times New Roman" w:hAnsi="Times New Roman" w:cs="宋体"/>
          <w:b/>
          <w:bCs/>
          <w:color w:val="000000"/>
          <w:sz w:val="28"/>
          <w:szCs w:val="28"/>
          <w:lang w:val="en-US" w:eastAsia="zh-CN" w:bidi="ar-SA"/>
        </w:rPr>
      </w:pPr>
      <w:r>
        <w:rPr>
          <w:rFonts w:hint="eastAsia" w:ascii="Times New Roman" w:hAnsi="Times New Roman" w:cs="宋体"/>
          <w:b/>
          <w:bCs/>
          <w:color w:val="000000"/>
          <w:sz w:val="28"/>
          <w:szCs w:val="28"/>
          <w:lang w:val="en-US" w:eastAsia="zh-CN" w:bidi="ar-SA"/>
        </w:rPr>
        <w:t>服务具体内容</w:t>
      </w:r>
    </w:p>
    <w:p>
      <w:pPr>
        <w:numPr>
          <w:ilvl w:val="0"/>
          <w:numId w:val="2"/>
        </w:numPr>
        <w:ind w:left="400" w:leftChars="0" w:firstLine="480" w:firstLineChars="200"/>
        <w:rPr>
          <w:rFonts w:hint="eastAsia" w:ascii="宋体" w:hAnsi="宋体"/>
          <w:lang w:val="en-US" w:eastAsia="zh-CN"/>
        </w:rPr>
      </w:pPr>
      <w:r>
        <w:rPr>
          <w:rFonts w:hint="eastAsia" w:ascii="宋体" w:hAnsi="宋体"/>
          <w:lang w:val="en-US" w:eastAsia="zh-CN"/>
        </w:rPr>
        <w:t>按照基于南网“伏羲-PQ”芯片的轨道式可移动充电桩技术指标的要求，绘制样机的图纸文件；</w:t>
      </w:r>
    </w:p>
    <w:p>
      <w:pPr>
        <w:numPr>
          <w:ilvl w:val="0"/>
          <w:numId w:val="2"/>
        </w:numPr>
        <w:ind w:left="400" w:leftChars="0" w:firstLine="480" w:firstLineChars="200"/>
        <w:rPr>
          <w:rFonts w:hint="default"/>
          <w:lang w:val="en-US" w:eastAsia="zh-CN"/>
        </w:rPr>
      </w:pPr>
      <w:r>
        <w:rPr>
          <w:rFonts w:hint="eastAsia" w:ascii="宋体" w:hAnsi="宋体"/>
          <w:lang w:val="en-US" w:eastAsia="zh-CN"/>
        </w:rPr>
        <w:t>按照绘制的图纸文件进行样机钣金加工，包括（钣金、喷漆等）；</w:t>
      </w:r>
    </w:p>
    <w:p>
      <w:pPr>
        <w:numPr>
          <w:ilvl w:val="0"/>
          <w:numId w:val="2"/>
        </w:numPr>
        <w:ind w:left="400" w:leftChars="0" w:firstLine="480" w:firstLineChars="200"/>
        <w:rPr>
          <w:rFonts w:hint="default" w:ascii="宋体" w:hAnsi="宋体"/>
          <w:lang w:val="en-US" w:eastAsia="zh-CN"/>
        </w:rPr>
      </w:pPr>
      <w:r>
        <w:rPr>
          <w:rFonts w:hint="eastAsia" w:ascii="宋体" w:hAnsi="宋体"/>
          <w:lang w:val="en-US" w:eastAsia="zh-CN"/>
        </w:rPr>
        <w:t>按照国家标准对加工的样机进行检测；</w:t>
      </w:r>
    </w:p>
    <w:p>
      <w:pPr>
        <w:numPr>
          <w:ilvl w:val="0"/>
          <w:numId w:val="2"/>
        </w:numPr>
        <w:ind w:left="400" w:leftChars="0" w:firstLine="480" w:firstLineChars="200"/>
        <w:rPr>
          <w:rFonts w:hint="default" w:ascii="宋体" w:hAnsi="宋体"/>
          <w:lang w:val="en-US" w:eastAsia="zh-CN"/>
        </w:rPr>
      </w:pPr>
      <w:r>
        <w:rPr>
          <w:rFonts w:hint="eastAsia" w:ascii="宋体" w:hAnsi="宋体"/>
          <w:lang w:val="en-US" w:eastAsia="zh-CN"/>
        </w:rPr>
        <w:t>样机的安装试运行。</w:t>
      </w:r>
    </w:p>
    <w:p>
      <w:pPr>
        <w:pStyle w:val="4"/>
        <w:numPr>
          <w:ilvl w:val="0"/>
          <w:numId w:val="1"/>
        </w:numPr>
        <w:ind w:left="0" w:leftChars="0" w:firstLine="420" w:firstLineChars="0"/>
        <w:rPr>
          <w:rFonts w:hint="eastAsia"/>
        </w:rPr>
      </w:pPr>
      <w:bookmarkStart w:id="4" w:name="_Toc480800900"/>
      <w:bookmarkStart w:id="5" w:name="_Toc23830"/>
      <w:bookmarkStart w:id="6" w:name="_Toc205543260"/>
      <w:r>
        <w:rPr>
          <w:rFonts w:hint="eastAsia"/>
        </w:rPr>
        <w:t>供应商资质要求</w:t>
      </w:r>
      <w:bookmarkStart w:id="7" w:name="_Toc19695"/>
    </w:p>
    <w:p>
      <w:pPr>
        <w:pStyle w:val="4"/>
        <w:numPr>
          <w:ilvl w:val="0"/>
          <w:numId w:val="3"/>
        </w:numPr>
        <w:tabs>
          <w:tab w:val="clear" w:pos="312"/>
        </w:tabs>
        <w:ind w:left="420" w:leftChars="0" w:firstLine="480" w:firstLineChars="200"/>
        <w:rPr>
          <w:rFonts w:hint="eastAsia" w:ascii="宋体" w:hAnsi="宋体" w:eastAsia="宋体" w:cs="Times New Roman"/>
          <w:b w:val="0"/>
          <w:bCs w:val="0"/>
          <w:sz w:val="24"/>
          <w:szCs w:val="20"/>
          <w:lang w:val="en-US" w:eastAsia="zh-CN" w:bidi="ar-SA"/>
        </w:rPr>
      </w:pPr>
      <w:r>
        <w:rPr>
          <w:rFonts w:hint="eastAsia" w:ascii="宋体" w:hAnsi="宋体" w:eastAsia="宋体" w:cs="Times New Roman"/>
          <w:b w:val="0"/>
          <w:bCs w:val="0"/>
          <w:sz w:val="24"/>
          <w:szCs w:val="20"/>
          <w:lang w:val="en-US" w:eastAsia="zh-CN" w:bidi="ar-SA"/>
        </w:rPr>
        <w:t>在中华人民共和国境内注册，持有合法</w:t>
      </w:r>
      <w:bookmarkStart w:id="8" w:name="_GoBack"/>
      <w:bookmarkEnd w:id="8"/>
      <w:r>
        <w:rPr>
          <w:rFonts w:hint="eastAsia" w:ascii="宋体" w:hAnsi="宋体" w:eastAsia="宋体" w:cs="Times New Roman"/>
          <w:b w:val="0"/>
          <w:bCs w:val="0"/>
          <w:sz w:val="24"/>
          <w:szCs w:val="20"/>
          <w:lang w:val="en-US" w:eastAsia="zh-CN" w:bidi="ar-SA"/>
        </w:rPr>
        <w:t>有效的营业执照。</w:t>
      </w:r>
    </w:p>
    <w:p>
      <w:pPr>
        <w:pStyle w:val="4"/>
        <w:numPr>
          <w:ilvl w:val="0"/>
          <w:numId w:val="3"/>
        </w:numPr>
        <w:tabs>
          <w:tab w:val="clear" w:pos="312"/>
        </w:tabs>
        <w:ind w:left="420" w:leftChars="0" w:firstLine="480" w:firstLineChars="200"/>
        <w:rPr>
          <w:rFonts w:hint="eastAsia" w:ascii="宋体" w:hAnsi="宋体" w:eastAsia="宋体" w:cs="Times New Roman"/>
          <w:b w:val="0"/>
          <w:bCs w:val="0"/>
          <w:sz w:val="24"/>
          <w:szCs w:val="20"/>
          <w:lang w:val="en-US" w:eastAsia="zh-CN" w:bidi="ar-SA"/>
        </w:rPr>
      </w:pPr>
      <w:r>
        <w:rPr>
          <w:rFonts w:hint="eastAsia" w:ascii="宋体" w:hAnsi="宋体" w:eastAsia="宋体" w:cs="Times New Roman"/>
          <w:b w:val="0"/>
          <w:bCs w:val="0"/>
          <w:sz w:val="24"/>
          <w:szCs w:val="20"/>
          <w:lang w:val="en-US" w:eastAsia="zh-CN" w:bidi="ar-SA"/>
        </w:rPr>
        <w:t>具有独立承担民事责任能力、独立承担采购项目的能力和独立履行合同的能力</w:t>
      </w:r>
      <w:r>
        <w:rPr>
          <w:rFonts w:hint="eastAsia" w:cs="Times New Roman"/>
          <w:b w:val="0"/>
          <w:bCs w:val="0"/>
          <w:sz w:val="24"/>
          <w:szCs w:val="20"/>
          <w:lang w:val="en-US" w:eastAsia="zh-CN" w:bidi="ar-SA"/>
        </w:rPr>
        <w:t>。</w:t>
      </w:r>
    </w:p>
    <w:p>
      <w:pPr>
        <w:pStyle w:val="4"/>
        <w:numPr>
          <w:ilvl w:val="0"/>
          <w:numId w:val="3"/>
        </w:numPr>
        <w:tabs>
          <w:tab w:val="clear" w:pos="312"/>
        </w:tabs>
        <w:ind w:left="420" w:leftChars="0" w:firstLine="480" w:firstLineChars="200"/>
        <w:rPr>
          <w:rFonts w:hint="eastAsia" w:ascii="宋体" w:hAnsi="宋体" w:eastAsia="宋体" w:cs="Times New Roman"/>
          <w:b w:val="0"/>
          <w:bCs w:val="0"/>
          <w:sz w:val="24"/>
          <w:szCs w:val="20"/>
          <w:lang w:val="en-US" w:eastAsia="zh-CN" w:bidi="ar-SA"/>
        </w:rPr>
      </w:pPr>
      <w:r>
        <w:rPr>
          <w:rFonts w:hint="eastAsia" w:ascii="宋体" w:hAnsi="宋体" w:eastAsia="宋体" w:cs="Times New Roman"/>
          <w:b w:val="0"/>
          <w:bCs w:val="0"/>
          <w:sz w:val="24"/>
          <w:szCs w:val="20"/>
          <w:lang w:val="en-US" w:eastAsia="zh-CN" w:bidi="ar-SA"/>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cs="Times New Roman"/>
          <w:b w:val="0"/>
          <w:bCs w:val="0"/>
          <w:sz w:val="24"/>
          <w:szCs w:val="20"/>
          <w:lang w:val="en-US" w:eastAsia="zh-CN" w:bidi="ar-SA"/>
        </w:rPr>
        <w:t>。</w:t>
      </w:r>
    </w:p>
    <w:p>
      <w:pPr>
        <w:pStyle w:val="4"/>
        <w:numPr>
          <w:ilvl w:val="0"/>
          <w:numId w:val="1"/>
        </w:numPr>
        <w:ind w:left="0" w:leftChars="0" w:firstLine="420" w:firstLineChars="0"/>
        <w:rPr>
          <w:rFonts w:hint="eastAsia"/>
          <w:lang w:val="en-US" w:eastAsia="zh-CN"/>
        </w:rPr>
      </w:pPr>
      <w:r>
        <w:rPr>
          <w:rFonts w:hint="eastAsia"/>
          <w:lang w:val="en-US" w:eastAsia="zh-CN"/>
        </w:rPr>
        <w:t>技术指标要求</w:t>
      </w:r>
      <w:bookmarkEnd w:id="7"/>
      <w:r>
        <w:rPr>
          <w:rFonts w:hint="eastAsia"/>
          <w:lang w:val="en-US" w:eastAsia="zh-CN"/>
        </w:rPr>
        <w:t>。</w:t>
      </w:r>
    </w:p>
    <w:p>
      <w:pPr>
        <w:numPr>
          <w:ilvl w:val="0"/>
          <w:numId w:val="4"/>
        </w:numPr>
        <w:spacing w:before="0" w:beforeAutospacing="0" w:after="0" w:afterAutospacing="0" w:line="540" w:lineRule="exact"/>
        <w:ind w:left="225" w:leftChars="0" w:firstLine="735" w:firstLineChars="0"/>
        <w:rPr>
          <w:rFonts w:ascii="宋体" w:hAnsi="宋体" w:cs="宋体"/>
          <w:color w:val="000000"/>
          <w:kern w:val="2"/>
          <w:szCs w:val="24"/>
        </w:rPr>
      </w:pPr>
      <w:r>
        <w:rPr>
          <w:rFonts w:hint="eastAsia" w:ascii="宋体" w:hAnsi="宋体" w:cs="宋体"/>
          <w:color w:val="000000"/>
          <w:kern w:val="2"/>
          <w:szCs w:val="24"/>
        </w:rPr>
        <w:t>外壳材质：铝合金</w:t>
      </w:r>
      <w:r>
        <w:rPr>
          <w:rFonts w:hint="eastAsia" w:ascii="宋体" w:hAnsi="宋体" w:cs="宋体"/>
          <w:color w:val="000000"/>
          <w:kern w:val="2"/>
          <w:szCs w:val="24"/>
          <w:lang w:eastAsia="zh-CN"/>
        </w:rPr>
        <w:t>、钣金、工程塑料</w:t>
      </w:r>
      <w:r>
        <w:rPr>
          <w:rFonts w:hint="eastAsia" w:ascii="宋体" w:hAnsi="宋体" w:cs="宋体"/>
          <w:color w:val="000000"/>
          <w:kern w:val="2"/>
          <w:szCs w:val="24"/>
        </w:rPr>
        <w:t xml:space="preserve">；       </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hint="eastAsia" w:ascii="宋体" w:hAnsi="宋体" w:cs="宋体"/>
          <w:color w:val="000000"/>
          <w:kern w:val="2"/>
          <w:szCs w:val="24"/>
          <w:lang w:val="en-US" w:eastAsia="zh-CN"/>
        </w:rPr>
        <w:t>使用南方电网广西电科院研制的“伏羲PQ”电能质量芯片空开</w:t>
      </w:r>
      <w:r>
        <w:rPr>
          <w:rFonts w:hint="eastAsia" w:ascii="宋体" w:hAnsi="宋体" w:cs="宋体"/>
          <w:color w:val="000000"/>
          <w:kern w:val="2"/>
          <w:szCs w:val="24"/>
        </w:rPr>
        <w:t>。</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额定功率</w:t>
      </w:r>
      <w:r>
        <w:rPr>
          <w:rFonts w:hint="eastAsia" w:ascii="宋体" w:hAnsi="宋体" w:cs="宋体"/>
          <w:sz w:val="24"/>
          <w:szCs w:val="24"/>
          <w:lang w:val="en-US" w:eastAsia="zh-CN"/>
        </w:rPr>
        <w:t>：</w:t>
      </w:r>
      <w:r>
        <w:rPr>
          <w:rFonts w:ascii="宋体" w:hAnsi="宋体" w:eastAsia="宋体" w:cs="宋体"/>
          <w:sz w:val="24"/>
          <w:szCs w:val="24"/>
        </w:rPr>
        <w:t>14</w:t>
      </w:r>
      <w:r>
        <w:rPr>
          <w:rFonts w:hint="eastAsia" w:ascii="宋体" w:hAnsi="宋体" w:cs="宋体"/>
          <w:sz w:val="24"/>
          <w:szCs w:val="24"/>
          <w:lang w:val="en-US" w:eastAsia="zh-CN"/>
        </w:rPr>
        <w:t>k</w:t>
      </w:r>
      <w:r>
        <w:rPr>
          <w:rFonts w:ascii="宋体" w:hAnsi="宋体" w:eastAsia="宋体" w:cs="宋体"/>
          <w:sz w:val="24"/>
          <w:szCs w:val="24"/>
        </w:rPr>
        <w:t>W</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工作电压</w:t>
      </w:r>
      <w:r>
        <w:rPr>
          <w:rFonts w:hint="eastAsia" w:ascii="宋体" w:hAnsi="宋体" w:cs="宋体"/>
          <w:sz w:val="24"/>
          <w:szCs w:val="24"/>
          <w:lang w:eastAsia="zh-CN"/>
        </w:rPr>
        <w:t>：</w:t>
      </w:r>
      <w:r>
        <w:rPr>
          <w:rFonts w:ascii="宋体" w:hAnsi="宋体" w:eastAsia="宋体" w:cs="宋体"/>
          <w:sz w:val="24"/>
          <w:szCs w:val="24"/>
        </w:rPr>
        <w:t>交流220V（单相三线制）</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电压波动</w:t>
      </w:r>
      <w:r>
        <w:rPr>
          <w:rFonts w:hint="eastAsia" w:ascii="宋体" w:hAnsi="宋体" w:cs="宋体"/>
          <w:sz w:val="24"/>
          <w:szCs w:val="24"/>
          <w:lang w:eastAsia="zh-CN"/>
        </w:rPr>
        <w:t>：不超过</w:t>
      </w:r>
      <w:r>
        <w:rPr>
          <w:rFonts w:ascii="宋体" w:hAnsi="宋体" w:eastAsia="宋体" w:cs="宋体"/>
          <w:sz w:val="24"/>
          <w:szCs w:val="24"/>
        </w:rPr>
        <w:t>20%</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输出电流</w:t>
      </w:r>
      <w:r>
        <w:rPr>
          <w:rFonts w:hint="eastAsia" w:ascii="宋体" w:hAnsi="宋体" w:cs="宋体"/>
          <w:sz w:val="24"/>
          <w:szCs w:val="24"/>
          <w:lang w:eastAsia="zh-CN"/>
        </w:rPr>
        <w:t>：</w:t>
      </w:r>
      <w:r>
        <w:rPr>
          <w:rFonts w:ascii="宋体" w:hAnsi="宋体" w:eastAsia="宋体" w:cs="宋体"/>
          <w:sz w:val="24"/>
          <w:szCs w:val="24"/>
        </w:rPr>
        <w:t>32A</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工作频率</w:t>
      </w:r>
      <w:r>
        <w:rPr>
          <w:rFonts w:hint="eastAsia" w:ascii="宋体" w:hAnsi="宋体" w:cs="宋体"/>
          <w:sz w:val="24"/>
          <w:szCs w:val="24"/>
          <w:lang w:eastAsia="zh-CN"/>
        </w:rPr>
        <w:t>：</w:t>
      </w:r>
      <w:r>
        <w:rPr>
          <w:rFonts w:ascii="宋体" w:hAnsi="宋体" w:eastAsia="宋体" w:cs="宋体"/>
          <w:sz w:val="24"/>
          <w:szCs w:val="24"/>
        </w:rPr>
        <w:t>50HZ±1HZ</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工作温度</w:t>
      </w:r>
      <w:r>
        <w:rPr>
          <w:rFonts w:hint="eastAsia" w:ascii="宋体" w:hAnsi="宋体" w:cs="宋体"/>
          <w:sz w:val="24"/>
          <w:szCs w:val="24"/>
          <w:lang w:eastAsia="zh-CN"/>
        </w:rPr>
        <w:t>：</w:t>
      </w:r>
      <w:r>
        <w:rPr>
          <w:rFonts w:ascii="宋体" w:hAnsi="宋体" w:eastAsia="宋体" w:cs="宋体"/>
          <w:sz w:val="24"/>
          <w:szCs w:val="24"/>
        </w:rPr>
        <w:t>-20℃~+50℃</w:t>
      </w:r>
      <w:r>
        <w:rPr>
          <w:rFonts w:hint="eastAsia" w:ascii="宋体" w:hAnsi="宋体" w:cs="宋体"/>
          <w:sz w:val="24"/>
          <w:szCs w:val="24"/>
          <w:lang w:eastAsia="zh-CN"/>
        </w:rPr>
        <w:t>、</w:t>
      </w:r>
      <w:r>
        <w:rPr>
          <w:rFonts w:ascii="宋体" w:hAnsi="宋体" w:eastAsia="宋体" w:cs="宋体"/>
          <w:sz w:val="24"/>
          <w:szCs w:val="24"/>
        </w:rPr>
        <w:t>相对湿度5%~95%</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交互功能</w:t>
      </w:r>
      <w:r>
        <w:rPr>
          <w:rFonts w:hint="eastAsia" w:ascii="宋体" w:hAnsi="宋体" w:cs="宋体"/>
          <w:sz w:val="24"/>
          <w:szCs w:val="24"/>
          <w:lang w:eastAsia="zh-CN"/>
        </w:rPr>
        <w:t>：</w:t>
      </w:r>
      <w:r>
        <w:rPr>
          <w:rFonts w:ascii="宋体" w:hAnsi="宋体" w:eastAsia="宋体" w:cs="宋体"/>
          <w:sz w:val="24"/>
          <w:szCs w:val="24"/>
        </w:rPr>
        <w:t>灯语+屏幕+语音播报</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保护功能</w:t>
      </w:r>
      <w:r>
        <w:rPr>
          <w:rFonts w:hint="eastAsia" w:ascii="宋体" w:hAnsi="宋体" w:cs="宋体"/>
          <w:sz w:val="24"/>
          <w:szCs w:val="24"/>
          <w:lang w:eastAsia="zh-CN"/>
        </w:rPr>
        <w:t>：</w:t>
      </w:r>
      <w:r>
        <w:rPr>
          <w:rFonts w:ascii="宋体" w:hAnsi="宋体" w:eastAsia="宋体" w:cs="宋体"/>
          <w:sz w:val="24"/>
          <w:szCs w:val="24"/>
        </w:rPr>
        <w:t>温度、过压、欠压、过流、接地检测、防浪涌等保护</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交互液晶屏接口</w:t>
      </w:r>
      <w:r>
        <w:rPr>
          <w:rFonts w:hint="eastAsia" w:ascii="宋体" w:hAnsi="宋体" w:cs="宋体"/>
          <w:sz w:val="24"/>
          <w:szCs w:val="24"/>
          <w:lang w:eastAsia="zh-CN"/>
        </w:rPr>
        <w:t>：</w:t>
      </w:r>
      <w:r>
        <w:rPr>
          <w:rFonts w:ascii="宋体" w:hAnsi="宋体" w:eastAsia="宋体" w:cs="宋体"/>
          <w:sz w:val="24"/>
          <w:szCs w:val="24"/>
        </w:rPr>
        <w:t>支持外接4.3、7、8英寸显示屏幕</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充电方式</w:t>
      </w:r>
      <w:r>
        <w:rPr>
          <w:rFonts w:hint="eastAsia" w:ascii="宋体" w:hAnsi="宋体" w:cs="宋体"/>
          <w:sz w:val="24"/>
          <w:szCs w:val="24"/>
          <w:lang w:eastAsia="zh-CN"/>
        </w:rPr>
        <w:t>：</w:t>
      </w:r>
      <w:r>
        <w:rPr>
          <w:rFonts w:ascii="宋体" w:hAnsi="宋体" w:eastAsia="宋体" w:cs="宋体"/>
          <w:sz w:val="24"/>
          <w:szCs w:val="24"/>
        </w:rPr>
        <w:t>可选择充满自停、按电量、按时间、按金额等多种</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充电枪接口</w:t>
      </w:r>
      <w:r>
        <w:rPr>
          <w:rFonts w:hint="eastAsia" w:ascii="宋体" w:hAnsi="宋体" w:cs="宋体"/>
          <w:sz w:val="24"/>
          <w:szCs w:val="24"/>
          <w:lang w:eastAsia="zh-CN"/>
        </w:rPr>
        <w:t>：</w:t>
      </w:r>
      <w:r>
        <w:rPr>
          <w:rFonts w:ascii="宋体" w:hAnsi="宋体" w:eastAsia="宋体" w:cs="宋体"/>
          <w:sz w:val="24"/>
          <w:szCs w:val="24"/>
        </w:rPr>
        <w:t>适用于各类国标设计电动车接口，通用性强</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无线通信</w:t>
      </w:r>
      <w:r>
        <w:rPr>
          <w:rFonts w:hint="eastAsia" w:ascii="宋体" w:hAnsi="宋体" w:cs="宋体"/>
          <w:sz w:val="24"/>
          <w:szCs w:val="24"/>
          <w:lang w:eastAsia="zh-CN"/>
        </w:rPr>
        <w:t>：</w:t>
      </w:r>
      <w:r>
        <w:rPr>
          <w:rFonts w:ascii="宋体" w:hAnsi="宋体" w:eastAsia="宋体" w:cs="宋体"/>
          <w:sz w:val="24"/>
          <w:szCs w:val="24"/>
        </w:rPr>
        <w:t>4G</w:t>
      </w:r>
      <w:r>
        <w:rPr>
          <w:rFonts w:hint="eastAsia" w:ascii="宋体" w:hAnsi="宋体" w:cs="宋体"/>
          <w:sz w:val="24"/>
          <w:szCs w:val="24"/>
          <w:lang w:eastAsia="zh-CN"/>
        </w:rPr>
        <w:t>、</w:t>
      </w:r>
      <w:r>
        <w:rPr>
          <w:rFonts w:ascii="宋体" w:hAnsi="宋体" w:eastAsia="宋体" w:cs="宋体"/>
          <w:sz w:val="24"/>
          <w:szCs w:val="24"/>
        </w:rPr>
        <w:t>CAT.1模组轻松对接云平台</w:t>
      </w:r>
    </w:p>
    <w:p>
      <w:pPr>
        <w:numPr>
          <w:ilvl w:val="0"/>
          <w:numId w:val="4"/>
        </w:numPr>
        <w:spacing w:before="0" w:beforeAutospacing="0" w:after="0" w:afterAutospacing="0" w:line="540" w:lineRule="exact"/>
        <w:ind w:left="25" w:leftChars="0" w:firstLine="935" w:firstLineChars="0"/>
        <w:rPr>
          <w:rFonts w:ascii="宋体" w:hAnsi="宋体" w:cs="宋体"/>
          <w:color w:val="000000"/>
          <w:kern w:val="2"/>
          <w:szCs w:val="24"/>
        </w:rPr>
      </w:pPr>
      <w:r>
        <w:rPr>
          <w:rFonts w:ascii="宋体" w:hAnsi="宋体" w:eastAsia="宋体" w:cs="宋体"/>
          <w:sz w:val="24"/>
          <w:szCs w:val="24"/>
        </w:rPr>
        <w:t>计量方式</w:t>
      </w:r>
      <w:r>
        <w:rPr>
          <w:rFonts w:hint="eastAsia" w:ascii="宋体" w:hAnsi="宋体" w:cs="宋体"/>
          <w:sz w:val="24"/>
          <w:szCs w:val="24"/>
          <w:lang w:eastAsia="zh-CN"/>
        </w:rPr>
        <w:t>：</w:t>
      </w:r>
      <w:r>
        <w:rPr>
          <w:rFonts w:ascii="宋体" w:hAnsi="宋体" w:eastAsia="宋体" w:cs="宋体"/>
          <w:sz w:val="24"/>
          <w:szCs w:val="24"/>
        </w:rPr>
        <w:t>485表计或板载计量</w:t>
      </w:r>
    </w:p>
    <w:p>
      <w:pPr>
        <w:numPr>
          <w:ilvl w:val="0"/>
          <w:numId w:val="4"/>
        </w:numPr>
        <w:spacing w:before="0" w:beforeAutospacing="0" w:after="0" w:afterAutospacing="0" w:line="540" w:lineRule="exact"/>
        <w:ind w:left="25" w:leftChars="0" w:firstLine="935" w:firstLineChars="0"/>
        <w:rPr>
          <w:rFonts w:hint="eastAsia" w:ascii="宋体" w:hAnsi="宋体" w:eastAsia="宋体" w:cs="宋体"/>
          <w:b/>
          <w:bCs/>
          <w:sz w:val="28"/>
          <w:szCs w:val="24"/>
          <w:lang w:val="en-US" w:eastAsia="zh-CN" w:bidi="ar-SA"/>
        </w:rPr>
      </w:pPr>
      <w:r>
        <w:rPr>
          <w:rFonts w:hint="eastAsia" w:ascii="宋体" w:hAnsi="宋体" w:cs="宋体"/>
          <w:color w:val="000000"/>
          <w:szCs w:val="21"/>
        </w:rPr>
        <w:t>符合</w:t>
      </w:r>
      <w:r>
        <w:rPr>
          <w:rFonts w:ascii="宋体" w:hAnsi="宋体" w:eastAsia="宋体" w:cs="宋体"/>
          <w:sz w:val="24"/>
          <w:szCs w:val="24"/>
        </w:rPr>
        <w:t>国标GBT18487.1-2023</w:t>
      </w:r>
      <w:r>
        <w:rPr>
          <w:rFonts w:hint="eastAsia" w:ascii="宋体" w:hAnsi="宋体" w:eastAsia="宋体" w:cs="宋体"/>
          <w:sz w:val="24"/>
          <w:szCs w:val="24"/>
          <w:lang w:eastAsia="zh-CN"/>
        </w:rPr>
        <w:t>的所有要求</w:t>
      </w:r>
      <w:r>
        <w:rPr>
          <w:rFonts w:hint="eastAsia" w:ascii="宋体" w:hAnsi="宋体" w:cs="宋体"/>
          <w:color w:val="000000"/>
          <w:szCs w:val="21"/>
        </w:rPr>
        <w:t>。</w:t>
      </w:r>
      <w:bookmarkEnd w:id="0"/>
      <w:bookmarkEnd w:id="4"/>
      <w:bookmarkEnd w:id="5"/>
      <w:bookmarkEnd w:id="6"/>
    </w:p>
    <w:p>
      <w:pPr>
        <w:numPr>
          <w:ilvl w:val="0"/>
          <w:numId w:val="1"/>
        </w:numPr>
        <w:spacing w:before="0" w:beforeAutospacing="0" w:after="0" w:afterAutospacing="0" w:line="540" w:lineRule="exact"/>
        <w:ind w:left="0" w:leftChars="0" w:firstLine="420" w:firstLineChars="0"/>
        <w:rPr>
          <w:rFonts w:hint="eastAsia" w:ascii="宋体" w:hAnsi="宋体" w:eastAsia="宋体" w:cs="宋体"/>
          <w:b/>
          <w:bCs/>
          <w:sz w:val="28"/>
          <w:szCs w:val="24"/>
          <w:lang w:val="en-US" w:eastAsia="zh-CN" w:bidi="ar-SA"/>
        </w:rPr>
      </w:pPr>
      <w:r>
        <w:rPr>
          <w:rFonts w:hint="eastAsia" w:ascii="宋体" w:hAnsi="宋体" w:eastAsia="宋体" w:cs="宋体"/>
          <w:b/>
          <w:bCs/>
          <w:sz w:val="28"/>
          <w:szCs w:val="24"/>
          <w:lang w:val="en-US" w:eastAsia="zh-CN" w:bidi="ar-SA"/>
        </w:rPr>
        <w:t>其他要求：</w:t>
      </w:r>
    </w:p>
    <w:p>
      <w:pPr>
        <w:numPr>
          <w:ilvl w:val="0"/>
          <w:numId w:val="5"/>
        </w:numPr>
        <w:spacing w:before="0" w:beforeAutospacing="0" w:after="0" w:afterAutospacing="0" w:line="540" w:lineRule="exact"/>
        <w:ind w:left="420" w:leftChars="0" w:firstLine="540" w:firstLineChars="225"/>
        <w:rPr>
          <w:rFonts w:hint="eastAsia" w:ascii="宋体" w:hAnsi="宋体" w:eastAsia="宋体" w:cs="宋体"/>
          <w:sz w:val="24"/>
          <w:szCs w:val="24"/>
        </w:rPr>
      </w:pPr>
      <w:r>
        <w:rPr>
          <w:rFonts w:hint="eastAsia" w:ascii="宋体" w:hAnsi="宋体" w:cs="宋体"/>
          <w:sz w:val="24"/>
          <w:szCs w:val="24"/>
          <w:lang w:eastAsia="zh-CN"/>
        </w:rPr>
        <w:t>服</w:t>
      </w:r>
      <w:r>
        <w:rPr>
          <w:rFonts w:hint="eastAsia" w:ascii="宋体" w:hAnsi="宋体" w:eastAsia="宋体" w:cs="宋体"/>
          <w:sz w:val="24"/>
          <w:szCs w:val="24"/>
        </w:rPr>
        <w:t>务单位应明确项目负责人及其联系方式，并告知采购方项目负责人。</w:t>
      </w:r>
    </w:p>
    <w:p>
      <w:pPr>
        <w:numPr>
          <w:ilvl w:val="0"/>
          <w:numId w:val="5"/>
        </w:numPr>
        <w:spacing w:before="0" w:beforeAutospacing="0" w:after="0" w:afterAutospacing="0" w:line="540" w:lineRule="exact"/>
        <w:ind w:left="420" w:leftChars="0" w:firstLine="540" w:firstLineChars="225"/>
        <w:rPr>
          <w:rFonts w:ascii="宋体" w:hAnsi="宋体" w:eastAsia="宋体" w:cs="宋体"/>
          <w:sz w:val="24"/>
          <w:szCs w:val="24"/>
        </w:rPr>
      </w:pPr>
      <w:r>
        <w:rPr>
          <w:rFonts w:hint="eastAsia" w:ascii="宋体" w:hAnsi="宋体" w:eastAsia="宋体" w:cs="宋体"/>
          <w:sz w:val="24"/>
          <w:szCs w:val="24"/>
        </w:rPr>
        <w:t>服务单位应在规定时间内完成本协议的工作内容，并符合国家相关规范和建设单位的使用要求。</w:t>
      </w:r>
    </w:p>
    <w:p>
      <w:pPr>
        <w:numPr>
          <w:ilvl w:val="0"/>
          <w:numId w:val="5"/>
        </w:numPr>
        <w:spacing w:before="0" w:beforeAutospacing="0" w:after="0" w:afterAutospacing="0" w:line="540" w:lineRule="exact"/>
        <w:ind w:left="420" w:leftChars="0" w:firstLine="540" w:firstLineChars="225"/>
        <w:rPr>
          <w:rFonts w:ascii="宋体" w:hAnsi="宋体" w:eastAsia="宋体" w:cs="宋体"/>
          <w:sz w:val="24"/>
          <w:szCs w:val="24"/>
        </w:rPr>
      </w:pPr>
      <w:r>
        <w:rPr>
          <w:rFonts w:hint="eastAsia" w:ascii="宋体" w:hAnsi="宋体" w:eastAsia="宋体" w:cs="宋体"/>
          <w:sz w:val="24"/>
          <w:szCs w:val="24"/>
        </w:rPr>
        <w:t>本项目的结算方式为“总价包干”。</w:t>
      </w:r>
    </w:p>
    <w:p/>
    <w:p/>
    <w:p/>
    <w:sectPr>
      <w:footerReference r:id="rId5" w:type="default"/>
      <w:pgSz w:w="11906" w:h="16838"/>
      <w:pgMar w:top="1474" w:right="1134" w:bottom="1134" w:left="1418" w:header="1134" w:footer="107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方正小标宋_GBK">
    <w:panose1 w:val="03000509000000000000"/>
    <w:charset w:val="86"/>
    <w:family w:val="auto"/>
    <w:pitch w:val="default"/>
    <w:sig w:usb0="00000001" w:usb1="080E0000" w:usb2="00000000" w:usb3="00000000" w:csb0="00040000"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10"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 PAGE   \* MERGEFORMAT </w:instrText>
    </w:r>
    <w:r>
      <w:fldChar w:fldCharType="separate"/>
    </w:r>
    <w:r>
      <w:rPr>
        <w:lang w:val="zh-CN"/>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86248A"/>
    <w:multiLevelType w:val="singleLevel"/>
    <w:tmpl w:val="9886248A"/>
    <w:lvl w:ilvl="0" w:tentative="0">
      <w:start w:val="1"/>
      <w:numFmt w:val="decimal"/>
      <w:lvlText w:val="%1."/>
      <w:lvlJc w:val="left"/>
      <w:pPr>
        <w:tabs>
          <w:tab w:val="left" w:pos="312"/>
        </w:tabs>
      </w:pPr>
    </w:lvl>
  </w:abstractNum>
  <w:abstractNum w:abstractNumId="1">
    <w:nsid w:val="E9732EDA"/>
    <w:multiLevelType w:val="singleLevel"/>
    <w:tmpl w:val="E9732EDA"/>
    <w:lvl w:ilvl="0" w:tentative="0">
      <w:start w:val="1"/>
      <w:numFmt w:val="decimal"/>
      <w:lvlText w:val="%1."/>
      <w:lvlJc w:val="left"/>
      <w:pPr>
        <w:tabs>
          <w:tab w:val="left" w:pos="312"/>
        </w:tabs>
      </w:pPr>
    </w:lvl>
  </w:abstractNum>
  <w:abstractNum w:abstractNumId="2">
    <w:nsid w:val="FB656EE4"/>
    <w:multiLevelType w:val="singleLevel"/>
    <w:tmpl w:val="FB656EE4"/>
    <w:lvl w:ilvl="0" w:tentative="0">
      <w:start w:val="1"/>
      <w:numFmt w:val="chineseCounting"/>
      <w:suff w:val="nothing"/>
      <w:lvlText w:val="（%1）"/>
      <w:lvlJc w:val="left"/>
      <w:pPr>
        <w:ind w:left="0" w:firstLine="420"/>
      </w:pPr>
      <w:rPr>
        <w:rFonts w:hint="eastAsia"/>
      </w:rPr>
    </w:lvl>
  </w:abstractNum>
  <w:abstractNum w:abstractNumId="3">
    <w:nsid w:val="2F095912"/>
    <w:multiLevelType w:val="singleLevel"/>
    <w:tmpl w:val="2F095912"/>
    <w:lvl w:ilvl="0" w:tentative="0">
      <w:start w:val="1"/>
      <w:numFmt w:val="decimal"/>
      <w:lvlText w:val="%1."/>
      <w:lvlJc w:val="left"/>
      <w:pPr>
        <w:tabs>
          <w:tab w:val="left" w:pos="312"/>
        </w:tabs>
      </w:pPr>
    </w:lvl>
  </w:abstractNum>
  <w:abstractNum w:abstractNumId="4">
    <w:nsid w:val="4FF1F240"/>
    <w:multiLevelType w:val="singleLevel"/>
    <w:tmpl w:val="4FF1F240"/>
    <w:lvl w:ilvl="0" w:tentative="0">
      <w:start w:val="1"/>
      <w:numFmt w:val="decimal"/>
      <w:suff w:val="nothing"/>
      <w:lvlText w:val="%1．"/>
      <w:lvlJc w:val="left"/>
      <w:pPr>
        <w:ind w:left="25" w:firstLine="400"/>
      </w:pPr>
      <w:rPr>
        <w:rFonts w:hint="default"/>
        <w:b w:val="0"/>
        <w:bCs w:val="0"/>
        <w:sz w:val="20"/>
        <w:szCs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NGQ4Yzg2NjQ1MDZjMWM2OTc5ZjgxYmUxNzRhZTAifQ=="/>
  </w:docVars>
  <w:rsids>
    <w:rsidRoot w:val="2F43059D"/>
    <w:rsid w:val="00565F6E"/>
    <w:rsid w:val="00610E1A"/>
    <w:rsid w:val="00E128BA"/>
    <w:rsid w:val="00F35C9C"/>
    <w:rsid w:val="03866352"/>
    <w:rsid w:val="0B16075D"/>
    <w:rsid w:val="0C533633"/>
    <w:rsid w:val="0CAB336F"/>
    <w:rsid w:val="19741C88"/>
    <w:rsid w:val="1B29692D"/>
    <w:rsid w:val="20A73C6F"/>
    <w:rsid w:val="256A1315"/>
    <w:rsid w:val="258E70E1"/>
    <w:rsid w:val="25D235CE"/>
    <w:rsid w:val="2826618E"/>
    <w:rsid w:val="2F43059D"/>
    <w:rsid w:val="2FC46EA0"/>
    <w:rsid w:val="32067DEF"/>
    <w:rsid w:val="33F87C9A"/>
    <w:rsid w:val="38ED3A6E"/>
    <w:rsid w:val="3A2B35BD"/>
    <w:rsid w:val="4D813E5E"/>
    <w:rsid w:val="59152109"/>
    <w:rsid w:val="598D6DCE"/>
    <w:rsid w:val="6F904BDE"/>
    <w:rsid w:val="7D1D6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1"/>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9"/>
    <w:pPr>
      <w:keepNext/>
      <w:keepLines/>
      <w:tabs>
        <w:tab w:val="left" w:pos="0"/>
      </w:tabs>
      <w:outlineLvl w:val="1"/>
    </w:pPr>
    <w:rPr>
      <w:rFonts w:ascii="宋体" w:hAnsi="宋体" w:cs="宋体"/>
      <w:b/>
      <w:bCs/>
      <w:sz w:val="28"/>
      <w:szCs w:val="2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1"/>
    <w:semiHidden/>
    <w:qFormat/>
    <w:uiPriority w:val="99"/>
    <w:rPr>
      <w:rFonts w:ascii="宋体"/>
      <w:sz w:val="18"/>
      <w:szCs w:val="18"/>
    </w:rPr>
  </w:style>
  <w:style w:type="paragraph" w:styleId="5">
    <w:name w:val="Body Text"/>
    <w:basedOn w:val="1"/>
    <w:next w:val="6"/>
    <w:qFormat/>
    <w:uiPriority w:val="0"/>
    <w:pPr>
      <w:spacing w:after="120" w:afterAutospacing="0"/>
    </w:p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7">
    <w:name w:val="footer"/>
    <w:basedOn w:val="1"/>
    <w:unhideWhenUsed/>
    <w:qFormat/>
    <w:uiPriority w:val="0"/>
    <w:pPr>
      <w:tabs>
        <w:tab w:val="center" w:pos="4320"/>
        <w:tab w:val="right" w:pos="8640"/>
      </w:tabs>
      <w:spacing w:before="0" w:after="0" w:line="240" w:lineRule="auto"/>
    </w:pPr>
  </w:style>
  <w:style w:type="paragraph" w:customStyle="1" w:styleId="10">
    <w:name w:val="列出段落1"/>
    <w:basedOn w:val="1"/>
    <w:qFormat/>
    <w:uiPriority w:val="34"/>
    <w:pPr>
      <w:ind w:firstLine="420" w:firstLineChars="200"/>
    </w:pPr>
  </w:style>
  <w:style w:type="character" w:customStyle="1" w:styleId="11">
    <w:name w:val="NormalCharacter"/>
    <w:link w:val="1"/>
    <w:qFormat/>
    <w:uiPriority w:val="0"/>
    <w:rPr>
      <w:rFonts w:ascii="Book Antiqua" w:hAnsi="Book Antiqua"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577</Words>
  <Characters>3294</Characters>
  <Lines>27</Lines>
  <Paragraphs>7</Paragraphs>
  <TotalTime>21</TotalTime>
  <ScaleCrop>false</ScaleCrop>
  <LinksUpToDate>false</LinksUpToDate>
  <CharactersWithSpaces>3864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2023-05-31T09:29:00Z</dcterms:created>
  <dc:creator>左边口袋</dc:creator>
  <cp:lastModifiedBy>供应链服务中心文书</cp:lastModifiedBy>
  <dcterms:modified xsi:type="dcterms:W3CDTF">2024-09-20T08:05:27Z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2764BDCF40F54F9C98F13656451EE1F8</vt:lpwstr>
  </property>
</Properties>
</file>