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新电力集团融水供电公司</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四荣、白云供电所技术业务用房项目</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使用林地可行性研究服务采购</w:t>
      </w:r>
    </w:p>
    <w:p>
      <w:pPr>
        <w:pStyle w:val="2"/>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一、项目</w:t>
      </w:r>
      <w:r>
        <w:rPr>
          <w:rFonts w:hint="eastAsia" w:asciiTheme="minorEastAsia" w:hAnsiTheme="minorEastAsia" w:eastAsiaTheme="minorEastAsia" w:cstheme="minorEastAsia"/>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融水四荣供电所技术业务用房项目：融水县四荣乡</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融水白云供电所技术业务用房项目：融水县白云乡</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二、服务内容</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广西新电力投资集团融水供电有限公司</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rPr>
        <w:t>四荣、白云</w:t>
      </w:r>
      <w:r>
        <w:rPr>
          <w:rFonts w:hint="eastAsia" w:ascii="仿宋_GB2312" w:hAnsi="仿宋_GB2312" w:eastAsia="仿宋_GB2312" w:cs="仿宋_GB2312"/>
          <w:color w:val="auto"/>
          <w:sz w:val="32"/>
          <w:szCs w:val="32"/>
          <w:highlight w:val="none"/>
          <w:lang w:val="en-US" w:eastAsia="zh-CN"/>
        </w:rPr>
        <w:t>共2个</w:t>
      </w:r>
      <w:r>
        <w:rPr>
          <w:rFonts w:hint="eastAsia" w:ascii="仿宋_GB2312" w:hAnsi="仿宋_GB2312" w:eastAsia="仿宋_GB2312" w:cs="仿宋_GB2312"/>
          <w:color w:val="auto"/>
          <w:sz w:val="32"/>
          <w:szCs w:val="32"/>
          <w:highlight w:val="none"/>
        </w:rPr>
        <w:t>供电所技术业务用房项目，需开展使用林地可行性研究</w:t>
      </w:r>
      <w:r>
        <w:rPr>
          <w:rFonts w:hint="eastAsia" w:ascii="仿宋_GB2312" w:hAnsi="仿宋_GB2312" w:eastAsia="仿宋_GB2312" w:cs="仿宋_GB2312"/>
          <w:color w:val="auto"/>
          <w:sz w:val="32"/>
          <w:szCs w:val="32"/>
          <w:highlight w:val="none"/>
          <w:lang w:val="en-US" w:eastAsia="zh-CN"/>
        </w:rPr>
        <w:t>工作</w:t>
      </w:r>
      <w:r>
        <w:rPr>
          <w:rFonts w:hint="eastAsia" w:ascii="仿宋_GB2312" w:hAnsi="仿宋_GB2312" w:eastAsia="仿宋_GB2312" w:cs="仿宋_GB2312"/>
          <w:color w:val="auto"/>
          <w:sz w:val="32"/>
          <w:szCs w:val="32"/>
          <w:highlight w:val="none"/>
        </w:rPr>
        <w:t>，编制前期专题技术服务报告，协助办理和取得具有审批权限的相关行政主管部门关于</w:t>
      </w:r>
      <w:r>
        <w:rPr>
          <w:rFonts w:hint="eastAsia" w:ascii="仿宋_GB2312" w:hAnsi="仿宋_GB2312" w:eastAsia="仿宋_GB2312" w:cs="仿宋_GB2312"/>
          <w:color w:val="auto"/>
          <w:sz w:val="32"/>
          <w:szCs w:val="32"/>
          <w:highlight w:val="none"/>
          <w:lang w:val="en-US" w:eastAsia="zh-CN"/>
        </w:rPr>
        <w:t>使用</w:t>
      </w:r>
      <w:r>
        <w:rPr>
          <w:rFonts w:hint="eastAsia" w:ascii="仿宋_GB2312" w:hAnsi="仿宋_GB2312" w:eastAsia="仿宋_GB2312" w:cs="仿宋_GB2312"/>
          <w:color w:val="auto"/>
          <w:sz w:val="32"/>
          <w:szCs w:val="32"/>
          <w:highlight w:val="none"/>
        </w:rPr>
        <w:t>林地</w:t>
      </w:r>
      <w:r>
        <w:rPr>
          <w:rFonts w:hint="eastAsia" w:ascii="仿宋_GB2312" w:hAnsi="仿宋_GB2312" w:eastAsia="仿宋_GB2312" w:cs="仿宋_GB2312"/>
          <w:color w:val="auto"/>
          <w:sz w:val="32"/>
          <w:szCs w:val="32"/>
          <w:highlight w:val="none"/>
          <w:lang w:val="en-US" w:eastAsia="zh-CN"/>
        </w:rPr>
        <w:t>许可</w:t>
      </w:r>
      <w:r>
        <w:rPr>
          <w:rFonts w:hint="eastAsia" w:ascii="仿宋_GB2312" w:hAnsi="仿宋_GB2312" w:eastAsia="仿宋_GB2312" w:cs="仿宋_GB2312"/>
          <w:color w:val="auto"/>
          <w:sz w:val="32"/>
          <w:szCs w:val="32"/>
          <w:highlight w:val="none"/>
        </w:rPr>
        <w:t>批复，确保前期手续办理合法合规。</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三、投标人资质要求</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1.在中华人民共和国境内注册，持有合法有效的</w:t>
      </w:r>
      <w:r>
        <w:rPr>
          <w:rFonts w:hint="eastAsia" w:ascii="仿宋_GB2312" w:hAnsi="仿宋_GB2312" w:eastAsia="仿宋_GB2312" w:cs="仿宋_GB2312"/>
          <w:color w:val="auto"/>
          <w:sz w:val="32"/>
          <w:szCs w:val="32"/>
          <w:lang w:val="en-US" w:eastAsia="zh-CN"/>
        </w:rPr>
        <w:t>企业</w:t>
      </w:r>
      <w:r>
        <w:rPr>
          <w:rFonts w:hint="eastAsia" w:ascii="仿宋_GB2312" w:hAnsi="仿宋_GB2312" w:eastAsia="仿宋_GB2312" w:cs="仿宋_GB2312"/>
          <w:color w:val="auto"/>
          <w:sz w:val="32"/>
          <w:szCs w:val="32"/>
          <w:lang w:eastAsia="zh-CN"/>
        </w:rPr>
        <w:t>法人</w:t>
      </w:r>
      <w:r>
        <w:rPr>
          <w:rFonts w:hint="eastAsia" w:ascii="仿宋_GB2312" w:hAnsi="仿宋_GB2312" w:eastAsia="仿宋_GB2312" w:cs="仿宋_GB2312"/>
          <w:color w:val="auto"/>
          <w:sz w:val="32"/>
          <w:szCs w:val="32"/>
          <w:lang w:val="en-US" w:eastAsia="zh-CN"/>
        </w:rPr>
        <w:t>资格证</w:t>
      </w:r>
      <w:r>
        <w:rPr>
          <w:rFonts w:hint="eastAsia" w:ascii="仿宋_GB2312" w:hAnsi="仿宋_GB2312" w:eastAsia="仿宋_GB2312" w:cs="仿宋_GB2312"/>
          <w:color w:val="auto"/>
          <w:sz w:val="32"/>
          <w:szCs w:val="32"/>
          <w:lang w:eastAsia="zh-CN"/>
        </w:rPr>
        <w:t>或</w:t>
      </w:r>
      <w:r>
        <w:rPr>
          <w:rFonts w:hint="eastAsia" w:ascii="仿宋_GB2312" w:hAnsi="仿宋_GB2312" w:eastAsia="仿宋_GB2312" w:cs="仿宋_GB2312"/>
          <w:color w:val="auto"/>
          <w:sz w:val="32"/>
          <w:szCs w:val="32"/>
          <w:lang w:val="en-US" w:eastAsia="zh-CN"/>
        </w:rPr>
        <w:t>营业执照</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单位负责人为同一人或者存在控股、管理关系的不同单位，或不同单位实际控制人为同一人或者互为夫妻关系的，或不同单位董事、监事、高级管理人员相互交叉任职的，不得参加同一标包（标段）投标或者未划分标包（标段）的同一招标项目（标的）的投标。</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3.其他不得存在的情形：被相关政府部门实施市场禁入、禁止参加投标、承接新项目的；在中国南方电网有限责任公司范围内被纳入供应商预警名单或处理名单实施不接受投标处理、市场禁入处理，且未解除的。</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eastAsia="zh-CN"/>
        </w:rPr>
        <w:t>四</w:t>
      </w:r>
      <w:r>
        <w:rPr>
          <w:rFonts w:hint="eastAsia" w:asciiTheme="minorEastAsia" w:hAnsiTheme="minorEastAsia" w:eastAsiaTheme="minorEastAsia" w:cstheme="minorEastAsia"/>
          <w:b/>
          <w:bCs/>
          <w:sz w:val="32"/>
          <w:szCs w:val="32"/>
          <w:lang w:eastAsia="zh-CN"/>
        </w:rPr>
        <w:t>、结算方式</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本项目取得使用林地许可批复后结算，结算金额</w:t>
      </w:r>
      <w:r>
        <w:rPr>
          <w:rFonts w:hint="eastAsia" w:ascii="仿宋_GB2312" w:hAnsi="仿宋_GB2312" w:eastAsia="仿宋_GB2312" w:cs="仿宋_GB2312"/>
          <w:color w:val="auto"/>
          <w:sz w:val="32"/>
          <w:szCs w:val="32"/>
          <w:highlight w:val="none"/>
          <w:lang w:val="en-US" w:eastAsia="zh-CN"/>
        </w:rPr>
        <w:t>按成交金额</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合同生效后，承包方完成发包方指定使用林地可行性研究工作任务并出具满足政府相关部门要求</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lang w:eastAsia="zh-CN"/>
        </w:rPr>
        <w:t>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、服务关键环</w:t>
      </w:r>
      <w:r>
        <w:rPr>
          <w:rFonts w:hint="eastAsia" w:asciiTheme="minorEastAsia" w:hAnsiTheme="minorEastAsia" w:cstheme="minorEastAsia"/>
          <w:b/>
          <w:bCs/>
          <w:sz w:val="32"/>
          <w:szCs w:val="32"/>
          <w:lang w:eastAsia="zh-CN"/>
        </w:rPr>
        <w:t>节</w:t>
      </w:r>
      <w:r>
        <w:rPr>
          <w:rFonts w:hint="eastAsia" w:asciiTheme="minorEastAsia" w:hAnsiTheme="minorEastAsia" w:eastAsiaTheme="minorEastAsia" w:cstheme="minorEastAsia"/>
          <w:b/>
          <w:bCs/>
          <w:sz w:val="32"/>
          <w:szCs w:val="32"/>
          <w:lang w:eastAsia="zh-CN"/>
        </w:rPr>
        <w:t>目标要求</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完成编制成果</w:t>
      </w:r>
      <w:r>
        <w:rPr>
          <w:rFonts w:hint="eastAsia" w:ascii="仿宋_GB2312" w:hAnsi="仿宋_GB2312" w:eastAsia="仿宋_GB2312" w:cs="仿宋_GB2312"/>
          <w:sz w:val="32"/>
          <w:szCs w:val="32"/>
        </w:rPr>
        <w:t>报告，确保</w:t>
      </w:r>
      <w:r>
        <w:rPr>
          <w:rFonts w:hint="eastAsia" w:ascii="仿宋_GB2312" w:hAnsi="仿宋_GB2312" w:eastAsia="仿宋_GB2312" w:cs="仿宋_GB2312"/>
          <w:sz w:val="32"/>
          <w:szCs w:val="32"/>
          <w:lang w:eastAsia="zh-CN"/>
        </w:rPr>
        <w:t>成果</w:t>
      </w:r>
      <w:r>
        <w:rPr>
          <w:rFonts w:hint="eastAsia" w:ascii="仿宋_GB2312" w:hAnsi="仿宋_GB2312" w:eastAsia="仿宋_GB2312" w:cs="仿宋_GB2312"/>
          <w:sz w:val="32"/>
          <w:szCs w:val="32"/>
        </w:rPr>
        <w:t>报告</w:t>
      </w:r>
      <w:r>
        <w:rPr>
          <w:rFonts w:hint="eastAsia" w:ascii="仿宋_GB2312" w:hAnsi="仿宋_GB2312" w:eastAsia="仿宋_GB2312" w:cs="仿宋_GB2312"/>
          <w:sz w:val="32"/>
          <w:szCs w:val="32"/>
          <w:lang w:val="en-US" w:eastAsia="zh-CN"/>
        </w:rPr>
        <w:t>在能够满足政府相关部门的要求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并取得</w:t>
      </w:r>
      <w:r>
        <w:rPr>
          <w:rFonts w:hint="eastAsia" w:ascii="仿宋_GB2312" w:hAnsi="仿宋_GB2312" w:eastAsia="仿宋_GB2312" w:cs="仿宋_GB2312"/>
          <w:sz w:val="32"/>
          <w:szCs w:val="32"/>
          <w:lang w:eastAsia="zh-CN"/>
        </w:rPr>
        <w:t>使用林地许可批复。</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w:t>
      </w:r>
      <w:r>
        <w:rPr>
          <w:rFonts w:hint="eastAsia" w:asciiTheme="minorEastAsia" w:hAnsiTheme="minorEastAsia" w:cstheme="minorEastAsia"/>
          <w:b/>
          <w:bCs/>
          <w:sz w:val="32"/>
          <w:szCs w:val="32"/>
          <w:lang w:eastAsia="zh-CN"/>
        </w:rPr>
        <w:t>服务</w:t>
      </w:r>
      <w:r>
        <w:rPr>
          <w:rFonts w:hint="eastAsia" w:asciiTheme="minorEastAsia" w:hAnsiTheme="minorEastAsia" w:eastAsiaTheme="minorEastAsia" w:cstheme="minorEastAsia"/>
          <w:b/>
          <w:bCs/>
          <w:sz w:val="32"/>
          <w:szCs w:val="32"/>
          <w:lang w:eastAsia="zh-CN"/>
        </w:rPr>
        <w:t>期</w:t>
      </w:r>
      <w:r>
        <w:rPr>
          <w:rFonts w:hint="eastAsia" w:asciiTheme="minorEastAsia" w:hAnsiTheme="minorEastAsia" w:cstheme="minorEastAsia"/>
          <w:b/>
          <w:bCs/>
          <w:sz w:val="32"/>
          <w:szCs w:val="32"/>
          <w:lang w:eastAsia="zh-CN"/>
        </w:rPr>
        <w:t>限</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服务期12个月，起止时间以合同约定时间为准。</w:t>
      </w:r>
      <w:bookmarkStart w:id="0" w:name="_GoBack"/>
      <w:bookmarkEnd w:id="0"/>
    </w:p>
    <w:p>
      <w:pPr>
        <w:pStyle w:val="2"/>
        <w:ind w:left="0" w:leftChars="0" w:firstLine="0" w:firstLineChars="0"/>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1292" w:firstLineChars="404"/>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1.项目清单（附后）</w:t>
      </w:r>
    </w:p>
    <w:p>
      <w:pPr>
        <w:keepNext w:val="0"/>
        <w:keepLines w:val="0"/>
        <w:pageBreakBefore w:val="0"/>
        <w:widowControl w:val="0"/>
        <w:kinsoku/>
        <w:wordWrap/>
        <w:overflowPunct/>
        <w:topLinePunct w:val="0"/>
        <w:autoSpaceDE/>
        <w:autoSpaceDN/>
        <w:bidi w:val="0"/>
        <w:adjustRightInd/>
        <w:snapToGrid/>
        <w:spacing w:line="58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p>
    <w:p>
      <w:pPr>
        <w:rPr>
          <w:rFonts w:hint="eastAsia"/>
          <w:lang w:val="en-US" w:eastAsia="zh-CN"/>
        </w:rPr>
      </w:pPr>
    </w:p>
    <w:p>
      <w:pPr>
        <w:pStyle w:val="2"/>
        <w:ind w:left="0" w:leftChars="0" w:firstLine="0" w:firstLineChars="0"/>
        <w:rPr>
          <w:rFonts w:hint="eastAsia" w:ascii="仿宋_GB2312" w:hAnsi="仿宋_GB2312" w:eastAsia="仿宋_GB2312" w:cs="仿宋_GB2312"/>
          <w:kern w:val="2"/>
          <w:sz w:val="32"/>
          <w:szCs w:val="32"/>
          <w:lang w:val="en-US" w:eastAsia="zh-CN" w:bidi="ar-SA"/>
        </w:rPr>
      </w:pP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广西新电力投资集团融水供电有限公司</w:t>
      </w: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eastAsia" w:ascii="仿宋_GB2312" w:hAnsi="仿宋_GB2312" w:eastAsia="仿宋_GB2312" w:cs="仿宋_GB2312"/>
          <w:sz w:val="32"/>
          <w:szCs w:val="32"/>
          <w:lang w:eastAsia="zh-CN"/>
        </w:rPr>
        <w:sectPr>
          <w:footerReference r:id="rId3" w:type="default"/>
          <w:pgSz w:w="11906" w:h="16838"/>
          <w:pgMar w:top="1417" w:right="1417" w:bottom="1417" w:left="1417" w:header="851" w:footer="992" w:gutter="0"/>
          <w:pgNumType w:fmt="decimal"/>
          <w:cols w:space="0" w:num="1"/>
          <w:rtlGutter w:val="0"/>
          <w:docGrid w:type="lines" w:linePitch="312" w:charSpace="0"/>
        </w:sectPr>
      </w:pPr>
      <w:r>
        <w:rPr>
          <w:rFonts w:hint="eastAsia" w:ascii="仿宋_GB2312" w:hAnsi="仿宋_GB2312" w:eastAsia="仿宋_GB2312" w:cs="仿宋_GB2312"/>
          <w:sz w:val="32"/>
          <w:szCs w:val="32"/>
          <w:u w:val="none"/>
          <w:lang w:val="en-US" w:eastAsia="zh-CN"/>
        </w:rPr>
        <w:t xml:space="preserve">2024年9月19日       </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asciiTheme="minorEastAsia" w:hAnsiTheme="minorEastAsia" w:eastAsiaTheme="minorEastAsia" w:cstheme="minorEastAsia"/>
          <w:b/>
          <w:bCs/>
          <w:sz w:val="32"/>
          <w:szCs w:val="32"/>
          <w:lang w:val="en-US" w:eastAsia="zh-CN"/>
        </w:rPr>
        <w:t>项目清单</w:t>
      </w:r>
    </w:p>
    <w:tbl>
      <w:tblPr>
        <w:tblStyle w:val="6"/>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28"/>
        <w:gridCol w:w="4465"/>
        <w:gridCol w:w="4018"/>
        <w:gridCol w:w="47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eastAsiaTheme="minorEastAsia" w:cstheme="minorEastAsia"/>
                <w:b/>
                <w:i w:val="0"/>
                <w:color w:val="000000"/>
                <w:kern w:val="0"/>
                <w:sz w:val="24"/>
                <w:szCs w:val="24"/>
                <w:u w:val="none"/>
                <w:lang w:val="en-US" w:eastAsia="zh-CN" w:bidi="ar"/>
              </w:rPr>
              <w:t>序号</w:t>
            </w:r>
          </w:p>
        </w:tc>
        <w:tc>
          <w:tcPr>
            <w:tcW w:w="159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cstheme="minorEastAsia"/>
                <w:b/>
                <w:i w:val="0"/>
                <w:color w:val="000000"/>
                <w:kern w:val="0"/>
                <w:sz w:val="24"/>
                <w:szCs w:val="24"/>
                <w:u w:val="none"/>
                <w:lang w:val="en-US" w:eastAsia="zh-CN" w:bidi="ar"/>
              </w:rPr>
              <w:t>项目</w:t>
            </w:r>
            <w:r>
              <w:rPr>
                <w:rFonts w:hint="eastAsia" w:asciiTheme="minorEastAsia" w:hAnsiTheme="minorEastAsia" w:eastAsiaTheme="minorEastAsia" w:cstheme="minorEastAsia"/>
                <w:b/>
                <w:i w:val="0"/>
                <w:color w:val="000000"/>
                <w:kern w:val="0"/>
                <w:sz w:val="24"/>
                <w:szCs w:val="24"/>
                <w:u w:val="none"/>
                <w:lang w:val="en-US" w:eastAsia="zh-CN" w:bidi="ar"/>
              </w:rPr>
              <w:t>名称</w:t>
            </w:r>
          </w:p>
        </w:tc>
        <w:tc>
          <w:tcPr>
            <w:tcW w:w="14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u w:val="none"/>
                <w:lang w:val="en-US" w:eastAsia="zh-CN" w:bidi="ar"/>
              </w:rPr>
            </w:pPr>
            <w:r>
              <w:rPr>
                <w:rFonts w:hint="eastAsia" w:asciiTheme="minorEastAsia" w:hAnsiTheme="minorEastAsia" w:cstheme="minorEastAsia"/>
                <w:b/>
                <w:i w:val="0"/>
                <w:color w:val="000000"/>
                <w:kern w:val="0"/>
                <w:sz w:val="24"/>
                <w:szCs w:val="24"/>
                <w:u w:val="none"/>
                <w:lang w:val="en-US" w:eastAsia="zh-CN" w:bidi="ar"/>
              </w:rPr>
              <w:t>建设用地面积</w:t>
            </w:r>
          </w:p>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16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295" w:type="pc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cstheme="minorEastAsia"/>
                <w:i w:val="0"/>
                <w:color w:val="auto"/>
                <w:sz w:val="24"/>
                <w:szCs w:val="24"/>
                <w:highlight w:val="none"/>
                <w:u w:val="none"/>
                <w:lang w:val="en-US" w:eastAsia="zh-CN"/>
              </w:rPr>
              <w:t>1</w:t>
            </w:r>
          </w:p>
        </w:tc>
        <w:tc>
          <w:tcPr>
            <w:tcW w:w="1590" w:type="pct"/>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sz w:val="24"/>
                <w:szCs w:val="24"/>
                <w:highlight w:val="none"/>
                <w:u w:val="none"/>
              </w:rPr>
              <w:t>融水</w:t>
            </w:r>
            <w:r>
              <w:rPr>
                <w:rFonts w:hint="eastAsia" w:asciiTheme="minorEastAsia" w:hAnsiTheme="minorEastAsia" w:cstheme="minorEastAsia"/>
                <w:i w:val="0"/>
                <w:color w:val="auto"/>
                <w:sz w:val="24"/>
                <w:szCs w:val="24"/>
                <w:highlight w:val="none"/>
                <w:u w:val="none"/>
                <w:lang w:val="en-US" w:eastAsia="zh-CN"/>
              </w:rPr>
              <w:t>四荣</w:t>
            </w:r>
            <w:r>
              <w:rPr>
                <w:rFonts w:hint="eastAsia" w:asciiTheme="minorEastAsia" w:hAnsiTheme="minorEastAsia" w:eastAsiaTheme="minorEastAsia" w:cstheme="minorEastAsia"/>
                <w:i w:val="0"/>
                <w:color w:val="auto"/>
                <w:sz w:val="24"/>
                <w:szCs w:val="24"/>
                <w:highlight w:val="none"/>
                <w:u w:val="none"/>
              </w:rPr>
              <w:t>供电所技术业务用房项目</w:t>
            </w:r>
          </w:p>
        </w:tc>
        <w:tc>
          <w:tcPr>
            <w:tcW w:w="1432" w:type="pct"/>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4409</w:t>
            </w:r>
          </w:p>
        </w:tc>
        <w:tc>
          <w:tcPr>
            <w:tcW w:w="1681" w:type="pct"/>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融水县四荣乡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295" w:type="pc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cstheme="minorEastAsia"/>
                <w:i w:val="0"/>
                <w:color w:val="auto"/>
                <w:sz w:val="24"/>
                <w:szCs w:val="24"/>
                <w:highlight w:val="none"/>
                <w:u w:val="none"/>
                <w:lang w:val="en-US" w:eastAsia="zh-CN"/>
              </w:rPr>
            </w:pPr>
            <w:r>
              <w:rPr>
                <w:rFonts w:hint="eastAsia" w:asciiTheme="minorEastAsia" w:hAnsiTheme="minorEastAsia" w:cstheme="minorEastAsia"/>
                <w:i w:val="0"/>
                <w:color w:val="auto"/>
                <w:sz w:val="24"/>
                <w:szCs w:val="24"/>
                <w:highlight w:val="none"/>
                <w:u w:val="none"/>
                <w:lang w:val="en-US" w:eastAsia="zh-CN"/>
              </w:rPr>
              <w:t>2</w:t>
            </w:r>
          </w:p>
        </w:tc>
        <w:tc>
          <w:tcPr>
            <w:tcW w:w="1590" w:type="pct"/>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sz w:val="24"/>
                <w:szCs w:val="24"/>
                <w:highlight w:val="none"/>
                <w:u w:val="none"/>
              </w:rPr>
              <w:t>融水白云供电所技术业务用房项目</w:t>
            </w:r>
          </w:p>
        </w:tc>
        <w:tc>
          <w:tcPr>
            <w:tcW w:w="1432" w:type="pct"/>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3516</w:t>
            </w:r>
          </w:p>
        </w:tc>
        <w:tc>
          <w:tcPr>
            <w:tcW w:w="1681" w:type="pct"/>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融水县白云乡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188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合计</w:t>
            </w:r>
          </w:p>
        </w:tc>
        <w:tc>
          <w:tcPr>
            <w:tcW w:w="14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7925</w:t>
            </w:r>
          </w:p>
        </w:tc>
        <w:tc>
          <w:tcPr>
            <w:tcW w:w="168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42" w:hRule="exac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备注：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1.本项目经验收合格后结算，结算金额按成交金额。</w:t>
            </w:r>
          </w:p>
          <w:p>
            <w:pPr>
              <w:spacing w:beforeLines="0" w:afterLines="0"/>
              <w:jc w:val="left"/>
              <w:rPr>
                <w:rFonts w:hint="eastAsia" w:asciiTheme="minorEastAsia" w:hAnsiTheme="minorEastAsia" w:cstheme="minorEastAsia"/>
                <w:color w:val="000000"/>
                <w:sz w:val="24"/>
                <w:szCs w:val="24"/>
                <w:lang w:val="en-US" w:eastAsia="zh-CN"/>
              </w:rPr>
            </w:pPr>
            <w:r>
              <w:rPr>
                <w:rFonts w:hint="eastAsia" w:ascii="宋体" w:hAnsi="宋体" w:eastAsia="宋体" w:cs="宋体"/>
                <w:i w:val="0"/>
                <w:iCs w:val="0"/>
                <w:color w:val="auto"/>
                <w:kern w:val="0"/>
                <w:sz w:val="24"/>
                <w:szCs w:val="24"/>
                <w:u w:val="none"/>
                <w:lang w:val="en-US" w:eastAsia="zh-CN" w:bidi="ar"/>
              </w:rPr>
              <w:t>2.总价报价低于或等于最高限价的为有效报价。如果总价报价低于最高限价的80%，必须在报价文件中附成本分析报告，成本分析报告需充分说明总价费用的组成、降低成本的合理措施及在其他项目中应用过的经验，否则视为实质上不响应采购文件要求，作否决处理。响应报价供应商须对报价明细中所有项进行报价，报价不完整的，视为实质上不响应采购文件要求，作否决处理。</w:t>
            </w:r>
          </w:p>
        </w:tc>
      </w:tr>
    </w:tbl>
    <w:p>
      <w:pPr>
        <w:pStyle w:val="2"/>
        <w:ind w:left="0" w:leftChars="0" w:firstLine="0" w:firstLineChars="0"/>
        <w:rPr>
          <w:rFonts w:hint="default"/>
          <w:lang w:val="en-US" w:eastAsia="zh-CN"/>
        </w:rPr>
      </w:pPr>
    </w:p>
    <w:sectPr>
      <w:footerReference r:id="rId4" w:type="default"/>
      <w:pgSz w:w="16838" w:h="11906" w:orient="landscape"/>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F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15D7A"/>
    <w:rsid w:val="01541FBE"/>
    <w:rsid w:val="01F000C2"/>
    <w:rsid w:val="04E83F46"/>
    <w:rsid w:val="06581593"/>
    <w:rsid w:val="0662222F"/>
    <w:rsid w:val="0A384CB8"/>
    <w:rsid w:val="0FB171C2"/>
    <w:rsid w:val="11CE228F"/>
    <w:rsid w:val="11CF6ED7"/>
    <w:rsid w:val="12404300"/>
    <w:rsid w:val="12BA0AA4"/>
    <w:rsid w:val="130948BA"/>
    <w:rsid w:val="13781A7E"/>
    <w:rsid w:val="13F2560A"/>
    <w:rsid w:val="15BA3E8A"/>
    <w:rsid w:val="175879D2"/>
    <w:rsid w:val="19CC2E41"/>
    <w:rsid w:val="1DD94CE5"/>
    <w:rsid w:val="225536FF"/>
    <w:rsid w:val="22E1627D"/>
    <w:rsid w:val="23A70CF1"/>
    <w:rsid w:val="23AE267F"/>
    <w:rsid w:val="247578DE"/>
    <w:rsid w:val="25B46002"/>
    <w:rsid w:val="27D949B4"/>
    <w:rsid w:val="293E359A"/>
    <w:rsid w:val="2B3A578B"/>
    <w:rsid w:val="2C9042A8"/>
    <w:rsid w:val="2D540410"/>
    <w:rsid w:val="2EE517C3"/>
    <w:rsid w:val="2FC15B49"/>
    <w:rsid w:val="33A51F6D"/>
    <w:rsid w:val="33EA380A"/>
    <w:rsid w:val="3617436C"/>
    <w:rsid w:val="36A45A41"/>
    <w:rsid w:val="39481744"/>
    <w:rsid w:val="3BE23CDB"/>
    <w:rsid w:val="400B0281"/>
    <w:rsid w:val="400C3A16"/>
    <w:rsid w:val="40402F89"/>
    <w:rsid w:val="40947E84"/>
    <w:rsid w:val="41845AFB"/>
    <w:rsid w:val="43434035"/>
    <w:rsid w:val="44D17C07"/>
    <w:rsid w:val="45531374"/>
    <w:rsid w:val="45562AD0"/>
    <w:rsid w:val="458A7B59"/>
    <w:rsid w:val="46317111"/>
    <w:rsid w:val="464177E7"/>
    <w:rsid w:val="46B762E4"/>
    <w:rsid w:val="471D6B6F"/>
    <w:rsid w:val="47F636DE"/>
    <w:rsid w:val="48A51C70"/>
    <w:rsid w:val="495A215D"/>
    <w:rsid w:val="49B92007"/>
    <w:rsid w:val="4B765137"/>
    <w:rsid w:val="4BE44573"/>
    <w:rsid w:val="4C160A98"/>
    <w:rsid w:val="4FF65F63"/>
    <w:rsid w:val="507C7C3B"/>
    <w:rsid w:val="51C61F0A"/>
    <w:rsid w:val="51DB3858"/>
    <w:rsid w:val="523F747B"/>
    <w:rsid w:val="533F5735"/>
    <w:rsid w:val="53D041C3"/>
    <w:rsid w:val="53E353C9"/>
    <w:rsid w:val="558B766D"/>
    <w:rsid w:val="55BF52D8"/>
    <w:rsid w:val="574008F6"/>
    <w:rsid w:val="574D0C87"/>
    <w:rsid w:val="585E076F"/>
    <w:rsid w:val="59AA1D84"/>
    <w:rsid w:val="5A900A3F"/>
    <w:rsid w:val="5AA41AF2"/>
    <w:rsid w:val="5B632BF1"/>
    <w:rsid w:val="5BBC79FA"/>
    <w:rsid w:val="5CDE7655"/>
    <w:rsid w:val="5DAB49FC"/>
    <w:rsid w:val="5FAB1742"/>
    <w:rsid w:val="60591C9C"/>
    <w:rsid w:val="60E02B13"/>
    <w:rsid w:val="62827D35"/>
    <w:rsid w:val="630C38B3"/>
    <w:rsid w:val="64F1211D"/>
    <w:rsid w:val="65807724"/>
    <w:rsid w:val="66657416"/>
    <w:rsid w:val="67B63CB1"/>
    <w:rsid w:val="67F97B21"/>
    <w:rsid w:val="68572FB1"/>
    <w:rsid w:val="696B10DA"/>
    <w:rsid w:val="6B112A65"/>
    <w:rsid w:val="6BBB4773"/>
    <w:rsid w:val="6BD562DD"/>
    <w:rsid w:val="6C650845"/>
    <w:rsid w:val="6E683DE6"/>
    <w:rsid w:val="6EA31B50"/>
    <w:rsid w:val="71897F94"/>
    <w:rsid w:val="72A15914"/>
    <w:rsid w:val="72AE77BD"/>
    <w:rsid w:val="72B526A3"/>
    <w:rsid w:val="7376296B"/>
    <w:rsid w:val="745836B3"/>
    <w:rsid w:val="75830E69"/>
    <w:rsid w:val="75C76AE3"/>
    <w:rsid w:val="76C769A3"/>
    <w:rsid w:val="76EA4830"/>
    <w:rsid w:val="776303B9"/>
    <w:rsid w:val="79EA1A55"/>
    <w:rsid w:val="7C942BE9"/>
    <w:rsid w:val="7D41771A"/>
    <w:rsid w:val="7D70584A"/>
    <w:rsid w:val="7E1517C7"/>
    <w:rsid w:val="7EF75E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_Style 1"/>
    <w:basedOn w:val="1"/>
    <w:qFormat/>
    <w:uiPriority w:val="34"/>
    <w:pPr>
      <w:ind w:firstLine="420" w:firstLineChars="200"/>
    </w:pPr>
  </w:style>
  <w:style w:type="character" w:customStyle="1" w:styleId="10">
    <w:name w:val="font01"/>
    <w:basedOn w:val="8"/>
    <w:qFormat/>
    <w:uiPriority w:val="0"/>
    <w:rPr>
      <w:rFonts w:hint="eastAsia" w:ascii="宋体" w:hAnsi="宋体" w:eastAsia="宋体" w:cs="宋体"/>
      <w:color w:val="000000"/>
      <w:sz w:val="20"/>
      <w:szCs w:val="20"/>
      <w:u w:val="none"/>
    </w:rPr>
  </w:style>
  <w:style w:type="character" w:customStyle="1" w:styleId="11">
    <w:name w:val="font31"/>
    <w:basedOn w:val="8"/>
    <w:qFormat/>
    <w:uiPriority w:val="0"/>
    <w:rPr>
      <w:rFonts w:hint="eastAsia" w:ascii="宋体" w:hAnsi="宋体" w:eastAsia="宋体" w:cs="宋体"/>
      <w:b/>
      <w:bCs/>
      <w:color w:val="000000"/>
      <w:sz w:val="24"/>
      <w:szCs w:val="24"/>
      <w:u w:val="none"/>
    </w:rPr>
  </w:style>
  <w:style w:type="character" w:customStyle="1" w:styleId="12">
    <w:name w:val="font41"/>
    <w:basedOn w:val="8"/>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2018-08-21T07:41:00Z</dcterms:created>
  <dc:creator>刘振成</dc:creator>
  <cp:lastModifiedBy>熊波</cp:lastModifiedBy>
  <dcterms:modified xsi:type="dcterms:W3CDTF">2024-09-25T08:48:58Z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D31DB7EDE08B4B168BAF47F1244DE85C</vt:lpwstr>
  </property>
</Properties>
</file>