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0FEB2">
      <w:pPr>
        <w:bidi w:val="0"/>
        <w:jc w:val="center"/>
        <w:rPr>
          <w:rFonts w:hint="eastAsia"/>
          <w:sz w:val="52"/>
          <w:szCs w:val="52"/>
        </w:rPr>
      </w:pPr>
      <w:bookmarkStart w:id="0" w:name="_Toc25792"/>
      <w:bookmarkStart w:id="1" w:name="_Toc6001"/>
      <w:bookmarkStart w:id="2" w:name="_Toc8193"/>
      <w:bookmarkStart w:id="3" w:name="_Toc30506"/>
      <w:bookmarkStart w:id="4" w:name="_Toc13004"/>
      <w:bookmarkStart w:id="5" w:name="_Toc8630"/>
      <w:bookmarkStart w:id="6" w:name="_Toc27940"/>
      <w:r>
        <w:rPr>
          <w:rFonts w:hint="eastAsia"/>
          <w:sz w:val="52"/>
          <w:szCs w:val="52"/>
          <w:lang w:val="en-US" w:eastAsia="zh-CN"/>
        </w:rPr>
        <w:t>标的1</w:t>
      </w:r>
      <w:r>
        <w:rPr>
          <w:rFonts w:hint="eastAsia"/>
          <w:sz w:val="52"/>
          <w:szCs w:val="52"/>
        </w:rPr>
        <w:t>：</w:t>
      </w:r>
      <w:bookmarkEnd w:id="0"/>
      <w:bookmarkEnd w:id="1"/>
      <w:bookmarkEnd w:id="2"/>
      <w:bookmarkEnd w:id="3"/>
      <w:bookmarkEnd w:id="4"/>
      <w:bookmarkEnd w:id="5"/>
      <w:bookmarkEnd w:id="6"/>
      <w:r>
        <w:rPr>
          <w:rFonts w:hint="eastAsia"/>
          <w:sz w:val="52"/>
          <w:szCs w:val="52"/>
        </w:rPr>
        <w:t>一种通用型低压带电导线绝缘套层的研发</w:t>
      </w:r>
    </w:p>
    <w:p w14:paraId="12318B30">
      <w:pPr>
        <w:pStyle w:val="4"/>
        <w:spacing w:line="560" w:lineRule="exact"/>
        <w:ind w:left="-54" w:leftChars="-50" w:right="-176" w:rightChars="-84" w:hanging="51" w:hangingChars="17"/>
        <w:jc w:val="left"/>
        <w:rPr>
          <w:rFonts w:hint="eastAsia" w:ascii="仿宋" w:hAnsi="仿宋" w:eastAsia="仿宋" w:cs="仿宋"/>
          <w:b/>
          <w:sz w:val="30"/>
          <w:szCs w:val="30"/>
        </w:rPr>
      </w:pPr>
    </w:p>
    <w:p w14:paraId="16221C06">
      <w:pPr>
        <w:spacing w:line="560" w:lineRule="exact"/>
        <w:jc w:val="center"/>
        <w:rPr>
          <w:rFonts w:hint="eastAsia" w:ascii="仿宋" w:hAnsi="仿宋" w:eastAsia="仿宋" w:cs="仿宋"/>
          <w:b/>
          <w:color w:val="C00000"/>
          <w:sz w:val="30"/>
          <w:szCs w:val="30"/>
        </w:rPr>
      </w:pPr>
    </w:p>
    <w:p w14:paraId="1B6F8785">
      <w:pPr>
        <w:spacing w:line="560" w:lineRule="exact"/>
        <w:jc w:val="center"/>
        <w:rPr>
          <w:rFonts w:hint="eastAsia" w:ascii="仿宋" w:hAnsi="仿宋" w:eastAsia="仿宋" w:cs="仿宋"/>
          <w:b/>
          <w:sz w:val="30"/>
          <w:szCs w:val="30"/>
        </w:rPr>
      </w:pPr>
    </w:p>
    <w:p w14:paraId="1EE8EA62">
      <w:pPr>
        <w:spacing w:line="560" w:lineRule="exact"/>
        <w:jc w:val="center"/>
        <w:rPr>
          <w:rFonts w:hint="eastAsia" w:ascii="仿宋" w:hAnsi="仿宋" w:eastAsia="仿宋" w:cs="仿宋"/>
          <w:b/>
          <w:sz w:val="30"/>
          <w:szCs w:val="30"/>
        </w:rPr>
      </w:pPr>
    </w:p>
    <w:p w14:paraId="63D8CA95">
      <w:pPr>
        <w:spacing w:line="560" w:lineRule="exact"/>
        <w:jc w:val="center"/>
        <w:rPr>
          <w:rFonts w:hint="eastAsia" w:ascii="仿宋" w:hAnsi="仿宋" w:eastAsia="仿宋" w:cs="仿宋"/>
          <w:b/>
          <w:sz w:val="30"/>
          <w:szCs w:val="30"/>
        </w:rPr>
      </w:pPr>
    </w:p>
    <w:p w14:paraId="52D38E6C">
      <w:pPr>
        <w:spacing w:line="560" w:lineRule="exact"/>
        <w:jc w:val="center"/>
        <w:rPr>
          <w:rFonts w:hint="eastAsia" w:ascii="仿宋" w:hAnsi="仿宋" w:eastAsia="仿宋" w:cs="仿宋"/>
          <w:bCs/>
          <w:sz w:val="48"/>
          <w:szCs w:val="48"/>
        </w:rPr>
      </w:pPr>
    </w:p>
    <w:p w14:paraId="143BFCDA">
      <w:pPr>
        <w:bidi w:val="0"/>
        <w:jc w:val="center"/>
        <w:rPr>
          <w:rFonts w:hint="eastAsia"/>
          <w:sz w:val="48"/>
          <w:szCs w:val="48"/>
        </w:rPr>
      </w:pPr>
      <w:bookmarkStart w:id="7" w:name="_Toc17672"/>
      <w:bookmarkStart w:id="8" w:name="_Toc6533"/>
      <w:bookmarkStart w:id="9" w:name="_Toc19680"/>
      <w:bookmarkStart w:id="10" w:name="_Toc22627"/>
      <w:bookmarkStart w:id="11" w:name="_Toc15383"/>
      <w:bookmarkStart w:id="12" w:name="_Toc24255"/>
      <w:bookmarkStart w:id="13" w:name="_Toc26881"/>
      <w:r>
        <w:rPr>
          <w:rFonts w:hint="eastAsia"/>
          <w:sz w:val="48"/>
          <w:szCs w:val="48"/>
        </w:rPr>
        <w:t>技术规范书</w:t>
      </w:r>
      <w:bookmarkEnd w:id="7"/>
      <w:bookmarkEnd w:id="8"/>
      <w:bookmarkEnd w:id="9"/>
      <w:bookmarkEnd w:id="10"/>
      <w:bookmarkEnd w:id="11"/>
      <w:bookmarkEnd w:id="12"/>
      <w:bookmarkEnd w:id="13"/>
    </w:p>
    <w:p w14:paraId="52208306">
      <w:pPr>
        <w:spacing w:line="560" w:lineRule="exact"/>
        <w:jc w:val="center"/>
        <w:rPr>
          <w:rFonts w:hint="eastAsia" w:ascii="仿宋" w:hAnsi="仿宋" w:eastAsia="仿宋" w:cs="仿宋"/>
          <w:b/>
          <w:sz w:val="30"/>
          <w:szCs w:val="30"/>
        </w:rPr>
      </w:pPr>
    </w:p>
    <w:p w14:paraId="07FF42AB">
      <w:pPr>
        <w:spacing w:line="560" w:lineRule="exact"/>
        <w:jc w:val="center"/>
        <w:rPr>
          <w:rFonts w:hint="eastAsia" w:ascii="仿宋" w:hAnsi="仿宋" w:eastAsia="仿宋" w:cs="仿宋"/>
          <w:b/>
          <w:sz w:val="30"/>
          <w:szCs w:val="30"/>
        </w:rPr>
      </w:pPr>
    </w:p>
    <w:p w14:paraId="4F7660C4">
      <w:pPr>
        <w:spacing w:line="560" w:lineRule="exact"/>
        <w:jc w:val="center"/>
        <w:rPr>
          <w:rFonts w:hint="eastAsia" w:ascii="仿宋" w:hAnsi="仿宋" w:eastAsia="仿宋" w:cs="仿宋"/>
          <w:b/>
          <w:sz w:val="30"/>
          <w:szCs w:val="30"/>
        </w:rPr>
      </w:pPr>
    </w:p>
    <w:p w14:paraId="25E17E13">
      <w:pPr>
        <w:spacing w:line="560" w:lineRule="exact"/>
        <w:jc w:val="center"/>
        <w:rPr>
          <w:rFonts w:hint="eastAsia" w:ascii="仿宋" w:hAnsi="仿宋" w:eastAsia="仿宋" w:cs="仿宋"/>
          <w:b/>
          <w:sz w:val="30"/>
          <w:szCs w:val="30"/>
        </w:rPr>
      </w:pPr>
    </w:p>
    <w:p w14:paraId="33E7F116">
      <w:pPr>
        <w:spacing w:line="560" w:lineRule="exact"/>
        <w:jc w:val="center"/>
        <w:rPr>
          <w:rFonts w:hint="eastAsia" w:ascii="仿宋" w:hAnsi="仿宋" w:eastAsia="仿宋" w:cs="仿宋"/>
          <w:b/>
          <w:sz w:val="30"/>
          <w:szCs w:val="30"/>
        </w:rPr>
      </w:pPr>
    </w:p>
    <w:p w14:paraId="7A020B74">
      <w:pPr>
        <w:spacing w:line="560" w:lineRule="exact"/>
        <w:jc w:val="center"/>
        <w:rPr>
          <w:rFonts w:hint="eastAsia" w:ascii="仿宋" w:hAnsi="仿宋" w:eastAsia="仿宋" w:cs="仿宋"/>
          <w:b/>
          <w:sz w:val="30"/>
          <w:szCs w:val="30"/>
        </w:rPr>
      </w:pPr>
    </w:p>
    <w:p w14:paraId="7DBE28A2">
      <w:pPr>
        <w:spacing w:line="560" w:lineRule="exact"/>
        <w:jc w:val="center"/>
        <w:rPr>
          <w:rFonts w:hint="eastAsia" w:ascii="仿宋" w:hAnsi="仿宋" w:eastAsia="仿宋" w:cs="仿宋"/>
          <w:b/>
          <w:sz w:val="30"/>
          <w:szCs w:val="30"/>
        </w:rPr>
      </w:pPr>
    </w:p>
    <w:p w14:paraId="464C6401">
      <w:pPr>
        <w:spacing w:line="560" w:lineRule="exact"/>
        <w:jc w:val="both"/>
        <w:rPr>
          <w:rFonts w:hint="eastAsia" w:ascii="仿宋" w:hAnsi="仿宋" w:eastAsia="仿宋" w:cs="仿宋"/>
          <w:b/>
          <w:sz w:val="30"/>
          <w:szCs w:val="30"/>
        </w:rPr>
      </w:pPr>
    </w:p>
    <w:p w14:paraId="29F76A73">
      <w:pPr>
        <w:spacing w:line="560" w:lineRule="exact"/>
        <w:jc w:val="center"/>
        <w:rPr>
          <w:rFonts w:hint="eastAsia" w:ascii="仿宋" w:hAnsi="仿宋" w:eastAsia="仿宋" w:cs="仿宋"/>
          <w:b/>
          <w:sz w:val="30"/>
          <w:szCs w:val="30"/>
        </w:rPr>
      </w:pPr>
    </w:p>
    <w:p w14:paraId="14D4D9DB">
      <w:pPr>
        <w:spacing w:line="560" w:lineRule="exact"/>
        <w:jc w:val="center"/>
        <w:rPr>
          <w:rFonts w:hint="eastAsia" w:ascii="仿宋" w:hAnsi="仿宋" w:eastAsia="仿宋" w:cs="仿宋"/>
          <w:b/>
          <w:sz w:val="30"/>
          <w:szCs w:val="30"/>
        </w:rPr>
      </w:pPr>
    </w:p>
    <w:p w14:paraId="30C0B927">
      <w:pPr>
        <w:spacing w:line="560" w:lineRule="exact"/>
        <w:jc w:val="center"/>
        <w:rPr>
          <w:rFonts w:hint="eastAsia" w:ascii="仿宋" w:hAnsi="仿宋" w:eastAsia="仿宋" w:cs="仿宋"/>
          <w:b/>
          <w:sz w:val="30"/>
          <w:szCs w:val="30"/>
        </w:rPr>
      </w:pPr>
    </w:p>
    <w:p w14:paraId="1FEB5D27">
      <w:pPr>
        <w:pStyle w:val="3"/>
        <w:numPr>
          <w:ilvl w:val="0"/>
          <w:numId w:val="0"/>
        </w:numPr>
        <w:ind w:left="360" w:leftChars="0"/>
        <w:jc w:val="center"/>
        <w:rPr>
          <w:rFonts w:hint="eastAsia"/>
          <w:b/>
          <w:bCs/>
          <w:sz w:val="28"/>
          <w:szCs w:val="28"/>
        </w:rPr>
      </w:pPr>
      <w:r>
        <w:rPr>
          <w:rFonts w:hint="eastAsia"/>
          <w:b/>
          <w:bCs/>
          <w:sz w:val="28"/>
          <w:szCs w:val="28"/>
        </w:rPr>
        <w:t>202</w:t>
      </w:r>
      <w:r>
        <w:rPr>
          <w:rFonts w:hint="eastAsia"/>
          <w:b/>
          <w:bCs/>
          <w:sz w:val="28"/>
          <w:szCs w:val="28"/>
          <w:lang w:val="en-US" w:eastAsia="zh-CN"/>
        </w:rPr>
        <w:t>4</w:t>
      </w:r>
      <w:r>
        <w:rPr>
          <w:rFonts w:hint="eastAsia"/>
          <w:b/>
          <w:bCs/>
          <w:sz w:val="28"/>
          <w:szCs w:val="28"/>
        </w:rPr>
        <w:t>年</w:t>
      </w:r>
      <w:r>
        <w:rPr>
          <w:rFonts w:hint="eastAsia"/>
          <w:b/>
          <w:bCs/>
          <w:sz w:val="28"/>
          <w:szCs w:val="28"/>
          <w:lang w:val="en-US" w:eastAsia="zh-CN"/>
        </w:rPr>
        <w:t>9</w:t>
      </w:r>
      <w:r>
        <w:rPr>
          <w:rFonts w:hint="eastAsia"/>
          <w:b/>
          <w:bCs/>
          <w:sz w:val="28"/>
          <w:szCs w:val="28"/>
        </w:rPr>
        <w:t>月</w:t>
      </w:r>
    </w:p>
    <w:p w14:paraId="383CDD62">
      <w:pPr>
        <w:rPr>
          <w:rFonts w:hint="eastAsia"/>
          <w:b/>
          <w:bCs/>
          <w:sz w:val="28"/>
          <w:szCs w:val="28"/>
        </w:rPr>
      </w:pPr>
    </w:p>
    <w:p w14:paraId="5BCA5564">
      <w:pPr>
        <w:pStyle w:val="2"/>
        <w:rPr>
          <w:rFonts w:hint="eastAsia"/>
        </w:rPr>
      </w:pPr>
    </w:p>
    <w:p w14:paraId="3526B3EB">
      <w:pPr>
        <w:rPr>
          <w:rFonts w:hint="eastAsia"/>
          <w:lang w:eastAsia="zh-CN"/>
        </w:rPr>
      </w:pPr>
      <w:bookmarkStart w:id="14" w:name="_GoBack"/>
      <w:bookmarkEnd w:id="14"/>
    </w:p>
    <w:p w14:paraId="7080EDE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1. 概述</w:t>
      </w:r>
    </w:p>
    <w:p w14:paraId="0B6DC81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本技术规范文件旨在定义通用型低压带电导线绝缘套层的设计、制造、测试和使用标准。该绝缘套层旨在解决电能表导线在维护和更换过程中存在的安全隐患和操作繁琐问题，通过创新的设计提高工作效率和安全性。</w:t>
      </w:r>
    </w:p>
    <w:p w14:paraId="7AC5873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 技术要求</w:t>
      </w:r>
    </w:p>
    <w:p w14:paraId="1481C3B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2.1 结构与设计</w:t>
      </w:r>
    </w:p>
    <w:p w14:paraId="7B6D35E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双层结构：绝缘套层应采用双层结构，包括硬质圆筒部分和软质开口部分。</w:t>
      </w:r>
    </w:p>
    <w:p w14:paraId="63FC2F1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材料选择：硬质圆筒应采用改良PC材料加工制成，软质开口部分应采用高性能硅胶制成。</w:t>
      </w:r>
    </w:p>
    <w:p w14:paraId="5D10078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尺寸规格：硬质圆筒的外径应为100mm，深度为225mm。两者结合后的总深度应为285mm，以确保完全遮蔽住线缆金属部位。</w:t>
      </w:r>
    </w:p>
    <w:p w14:paraId="0D3DC10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软质手柄：软质开口部位应设置软质手柄，方便作业人员进行拉合操作。</w:t>
      </w:r>
    </w:p>
    <w:p w14:paraId="70E2A6D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2.2 功能要求</w:t>
      </w:r>
    </w:p>
    <w:p w14:paraId="704CA6D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遮蔽效果：绝缘套层应具备良好的遮蔽效果，能够有效遮蔽线缆金属部位。</w:t>
      </w:r>
    </w:p>
    <w:p w14:paraId="75E7518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便捷操作：绝缘套层应提供便捷的包裹和拆除操作，无需二次捆绑，减少摩擦，提高工作效率。</w:t>
      </w:r>
    </w:p>
    <w:p w14:paraId="66090A8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相序区分：产品应提供两种包裹遮蔽方案，并设置4种颜色对相序进行区分。</w:t>
      </w:r>
    </w:p>
    <w:p w14:paraId="583B018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2.3 安全要求</w:t>
      </w:r>
    </w:p>
    <w:p w14:paraId="5739D64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绝缘性能：绝缘套层应具备良好的绝缘性能，以确保作业人员在操作过程中的安全。</w:t>
      </w:r>
    </w:p>
    <w:p w14:paraId="7796680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耐用性：材料应具有良好的耐用性和抗磨损性能，以确保绝缘套层的长寿命。</w:t>
      </w:r>
    </w:p>
    <w:p w14:paraId="0775FA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 测试与验收标准</w:t>
      </w:r>
    </w:p>
    <w:p w14:paraId="43E0A2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3.1 功能测试</w:t>
      </w:r>
    </w:p>
    <w:p w14:paraId="76413E6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验证绝缘套层的遮蔽效果是否满足要求。</w:t>
      </w:r>
    </w:p>
    <w:p w14:paraId="0A244E0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测试绝缘套层的包裹和拆除操作是否便捷高效。</w:t>
      </w:r>
    </w:p>
    <w:p w14:paraId="6E886B7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3.2 性能测试</w:t>
      </w:r>
    </w:p>
    <w:p w14:paraId="5A9E48E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在模拟使用条件下测试绝缘套层的绝缘性能。</w:t>
      </w:r>
    </w:p>
    <w:p w14:paraId="66BB414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进行耐用性测试，确保材料具有良好的抗磨损性能。</w:t>
      </w:r>
    </w:p>
    <w:p w14:paraId="4AA8472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3.3 安全测试</w:t>
      </w:r>
    </w:p>
    <w:p w14:paraId="71611EB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进行电气安全测试，确保绝缘套层在带电导线上的使用安全。</w:t>
      </w:r>
    </w:p>
    <w:p w14:paraId="15AA473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进行易用性测试，确保作业人员能够轻松操作绝缘套层。</w:t>
      </w:r>
    </w:p>
    <w:p w14:paraId="4BC0871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3.4 验收标准</w:t>
      </w:r>
    </w:p>
    <w:p w14:paraId="703A0BA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绝缘套层应满足本技术规范文件中定义的所有结构和设计要求。</w:t>
      </w:r>
    </w:p>
    <w:p w14:paraId="7B257E2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通过所有规定的测试和检验。</w:t>
      </w:r>
    </w:p>
    <w:p w14:paraId="7580E32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4. 使用与维护指南</w:t>
      </w:r>
    </w:p>
    <w:p w14:paraId="26D7CF5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提供详细的使用说明书，包括安装步骤、注意事项和维护建议。</w:t>
      </w:r>
    </w:p>
    <w:p w14:paraId="6CB7F2C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强调安全操作规程，确保作业人员在使用过程中的安全。</w:t>
      </w:r>
    </w:p>
    <w:p w14:paraId="507F0F4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提供定期检查和更换绝缘套层的建议，以确保其持续的有效性。</w:t>
      </w:r>
    </w:p>
    <w:p w14:paraId="36414F5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5. 结论</w:t>
      </w:r>
    </w:p>
    <w:p w14:paraId="129B174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lang w:val="en-US" w:eastAsia="zh-CN"/>
        </w:rPr>
      </w:pPr>
      <w:r>
        <w:rPr>
          <w:rFonts w:hint="default"/>
          <w:lang w:val="en-US" w:eastAsia="zh-CN"/>
        </w:rPr>
        <w:t>本通用型低压带电导线绝缘套层通过创新的设计解决了电能表导线在维护和更换过程中存在的安全隐患和操作繁琐问题。建议在相关行业中广泛应用，并持续收集反馈以进行必要的改进和优化。</w:t>
      </w:r>
    </w:p>
    <w:p w14:paraId="31C835B7">
      <w:pPr>
        <w:rPr>
          <w:rFonts w:hint="eastAsia"/>
          <w:b w:val="0"/>
          <w:bCs/>
        </w:rPr>
      </w:pPr>
    </w:p>
    <w:p w14:paraId="07D767B7">
      <w:pPr>
        <w:bidi w:val="0"/>
        <w:rPr>
          <w:rFonts w:ascii="Calibri" w:hAnsi="Calibri" w:eastAsia="宋体" w:cs="Times New Roman"/>
          <w:kern w:val="2"/>
          <w:sz w:val="21"/>
          <w:szCs w:val="24"/>
          <w:lang w:val="en-US" w:eastAsia="zh-CN" w:bidi="ar-SA"/>
        </w:rPr>
      </w:pPr>
    </w:p>
    <w:p w14:paraId="08B2FB3D">
      <w:pPr>
        <w:bidi w:val="0"/>
        <w:rPr>
          <w:lang w:val="en-US" w:eastAsia="zh-CN"/>
        </w:rPr>
      </w:pPr>
    </w:p>
    <w:p w14:paraId="6CF84208">
      <w:pPr>
        <w:bidi w:val="0"/>
        <w:rPr>
          <w:lang w:val="en-US" w:eastAsia="zh-CN"/>
        </w:rPr>
      </w:pPr>
    </w:p>
    <w:p w14:paraId="6BA46E70">
      <w:pPr>
        <w:bidi w:val="0"/>
        <w:rPr>
          <w:lang w:val="en-US" w:eastAsia="zh-CN"/>
        </w:rPr>
      </w:pPr>
    </w:p>
    <w:p w14:paraId="6536E29F">
      <w:pPr>
        <w:bidi w:val="0"/>
        <w:rPr>
          <w:lang w:val="en-US" w:eastAsia="zh-CN"/>
        </w:rPr>
      </w:pPr>
    </w:p>
    <w:p w14:paraId="6616B0AC">
      <w:pPr>
        <w:bidi w:val="0"/>
        <w:rPr>
          <w:lang w:val="en-US" w:eastAsia="zh-CN"/>
        </w:rPr>
      </w:pPr>
    </w:p>
    <w:p w14:paraId="77490E7D">
      <w:pPr>
        <w:bidi w:val="0"/>
        <w:rPr>
          <w:lang w:val="en-US" w:eastAsia="zh-CN"/>
        </w:rPr>
      </w:pPr>
    </w:p>
    <w:p w14:paraId="6857EB4F">
      <w:pPr>
        <w:bidi w:val="0"/>
        <w:rPr>
          <w:lang w:val="en-US" w:eastAsia="zh-CN"/>
        </w:rPr>
      </w:pPr>
    </w:p>
    <w:p w14:paraId="4124F770">
      <w:pPr>
        <w:bidi w:val="0"/>
        <w:rPr>
          <w:lang w:val="en-US" w:eastAsia="zh-CN"/>
        </w:rPr>
      </w:pPr>
    </w:p>
    <w:p w14:paraId="66E0D6F0">
      <w:pPr>
        <w:bidi w:val="0"/>
        <w:rPr>
          <w:lang w:val="en-US" w:eastAsia="zh-CN"/>
        </w:rPr>
      </w:pPr>
    </w:p>
    <w:p w14:paraId="551509BB">
      <w:pPr>
        <w:bidi w:val="0"/>
        <w:rPr>
          <w:lang w:val="en-US" w:eastAsia="zh-CN"/>
        </w:rPr>
      </w:pPr>
    </w:p>
    <w:p w14:paraId="4FA4CB93">
      <w:pPr>
        <w:bidi w:val="0"/>
        <w:rPr>
          <w:lang w:val="en-US" w:eastAsia="zh-CN"/>
        </w:rPr>
      </w:pPr>
    </w:p>
    <w:p w14:paraId="48EE861C">
      <w:pPr>
        <w:bidi w:val="0"/>
        <w:rPr>
          <w:lang w:val="en-US" w:eastAsia="zh-CN"/>
        </w:rPr>
      </w:pPr>
    </w:p>
    <w:p w14:paraId="5A111179">
      <w:pPr>
        <w:bidi w:val="0"/>
        <w:rPr>
          <w:lang w:val="en-US" w:eastAsia="zh-CN"/>
        </w:rPr>
      </w:pPr>
    </w:p>
    <w:p w14:paraId="4BBAAB7B">
      <w:pPr>
        <w:bidi w:val="0"/>
        <w:rPr>
          <w:lang w:val="en-US" w:eastAsia="zh-CN"/>
        </w:rPr>
      </w:pPr>
    </w:p>
    <w:p w14:paraId="657F7273">
      <w:pPr>
        <w:bidi w:val="0"/>
        <w:rPr>
          <w:lang w:val="en-US" w:eastAsia="zh-CN"/>
        </w:rPr>
      </w:pPr>
    </w:p>
    <w:p w14:paraId="0E1F043D">
      <w:pPr>
        <w:bidi w:val="0"/>
        <w:rPr>
          <w:lang w:val="en-US" w:eastAsia="zh-CN"/>
        </w:rPr>
      </w:pPr>
    </w:p>
    <w:p w14:paraId="17FD85C2">
      <w:pPr>
        <w:bidi w:val="0"/>
        <w:rPr>
          <w:lang w:val="en-US" w:eastAsia="zh-CN"/>
        </w:rPr>
      </w:pPr>
    </w:p>
    <w:p w14:paraId="01933DD0">
      <w:pPr>
        <w:bidi w:val="0"/>
        <w:rPr>
          <w:lang w:val="en-US" w:eastAsia="zh-CN"/>
        </w:rPr>
      </w:pPr>
    </w:p>
    <w:p w14:paraId="67039450">
      <w:pPr>
        <w:bidi w:val="0"/>
        <w:rPr>
          <w:lang w:val="en-US" w:eastAsia="zh-CN"/>
        </w:rPr>
      </w:pPr>
    </w:p>
    <w:p w14:paraId="3A20B3BE">
      <w:pPr>
        <w:bidi w:val="0"/>
        <w:rPr>
          <w:lang w:val="en-US" w:eastAsia="zh-CN"/>
        </w:rPr>
      </w:pPr>
    </w:p>
    <w:p w14:paraId="72232225">
      <w:pPr>
        <w:bidi w:val="0"/>
        <w:rPr>
          <w:lang w:val="en-US" w:eastAsia="zh-CN"/>
        </w:rPr>
      </w:pPr>
    </w:p>
    <w:p w14:paraId="191BEF4F">
      <w:pPr>
        <w:pStyle w:val="5"/>
        <w:ind w:left="0" w:leftChars="0" w:firstLine="0" w:firstLineChars="0"/>
        <w:rPr>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altName w:val="微软雅黑"/>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7EA3">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A5924">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7DA5924">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A07CF4"/>
    <w:multiLevelType w:val="multilevel"/>
    <w:tmpl w:val="5DA07CF4"/>
    <w:lvl w:ilvl="0" w:tentative="0">
      <w:start w:val="1"/>
      <w:numFmt w:val="decimal"/>
      <w:pStyle w:val="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wMWU2ZTM1YTA4YmMyOWFlMzdiMzQ2NWJmOWVhZDUifQ=="/>
  </w:docVars>
  <w:rsids>
    <w:rsidRoot w:val="17B03AFF"/>
    <w:rsid w:val="02483B6C"/>
    <w:rsid w:val="0B78105E"/>
    <w:rsid w:val="0D4B2831"/>
    <w:rsid w:val="17B03AFF"/>
    <w:rsid w:val="316C678D"/>
    <w:rsid w:val="38923380"/>
    <w:rsid w:val="500E503E"/>
    <w:rsid w:val="50AD47D6"/>
    <w:rsid w:val="5D3E2967"/>
    <w:rsid w:val="77C809EB"/>
    <w:rsid w:val="7C1E1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25"/>
      </w:tabs>
    </w:pPr>
    <w:rPr>
      <w:rFonts w:ascii="Arial" w:hAnsi="Arial" w:eastAsia="华文细黑" w:cs="Arial"/>
      <w:sz w:val="30"/>
    </w:rPr>
  </w:style>
  <w:style w:type="paragraph" w:styleId="3">
    <w:name w:val="Title"/>
    <w:basedOn w:val="1"/>
    <w:next w:val="1"/>
    <w:qFormat/>
    <w:uiPriority w:val="0"/>
    <w:pPr>
      <w:numPr>
        <w:ilvl w:val="0"/>
        <w:numId w:val="1"/>
      </w:numPr>
      <w:tabs>
        <w:tab w:val="left" w:pos="525"/>
      </w:tabs>
      <w:spacing w:line="500" w:lineRule="exact"/>
      <w:ind w:firstLine="0" w:firstLineChars="0"/>
    </w:pPr>
    <w:rPr>
      <w:rFonts w:ascii="宋体" w:hAnsi="宋体"/>
      <w:b/>
      <w:kern w:val="0"/>
      <w:sz w:val="24"/>
      <w:szCs w:val="24"/>
    </w:rPr>
  </w:style>
  <w:style w:type="paragraph" w:styleId="4">
    <w:name w:val="Plain Text"/>
    <w:basedOn w:val="1"/>
    <w:qFormat/>
    <w:uiPriority w:val="0"/>
    <w:rPr>
      <w:rFonts w:ascii="宋体" w:hAnsi="Courier New" w:eastAsiaTheme="minorEastAsia" w:cstheme="minorBidi"/>
      <w:szCs w:val="22"/>
    </w:rPr>
  </w:style>
  <w:style w:type="paragraph" w:styleId="5">
    <w:name w:val="Body Text Indent 2"/>
    <w:basedOn w:val="1"/>
    <w:qFormat/>
    <w:uiPriority w:val="0"/>
    <w:pPr>
      <w:adjustRightInd w:val="0"/>
      <w:spacing w:before="120" w:beforeLines="0" w:line="300" w:lineRule="auto"/>
      <w:ind w:firstLine="480"/>
      <w:jc w:val="left"/>
      <w:textAlignment w:val="baseline"/>
    </w:pPr>
    <w:rPr>
      <w:rFonts w:eastAsia="仿宋_GB2312"/>
      <w:kern w:val="0"/>
      <w:sz w:val="28"/>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780</Words>
  <Characters>814</Characters>
  <Lines>0</Lines>
  <Paragraphs>0</Paragraphs>
  <TotalTime>2</TotalTime>
  <ScaleCrop>false</ScaleCrop>
  <LinksUpToDate>false</LinksUpToDate>
  <CharactersWithSpaces>826</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2024-09-02T10:19:00Z</dcterms:created>
  <dc:creator>Admin</dc:creator>
  <cp:lastModifiedBy>Admin</cp:lastModifiedBy>
  <dcterms:modified xsi:type="dcterms:W3CDTF">2024-09-12T03:52:12Z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54144443EC5647E29A4EFF08871040D6_13</vt:lpwstr>
  </property>
</Properties>
</file>