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bidi w:val="0"/>
        <w:rPr>
          <w:rFonts w:hint="eastAsia"/>
          <w:color w:val="auto"/>
        </w:rPr>
      </w:pPr>
      <w:bookmarkStart w:id="0" w:name="SectionMark0"/>
      <w:r>
        <w:rPr>
          <w:color w:val="auto"/>
        </w:rPr>
        <w:drawing>
          <wp:anchor distT="0" distB="0" distL="114300" distR="114300" simplePos="0" relativeHeight="251659264" behindDoc="1" locked="0" layoutInCell="1" allowOverlap="1">
            <wp:simplePos x="0" y="0"/>
            <wp:positionH relativeFrom="column">
              <wp:posOffset>-1143000</wp:posOffset>
            </wp:positionH>
            <wp:positionV relativeFrom="paragraph">
              <wp:posOffset>-495300</wp:posOffset>
            </wp:positionV>
            <wp:extent cx="8915400" cy="2736850"/>
            <wp:effectExtent l="0" t="0" r="0" b="6350"/>
            <wp:wrapTight wrapText="bothSides">
              <wp:wrapPolygon>
                <wp:start x="0" y="0"/>
                <wp:lineTo x="0" y="21550"/>
                <wp:lineTo x="21569" y="21550"/>
                <wp:lineTo x="21569" y="0"/>
                <wp:lineTo x="0" y="0"/>
              </wp:wrapPolygon>
            </wp:wrapTight>
            <wp:docPr id="4"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模板-3"/>
                    <pic:cNvPicPr>
                      <a:picLocks noChangeAspect="1"/>
                    </pic:cNvPicPr>
                  </pic:nvPicPr>
                  <pic:blipFill>
                    <a:blip r:embed="rId13"/>
                    <a:stretch>
                      <a:fillRect/>
                    </a:stretch>
                  </pic:blipFill>
                  <pic:spPr>
                    <a:xfrm>
                      <a:off x="0" y="0"/>
                      <a:ext cx="8915400" cy="2736850"/>
                    </a:xfrm>
                    <a:prstGeom prst="rect">
                      <a:avLst/>
                    </a:prstGeom>
                    <a:noFill/>
                    <a:ln>
                      <a:noFill/>
                    </a:ln>
                  </pic:spPr>
                </pic:pic>
              </a:graphicData>
            </a:graphic>
          </wp:anchor>
        </w:drawing>
      </w:r>
    </w:p>
    <w:bookmarkEnd w:id="0"/>
    <w:p>
      <w:pPr>
        <w:keepNext w:val="0"/>
        <w:keepLines w:val="0"/>
        <w:pageBreakBefore w:val="0"/>
        <w:widowControl w:val="0"/>
        <w:kinsoku/>
        <w:wordWrap/>
        <w:overflowPunct/>
        <w:topLinePunct w:val="0"/>
        <w:bidi w:val="0"/>
        <w:spacing w:before="156" w:beforeLines="50"/>
        <w:jc w:val="center"/>
        <w:rPr>
          <w:rFonts w:hint="eastAsia" w:eastAsia="黑体"/>
          <w:b/>
          <w:color w:val="auto"/>
          <w:sz w:val="52"/>
          <w:lang w:val="en-US" w:eastAsia="zh-CN"/>
        </w:rPr>
      </w:pPr>
    </w:p>
    <w:p>
      <w:pPr>
        <w:keepNext w:val="0"/>
        <w:keepLines w:val="0"/>
        <w:pageBreakBefore w:val="0"/>
        <w:widowControl w:val="0"/>
        <w:kinsoku/>
        <w:wordWrap/>
        <w:overflowPunct/>
        <w:topLinePunct w:val="0"/>
        <w:bidi w:val="0"/>
        <w:spacing w:before="156" w:beforeLines="50"/>
        <w:jc w:val="center"/>
        <w:rPr>
          <w:rFonts w:hint="eastAsia" w:eastAsia="黑体"/>
          <w:b/>
          <w:color w:val="auto"/>
          <w:sz w:val="52"/>
          <w:lang w:val="en-US" w:eastAsia="zh-CN"/>
        </w:rPr>
      </w:pPr>
    </w:p>
    <w:p>
      <w:pPr>
        <w:keepNext w:val="0"/>
        <w:keepLines w:val="0"/>
        <w:pageBreakBefore w:val="0"/>
        <w:widowControl w:val="0"/>
        <w:kinsoku/>
        <w:wordWrap/>
        <w:overflowPunct/>
        <w:topLinePunct w:val="0"/>
        <w:bidi w:val="0"/>
        <w:spacing w:before="156" w:beforeLines="50"/>
        <w:jc w:val="center"/>
        <w:rPr>
          <w:rFonts w:hint="eastAsia" w:eastAsia="黑体"/>
          <w:b/>
          <w:color w:val="auto"/>
          <w:sz w:val="52"/>
          <w:lang w:val="en-US" w:eastAsia="zh-CN"/>
        </w:rPr>
      </w:pPr>
    </w:p>
    <w:p>
      <w:pPr>
        <w:keepNext w:val="0"/>
        <w:keepLines w:val="0"/>
        <w:pageBreakBefore w:val="0"/>
        <w:widowControl w:val="0"/>
        <w:kinsoku/>
        <w:wordWrap/>
        <w:overflowPunct/>
        <w:topLinePunct w:val="0"/>
        <w:bidi w:val="0"/>
        <w:spacing w:before="156" w:beforeLines="50"/>
        <w:jc w:val="center"/>
        <w:rPr>
          <w:rFonts w:hint="eastAsia" w:eastAsia="黑体"/>
          <w:b/>
          <w:color w:val="auto"/>
          <w:sz w:val="52"/>
          <w:lang w:eastAsia="zh-CN"/>
        </w:rPr>
      </w:pPr>
      <w:r>
        <w:rPr>
          <w:rFonts w:hint="eastAsia" w:eastAsia="黑体"/>
          <w:b/>
          <w:color w:val="auto"/>
          <w:sz w:val="52"/>
          <w:lang w:val="en-US" w:eastAsia="zh-CN"/>
        </w:rPr>
        <w:t xml:space="preserve"> </w:t>
      </w:r>
      <w:r>
        <w:rPr>
          <w:rFonts w:hint="eastAsia" w:eastAsia="黑体"/>
          <w:b/>
          <w:color w:val="auto"/>
          <w:sz w:val="52"/>
        </w:rPr>
        <w:t>控制电缆</w:t>
      </w:r>
      <w:bookmarkStart w:id="91" w:name="_GoBack"/>
      <w:bookmarkEnd w:id="91"/>
      <w:r>
        <w:rPr>
          <w:rFonts w:hint="eastAsia" w:eastAsia="黑体"/>
          <w:b/>
          <w:color w:val="auto"/>
          <w:sz w:val="52"/>
          <w:lang w:eastAsia="zh-CN"/>
        </w:rPr>
        <w:t>技术规范书</w:t>
      </w:r>
    </w:p>
    <w:p>
      <w:pPr>
        <w:keepNext w:val="0"/>
        <w:keepLines w:val="0"/>
        <w:pageBreakBefore w:val="0"/>
        <w:widowControl w:val="0"/>
        <w:kinsoku/>
        <w:wordWrap/>
        <w:overflowPunct/>
        <w:topLinePunct w:val="0"/>
        <w:autoSpaceDE/>
        <w:autoSpaceDN/>
        <w:bidi w:val="0"/>
        <w:adjustRightInd/>
        <w:snapToGrid/>
        <w:spacing w:before="624" w:beforeLines="200"/>
        <w:jc w:val="both"/>
        <w:textAlignment w:val="auto"/>
        <w:outlineLvl w:val="9"/>
        <w:rPr>
          <w:rFonts w:hint="eastAsia" w:ascii="Times New Roman" w:hAnsi="Times New Roman" w:eastAsia="黑体" w:cs="Times New Roman"/>
          <w:b/>
          <w:color w:val="auto"/>
          <w:sz w:val="52"/>
          <w:lang w:val="en-US" w:eastAsia="zh-CN"/>
        </w:rPr>
      </w:pPr>
    </w:p>
    <w:p>
      <w:pPr>
        <w:keepNext w:val="0"/>
        <w:keepLines w:val="0"/>
        <w:pageBreakBefore w:val="0"/>
        <w:widowControl w:val="0"/>
        <w:kinsoku/>
        <w:wordWrap/>
        <w:overflowPunct/>
        <w:topLinePunct w:val="0"/>
        <w:bidi w:val="0"/>
        <w:spacing w:before="624" w:beforeLines="200"/>
        <w:jc w:val="center"/>
        <w:rPr>
          <w:rFonts w:hint="eastAsia" w:eastAsia="黑体"/>
          <w:b/>
          <w:color w:val="auto"/>
          <w:sz w:val="48"/>
          <w:szCs w:val="48"/>
          <w:lang w:eastAsia="zh-CN"/>
        </w:rPr>
      </w:pPr>
    </w:p>
    <w:p>
      <w:pPr>
        <w:keepNext w:val="0"/>
        <w:keepLines w:val="0"/>
        <w:pageBreakBefore w:val="0"/>
        <w:widowControl w:val="0"/>
        <w:kinsoku/>
        <w:wordWrap/>
        <w:overflowPunct/>
        <w:topLinePunct w:val="0"/>
        <w:bidi w:val="0"/>
        <w:spacing w:before="624" w:beforeLines="200"/>
        <w:jc w:val="center"/>
        <w:rPr>
          <w:rFonts w:hint="eastAsia" w:eastAsia="黑体"/>
          <w:b/>
          <w:color w:val="auto"/>
          <w:sz w:val="48"/>
          <w:szCs w:val="48"/>
          <w:lang w:eastAsia="zh-CN"/>
        </w:rPr>
      </w:pPr>
    </w:p>
    <w:p>
      <w:pPr>
        <w:keepNext w:val="0"/>
        <w:keepLines w:val="0"/>
        <w:pageBreakBefore w:val="0"/>
        <w:widowControl w:val="0"/>
        <w:kinsoku/>
        <w:wordWrap/>
        <w:overflowPunct/>
        <w:topLinePunct w:val="0"/>
        <w:bidi w:val="0"/>
        <w:spacing w:before="624" w:beforeLines="200"/>
        <w:jc w:val="center"/>
        <w:rPr>
          <w:rFonts w:hint="eastAsia" w:eastAsia="黑体"/>
          <w:b/>
          <w:color w:val="auto"/>
          <w:sz w:val="36"/>
          <w:szCs w:val="36"/>
          <w:lang w:val="en-US" w:eastAsia="zh-CN"/>
        </w:rPr>
      </w:pPr>
      <w:r>
        <w:rPr>
          <w:rFonts w:hint="eastAsia" w:eastAsia="黑体"/>
          <w:b/>
          <w:color w:val="auto"/>
          <w:sz w:val="36"/>
          <w:szCs w:val="36"/>
          <w:lang w:eastAsia="zh-CN"/>
        </w:rPr>
        <w:t>广西电网</w:t>
      </w:r>
      <w:r>
        <w:rPr>
          <w:rFonts w:hint="eastAsia" w:eastAsia="黑体"/>
          <w:b/>
          <w:color w:val="auto"/>
          <w:sz w:val="36"/>
          <w:szCs w:val="36"/>
          <w:lang w:val="en-US" w:eastAsia="zh-CN"/>
        </w:rPr>
        <w:t>能源科技有限责任公司</w:t>
      </w:r>
    </w:p>
    <w:p>
      <w:pPr>
        <w:keepNext w:val="0"/>
        <w:keepLines w:val="0"/>
        <w:pageBreakBefore w:val="0"/>
        <w:widowControl w:val="0"/>
        <w:kinsoku/>
        <w:wordWrap/>
        <w:overflowPunct/>
        <w:topLinePunct w:val="0"/>
        <w:bidi w:val="0"/>
        <w:spacing w:before="624" w:beforeLines="200"/>
        <w:jc w:val="center"/>
        <w:rPr>
          <w:rFonts w:hint="eastAsia" w:eastAsia="黑体"/>
          <w:b/>
          <w:color w:val="auto"/>
          <w:sz w:val="36"/>
          <w:szCs w:val="36"/>
          <w:lang w:eastAsia="zh-CN"/>
        </w:rPr>
        <w:sectPr>
          <w:headerReference r:id="rId4" w:type="first"/>
          <w:footerReference r:id="rId7" w:type="first"/>
          <w:headerReference r:id="rId3" w:type="default"/>
          <w:footerReference r:id="rId5" w:type="default"/>
          <w:footerReference r:id="rId6" w:type="even"/>
          <w:pgSz w:w="11907" w:h="16839"/>
          <w:pgMar w:top="567" w:right="851" w:bottom="1361" w:left="1418" w:header="0" w:footer="0" w:gutter="0"/>
          <w:pgNumType w:fmt="decimal" w:start="1"/>
          <w:cols w:space="720" w:num="1"/>
          <w:titlePg/>
          <w:docGrid w:type="lines" w:linePitch="312" w:charSpace="0"/>
        </w:sectPr>
      </w:pPr>
      <w:r>
        <w:rPr>
          <w:rFonts w:hint="eastAsia" w:eastAsia="黑体"/>
          <w:b/>
          <w:color w:val="auto"/>
          <w:sz w:val="36"/>
          <w:szCs w:val="36"/>
          <w:lang w:eastAsia="zh-CN"/>
        </w:rPr>
        <w:t>20</w:t>
      </w:r>
      <w:r>
        <w:rPr>
          <w:rFonts w:hint="eastAsia" w:eastAsia="黑体"/>
          <w:b/>
          <w:color w:val="auto"/>
          <w:sz w:val="36"/>
          <w:szCs w:val="36"/>
          <w:lang w:val="en-US" w:eastAsia="zh-CN"/>
        </w:rPr>
        <w:t>24</w:t>
      </w:r>
      <w:r>
        <w:rPr>
          <w:rFonts w:hint="eastAsia" w:eastAsia="黑体"/>
          <w:b/>
          <w:color w:val="auto"/>
          <w:sz w:val="36"/>
          <w:szCs w:val="36"/>
          <w:lang w:eastAsia="zh-CN"/>
        </w:rPr>
        <w:t>年0</w:t>
      </w:r>
      <w:r>
        <w:rPr>
          <w:rFonts w:hint="eastAsia" w:eastAsia="黑体"/>
          <w:b/>
          <w:color w:val="auto"/>
          <w:sz w:val="36"/>
          <w:szCs w:val="36"/>
          <w:lang w:val="en-US" w:eastAsia="zh-CN"/>
        </w:rPr>
        <w:t>9</w:t>
      </w:r>
      <w:r>
        <w:rPr>
          <w:rFonts w:hint="eastAsia" w:eastAsia="黑体"/>
          <w:b/>
          <w:color w:val="auto"/>
          <w:sz w:val="36"/>
          <w:szCs w:val="36"/>
          <w:lang w:eastAsia="zh-CN"/>
        </w:rPr>
        <w:t>月</w:t>
      </w:r>
    </w:p>
    <w:p>
      <w:pPr>
        <w:keepNext w:val="0"/>
        <w:keepLines w:val="0"/>
        <w:pageBreakBefore w:val="0"/>
        <w:widowControl w:val="0"/>
        <w:kinsoku/>
        <w:wordWrap/>
        <w:overflowPunct/>
        <w:topLinePunct w:val="0"/>
        <w:autoSpaceDE w:val="0"/>
        <w:autoSpaceDN w:val="0"/>
        <w:bidi w:val="0"/>
        <w:adjustRightInd w:val="0"/>
        <w:spacing w:line="360" w:lineRule="auto"/>
        <w:jc w:val="center"/>
        <w:outlineLvl w:val="1"/>
        <w:rPr>
          <w:rFonts w:hint="eastAsia" w:ascii="宋体" w:hAnsi="宋体" w:cs="SimSun-Identity-H"/>
          <w:b/>
          <w:bCs/>
          <w:color w:val="auto"/>
          <w:kern w:val="0"/>
          <w:sz w:val="32"/>
          <w:szCs w:val="32"/>
          <w:lang w:val="en-US" w:eastAsia="zh-CN"/>
        </w:rPr>
      </w:pPr>
      <w:bookmarkStart w:id="1" w:name="_Toc31275"/>
      <w:bookmarkStart w:id="2" w:name="_Toc11930"/>
      <w:bookmarkStart w:id="3" w:name="_Toc1463"/>
      <w:bookmarkStart w:id="4" w:name="_Toc9027"/>
    </w:p>
    <w:p>
      <w:pPr>
        <w:keepNext w:val="0"/>
        <w:keepLines w:val="0"/>
        <w:pageBreakBefore w:val="0"/>
        <w:widowControl w:val="0"/>
        <w:kinsoku/>
        <w:wordWrap/>
        <w:overflowPunct/>
        <w:topLinePunct w:val="0"/>
        <w:autoSpaceDE w:val="0"/>
        <w:autoSpaceDN w:val="0"/>
        <w:bidi w:val="0"/>
        <w:adjustRightInd w:val="0"/>
        <w:spacing w:line="360" w:lineRule="auto"/>
        <w:jc w:val="center"/>
        <w:outlineLvl w:val="1"/>
        <w:rPr>
          <w:rFonts w:hint="eastAsia" w:ascii="宋体" w:hAnsi="宋体" w:cs="SimSun-Identity-H"/>
          <w:b/>
          <w:bCs/>
          <w:color w:val="auto"/>
          <w:kern w:val="0"/>
          <w:sz w:val="32"/>
          <w:szCs w:val="32"/>
          <w:lang w:val="en-US" w:eastAsia="zh-CN"/>
        </w:rPr>
      </w:pPr>
    </w:p>
    <w:p>
      <w:pPr>
        <w:keepNext w:val="0"/>
        <w:keepLines w:val="0"/>
        <w:pageBreakBefore w:val="0"/>
        <w:widowControl w:val="0"/>
        <w:kinsoku/>
        <w:wordWrap/>
        <w:overflowPunct/>
        <w:topLinePunct w:val="0"/>
        <w:autoSpaceDE w:val="0"/>
        <w:autoSpaceDN w:val="0"/>
        <w:bidi w:val="0"/>
        <w:adjustRightInd w:val="0"/>
        <w:spacing w:line="360" w:lineRule="auto"/>
        <w:jc w:val="center"/>
        <w:outlineLvl w:val="1"/>
        <w:rPr>
          <w:rFonts w:hint="eastAsia" w:ascii="宋体" w:hAnsi="宋体" w:cs="SimSun-Identity-H"/>
          <w:b/>
          <w:bCs/>
          <w:color w:val="auto"/>
          <w:kern w:val="0"/>
          <w:sz w:val="32"/>
          <w:szCs w:val="32"/>
          <w:lang w:val="en-US" w:eastAsia="zh-CN"/>
        </w:rPr>
      </w:pPr>
    </w:p>
    <w:p>
      <w:pPr>
        <w:keepNext w:val="0"/>
        <w:keepLines w:val="0"/>
        <w:pageBreakBefore w:val="0"/>
        <w:widowControl w:val="0"/>
        <w:kinsoku/>
        <w:wordWrap/>
        <w:overflowPunct/>
        <w:topLinePunct w:val="0"/>
        <w:autoSpaceDE w:val="0"/>
        <w:autoSpaceDN w:val="0"/>
        <w:bidi w:val="0"/>
        <w:adjustRightInd w:val="0"/>
        <w:spacing w:line="360" w:lineRule="auto"/>
        <w:jc w:val="center"/>
        <w:outlineLvl w:val="1"/>
        <w:rPr>
          <w:rFonts w:hint="default" w:ascii="宋体" w:hAnsi="宋体" w:eastAsia="宋体" w:cs="SimSun-Identity-H"/>
          <w:b/>
          <w:bCs/>
          <w:color w:val="auto"/>
          <w:kern w:val="0"/>
          <w:sz w:val="32"/>
          <w:szCs w:val="32"/>
          <w:lang w:val="en-US" w:eastAsia="zh-CN"/>
        </w:rPr>
      </w:pPr>
      <w:bookmarkStart w:id="5" w:name="_Toc9268"/>
      <w:bookmarkStart w:id="6" w:name="_Toc27411"/>
      <w:r>
        <w:rPr>
          <w:rFonts w:hint="eastAsia" w:ascii="宋体" w:hAnsi="宋体" w:cs="SimSun-Identity-H"/>
          <w:b/>
          <w:bCs/>
          <w:color w:val="auto"/>
          <w:kern w:val="0"/>
          <w:sz w:val="32"/>
          <w:szCs w:val="32"/>
          <w:lang w:val="en-US" w:eastAsia="zh-CN"/>
        </w:rPr>
        <w:t>目</w:t>
      </w:r>
      <w:bookmarkEnd w:id="1"/>
      <w:bookmarkEnd w:id="2"/>
      <w:bookmarkEnd w:id="3"/>
      <w:bookmarkEnd w:id="4"/>
      <w:bookmarkEnd w:id="5"/>
      <w:bookmarkEnd w:id="6"/>
      <w:r>
        <w:rPr>
          <w:rFonts w:hint="eastAsia" w:ascii="宋体" w:hAnsi="宋体" w:cs="SimSun-Identity-H"/>
          <w:b/>
          <w:bCs/>
          <w:color w:val="auto"/>
          <w:kern w:val="0"/>
          <w:sz w:val="32"/>
          <w:szCs w:val="32"/>
          <w:lang w:val="en-US" w:eastAsia="zh-CN"/>
        </w:rPr>
        <w:t xml:space="preserve">  录</w:t>
      </w:r>
    </w:p>
    <w:sdt>
      <w:sdtPr>
        <w:rPr>
          <w:rFonts w:ascii="宋体" w:hAnsi="宋体" w:eastAsia="宋体" w:cs="Times New Roman"/>
          <w:color w:val="auto"/>
          <w:kern w:val="2"/>
          <w:sz w:val="21"/>
          <w:szCs w:val="24"/>
          <w:lang w:val="en-US" w:eastAsia="zh-CN" w:bidi="ar-SA"/>
        </w:rPr>
        <w:id w:val="147483335"/>
        <w15:color w:val="DBDBDB"/>
        <w:docPartObj>
          <w:docPartGallery w:val="Table of Contents"/>
          <w:docPartUnique/>
        </w:docPartObj>
      </w:sdtPr>
      <w:sdtEndPr>
        <w:rPr>
          <w:rFonts w:ascii="Times New Roman" w:hAnsi="Times New Roman" w:eastAsia="宋体" w:cs="Times New Roman"/>
          <w:b/>
          <w:color w:val="auto"/>
          <w:kern w:val="2"/>
          <w:sz w:val="24"/>
          <w:szCs w:val="24"/>
          <w:lang w:val="en-US" w:eastAsia="zh-CN" w:bidi="ar-SA"/>
        </w:rPr>
      </w:sdtEndPr>
      <w:sdtContent>
        <w:p>
          <w:pPr>
            <w:pStyle w:val="17"/>
            <w:keepNext w:val="0"/>
            <w:keepLines w:val="0"/>
            <w:pageBreakBefore w:val="0"/>
            <w:widowControl w:val="0"/>
            <w:tabs>
              <w:tab w:val="right" w:leader="dot" w:pos="8306"/>
            </w:tabs>
            <w:kinsoku/>
            <w:wordWrap/>
            <w:overflowPunct/>
            <w:topLinePunct w:val="0"/>
            <w:bidi w:val="0"/>
            <w:spacing w:before="0" w:beforeLines="0" w:after="0" w:afterLines="0" w:line="240" w:lineRule="auto"/>
            <w:ind w:left="0" w:leftChars="0" w:right="0" w:rightChars="0" w:firstLine="0" w:firstLineChars="0"/>
            <w:jc w:val="both"/>
            <w:rPr>
              <w:rFonts w:ascii="Times New Roman" w:hAnsi="Times New Roman" w:eastAsia="宋体" w:cs="Times New Roman"/>
              <w:b/>
              <w:color w:val="auto"/>
              <w:kern w:val="2"/>
              <w:sz w:val="24"/>
              <w:szCs w:val="24"/>
              <w:lang w:val="en-US" w:eastAsia="zh-CN" w:bidi="ar-SA"/>
            </w:rPr>
          </w:pPr>
          <w:r>
            <w:rPr>
              <w:color w:val="auto"/>
            </w:rPr>
            <w:fldChar w:fldCharType="begin"/>
          </w:r>
          <w:r>
            <w:rPr>
              <w:color w:val="auto"/>
            </w:rPr>
            <w:instrText xml:space="preserve">TOC \o "1-2" \h \u </w:instrText>
          </w:r>
          <w:r>
            <w:rPr>
              <w:color w:val="auto"/>
            </w:rPr>
            <w:fldChar w:fldCharType="separate"/>
          </w:r>
        </w:p>
        <w:p>
          <w:pPr>
            <w:pStyle w:val="16"/>
            <w:keepNext w:val="0"/>
            <w:keepLines w:val="0"/>
            <w:pageBreakBefore w:val="0"/>
            <w:widowControl w:val="0"/>
            <w:tabs>
              <w:tab w:val="right" w:leader="dot" w:pos="8306"/>
            </w:tabs>
            <w:kinsoku/>
            <w:wordWrap/>
            <w:overflowPunct/>
            <w:topLinePunct w:val="0"/>
            <w:bidi w:val="0"/>
            <w:rPr>
              <w:color w:val="auto"/>
            </w:rPr>
          </w:pPr>
          <w:r>
            <w:rPr>
              <w:color w:val="auto"/>
            </w:rPr>
            <w:fldChar w:fldCharType="begin"/>
          </w:r>
          <w:r>
            <w:rPr>
              <w:color w:val="auto"/>
            </w:rPr>
            <w:instrText xml:space="preserve"> HYPERLINK \l _Toc8615 </w:instrText>
          </w:r>
          <w:r>
            <w:rPr>
              <w:color w:val="auto"/>
            </w:rPr>
            <w:fldChar w:fldCharType="separate"/>
          </w:r>
          <w:r>
            <w:rPr>
              <w:rFonts w:hint="default" w:ascii="宋体" w:hAnsi="宋体" w:eastAsia="宋体" w:cs="宋体"/>
              <w:color w:val="auto"/>
            </w:rPr>
            <w:t xml:space="preserve">1. </w:t>
          </w:r>
          <w:r>
            <w:rPr>
              <w:color w:val="auto"/>
            </w:rPr>
            <w:t>总则</w:t>
          </w:r>
          <w:r>
            <w:rPr>
              <w:color w:val="auto"/>
            </w:rPr>
            <w:tab/>
          </w:r>
          <w:r>
            <w:rPr>
              <w:color w:val="auto"/>
            </w:rPr>
            <w:fldChar w:fldCharType="begin"/>
          </w:r>
          <w:r>
            <w:rPr>
              <w:color w:val="auto"/>
            </w:rPr>
            <w:instrText xml:space="preserve"> PAGEREF _Toc8615 \h </w:instrText>
          </w:r>
          <w:r>
            <w:rPr>
              <w:color w:val="auto"/>
            </w:rPr>
            <w:fldChar w:fldCharType="separate"/>
          </w:r>
          <w:r>
            <w:rPr>
              <w:color w:val="auto"/>
            </w:rPr>
            <w:t>1</w:t>
          </w:r>
          <w:r>
            <w:rPr>
              <w:color w:val="auto"/>
            </w:rPr>
            <w:fldChar w:fldCharType="end"/>
          </w:r>
          <w:r>
            <w:rPr>
              <w:color w:val="auto"/>
            </w:rPr>
            <w:fldChar w:fldCharType="end"/>
          </w:r>
        </w:p>
        <w:p>
          <w:pPr>
            <w:pStyle w:val="16"/>
            <w:keepNext w:val="0"/>
            <w:keepLines w:val="0"/>
            <w:pageBreakBefore w:val="0"/>
            <w:widowControl w:val="0"/>
            <w:tabs>
              <w:tab w:val="right" w:leader="dot" w:pos="8306"/>
            </w:tabs>
            <w:kinsoku/>
            <w:wordWrap/>
            <w:overflowPunct/>
            <w:topLinePunct w:val="0"/>
            <w:bidi w:val="0"/>
            <w:rPr>
              <w:color w:val="auto"/>
            </w:rPr>
          </w:pPr>
          <w:r>
            <w:rPr>
              <w:color w:val="auto"/>
            </w:rPr>
            <w:fldChar w:fldCharType="begin"/>
          </w:r>
          <w:r>
            <w:rPr>
              <w:color w:val="auto"/>
            </w:rPr>
            <w:instrText xml:space="preserve"> HYPERLINK \l _Toc380 </w:instrText>
          </w:r>
          <w:r>
            <w:rPr>
              <w:color w:val="auto"/>
            </w:rPr>
            <w:fldChar w:fldCharType="separate"/>
          </w:r>
          <w:r>
            <w:rPr>
              <w:rFonts w:hint="default" w:ascii="宋体" w:hAnsi="宋体" w:eastAsia="宋体" w:cs="宋体"/>
              <w:color w:val="auto"/>
            </w:rPr>
            <w:t xml:space="preserve">2. </w:t>
          </w:r>
          <w:r>
            <w:rPr>
              <w:color w:val="auto"/>
            </w:rPr>
            <w:t>应遵循的主要标准</w:t>
          </w:r>
          <w:r>
            <w:rPr>
              <w:color w:val="auto"/>
            </w:rPr>
            <w:tab/>
          </w:r>
          <w:r>
            <w:rPr>
              <w:color w:val="auto"/>
            </w:rPr>
            <w:fldChar w:fldCharType="begin"/>
          </w:r>
          <w:r>
            <w:rPr>
              <w:color w:val="auto"/>
            </w:rPr>
            <w:instrText xml:space="preserve"> PAGEREF _Toc380 \h </w:instrText>
          </w:r>
          <w:r>
            <w:rPr>
              <w:color w:val="auto"/>
            </w:rPr>
            <w:fldChar w:fldCharType="separate"/>
          </w:r>
          <w:r>
            <w:rPr>
              <w:color w:val="auto"/>
            </w:rPr>
            <w:t>2</w:t>
          </w:r>
          <w:r>
            <w:rPr>
              <w:color w:val="auto"/>
            </w:rPr>
            <w:fldChar w:fldCharType="end"/>
          </w:r>
          <w:r>
            <w:rPr>
              <w:color w:val="auto"/>
            </w:rPr>
            <w:fldChar w:fldCharType="end"/>
          </w:r>
        </w:p>
        <w:p>
          <w:pPr>
            <w:pStyle w:val="16"/>
            <w:keepNext w:val="0"/>
            <w:keepLines w:val="0"/>
            <w:pageBreakBefore w:val="0"/>
            <w:widowControl w:val="0"/>
            <w:tabs>
              <w:tab w:val="right" w:leader="dot" w:pos="8306"/>
            </w:tabs>
            <w:kinsoku/>
            <w:wordWrap/>
            <w:overflowPunct/>
            <w:topLinePunct w:val="0"/>
            <w:bidi w:val="0"/>
            <w:rPr>
              <w:color w:val="auto"/>
            </w:rPr>
          </w:pPr>
          <w:r>
            <w:rPr>
              <w:color w:val="auto"/>
            </w:rPr>
            <w:fldChar w:fldCharType="begin"/>
          </w:r>
          <w:r>
            <w:rPr>
              <w:color w:val="auto"/>
            </w:rPr>
            <w:instrText xml:space="preserve"> HYPERLINK \l _Toc16236 </w:instrText>
          </w:r>
          <w:r>
            <w:rPr>
              <w:color w:val="auto"/>
            </w:rPr>
            <w:fldChar w:fldCharType="separate"/>
          </w:r>
          <w:r>
            <w:rPr>
              <w:rFonts w:hint="default" w:ascii="宋体" w:hAnsi="宋体" w:eastAsia="宋体" w:cs="宋体"/>
              <w:color w:val="auto"/>
            </w:rPr>
            <w:t xml:space="preserve">3. </w:t>
          </w:r>
          <w:r>
            <w:rPr>
              <w:color w:val="auto"/>
            </w:rPr>
            <w:t>使用条件</w:t>
          </w:r>
          <w:r>
            <w:rPr>
              <w:color w:val="auto"/>
            </w:rPr>
            <w:tab/>
          </w:r>
          <w:r>
            <w:rPr>
              <w:color w:val="auto"/>
            </w:rPr>
            <w:fldChar w:fldCharType="begin"/>
          </w:r>
          <w:r>
            <w:rPr>
              <w:color w:val="auto"/>
            </w:rPr>
            <w:instrText xml:space="preserve"> PAGEREF _Toc16236 \h </w:instrText>
          </w:r>
          <w:r>
            <w:rPr>
              <w:color w:val="auto"/>
            </w:rPr>
            <w:fldChar w:fldCharType="separate"/>
          </w:r>
          <w:r>
            <w:rPr>
              <w:color w:val="auto"/>
            </w:rPr>
            <w:t>3</w:t>
          </w:r>
          <w:r>
            <w:rPr>
              <w:color w:val="auto"/>
            </w:rPr>
            <w:fldChar w:fldCharType="end"/>
          </w:r>
          <w:r>
            <w:rPr>
              <w:color w:val="auto"/>
            </w:rPr>
            <w:fldChar w:fldCharType="end"/>
          </w:r>
        </w:p>
        <w:p>
          <w:pPr>
            <w:pStyle w:val="16"/>
            <w:keepNext w:val="0"/>
            <w:keepLines w:val="0"/>
            <w:pageBreakBefore w:val="0"/>
            <w:widowControl w:val="0"/>
            <w:tabs>
              <w:tab w:val="right" w:leader="dot" w:pos="8306"/>
            </w:tabs>
            <w:kinsoku/>
            <w:wordWrap/>
            <w:overflowPunct/>
            <w:topLinePunct w:val="0"/>
            <w:bidi w:val="0"/>
            <w:rPr>
              <w:color w:val="auto"/>
            </w:rPr>
          </w:pPr>
          <w:r>
            <w:rPr>
              <w:color w:val="auto"/>
            </w:rPr>
            <w:fldChar w:fldCharType="begin"/>
          </w:r>
          <w:r>
            <w:rPr>
              <w:color w:val="auto"/>
            </w:rPr>
            <w:instrText xml:space="preserve"> HYPERLINK \l _Toc10562 </w:instrText>
          </w:r>
          <w:r>
            <w:rPr>
              <w:color w:val="auto"/>
            </w:rPr>
            <w:fldChar w:fldCharType="separate"/>
          </w:r>
          <w:r>
            <w:rPr>
              <w:rFonts w:hint="default" w:ascii="宋体" w:hAnsi="宋体" w:eastAsia="宋体" w:cs="宋体"/>
              <w:color w:val="auto"/>
            </w:rPr>
            <w:t xml:space="preserve">4. </w:t>
          </w:r>
          <w:r>
            <w:rPr>
              <w:color w:val="auto"/>
            </w:rPr>
            <w:t>技术要求</w:t>
          </w:r>
          <w:r>
            <w:rPr>
              <w:color w:val="auto"/>
            </w:rPr>
            <w:tab/>
          </w:r>
          <w:r>
            <w:rPr>
              <w:color w:val="auto"/>
            </w:rPr>
            <w:fldChar w:fldCharType="begin"/>
          </w:r>
          <w:r>
            <w:rPr>
              <w:color w:val="auto"/>
            </w:rPr>
            <w:instrText xml:space="preserve"> PAGEREF _Toc10562 \h </w:instrText>
          </w:r>
          <w:r>
            <w:rPr>
              <w:color w:val="auto"/>
            </w:rPr>
            <w:fldChar w:fldCharType="separate"/>
          </w:r>
          <w:r>
            <w:rPr>
              <w:color w:val="auto"/>
            </w:rPr>
            <w:t>4</w:t>
          </w:r>
          <w:r>
            <w:rPr>
              <w:color w:val="auto"/>
            </w:rPr>
            <w:fldChar w:fldCharType="end"/>
          </w:r>
          <w:r>
            <w:rPr>
              <w:color w:val="auto"/>
            </w:rPr>
            <w:fldChar w:fldCharType="end"/>
          </w:r>
        </w:p>
        <w:p>
          <w:pPr>
            <w:pStyle w:val="16"/>
            <w:keepNext w:val="0"/>
            <w:keepLines w:val="0"/>
            <w:pageBreakBefore w:val="0"/>
            <w:widowControl w:val="0"/>
            <w:tabs>
              <w:tab w:val="right" w:leader="dot" w:pos="8306"/>
            </w:tabs>
            <w:kinsoku/>
            <w:wordWrap/>
            <w:overflowPunct/>
            <w:topLinePunct w:val="0"/>
            <w:bidi w:val="0"/>
            <w:rPr>
              <w:color w:val="auto"/>
            </w:rPr>
          </w:pPr>
          <w:r>
            <w:rPr>
              <w:color w:val="auto"/>
            </w:rPr>
            <w:fldChar w:fldCharType="begin"/>
          </w:r>
          <w:r>
            <w:rPr>
              <w:color w:val="auto"/>
            </w:rPr>
            <w:instrText xml:space="preserve"> HYPERLINK \l _Toc18949 </w:instrText>
          </w:r>
          <w:r>
            <w:rPr>
              <w:color w:val="auto"/>
            </w:rPr>
            <w:fldChar w:fldCharType="separate"/>
          </w:r>
          <w:r>
            <w:rPr>
              <w:rFonts w:hint="default" w:ascii="宋体" w:hAnsi="宋体" w:eastAsia="宋体" w:cs="宋体"/>
              <w:color w:val="auto"/>
            </w:rPr>
            <w:t xml:space="preserve">5. </w:t>
          </w:r>
          <w:r>
            <w:rPr>
              <w:color w:val="auto"/>
            </w:rPr>
            <w:t>功能要求</w:t>
          </w:r>
          <w:r>
            <w:rPr>
              <w:color w:val="auto"/>
            </w:rPr>
            <w:tab/>
          </w:r>
          <w:r>
            <w:rPr>
              <w:color w:val="auto"/>
            </w:rPr>
            <w:fldChar w:fldCharType="begin"/>
          </w:r>
          <w:r>
            <w:rPr>
              <w:color w:val="auto"/>
            </w:rPr>
            <w:instrText xml:space="preserve"> PAGEREF _Toc18949 \h </w:instrText>
          </w:r>
          <w:r>
            <w:rPr>
              <w:color w:val="auto"/>
            </w:rPr>
            <w:fldChar w:fldCharType="separate"/>
          </w:r>
          <w:r>
            <w:rPr>
              <w:color w:val="auto"/>
            </w:rPr>
            <w:t>6</w:t>
          </w:r>
          <w:r>
            <w:rPr>
              <w:color w:val="auto"/>
            </w:rPr>
            <w:fldChar w:fldCharType="end"/>
          </w:r>
          <w:r>
            <w:rPr>
              <w:color w:val="auto"/>
            </w:rPr>
            <w:fldChar w:fldCharType="end"/>
          </w:r>
        </w:p>
        <w:p>
          <w:pPr>
            <w:pStyle w:val="16"/>
            <w:keepNext w:val="0"/>
            <w:keepLines w:val="0"/>
            <w:pageBreakBefore w:val="0"/>
            <w:widowControl w:val="0"/>
            <w:tabs>
              <w:tab w:val="right" w:leader="dot" w:pos="8306"/>
            </w:tabs>
            <w:kinsoku/>
            <w:wordWrap/>
            <w:overflowPunct/>
            <w:topLinePunct w:val="0"/>
            <w:bidi w:val="0"/>
            <w:rPr>
              <w:color w:val="auto"/>
            </w:rPr>
          </w:pPr>
          <w:r>
            <w:rPr>
              <w:color w:val="auto"/>
            </w:rPr>
            <w:fldChar w:fldCharType="begin"/>
          </w:r>
          <w:r>
            <w:rPr>
              <w:color w:val="auto"/>
            </w:rPr>
            <w:instrText xml:space="preserve"> HYPERLINK \l _Toc2829 </w:instrText>
          </w:r>
          <w:r>
            <w:rPr>
              <w:color w:val="auto"/>
            </w:rPr>
            <w:fldChar w:fldCharType="separate"/>
          </w:r>
          <w:r>
            <w:rPr>
              <w:rFonts w:hint="default" w:ascii="宋体" w:hAnsi="宋体" w:eastAsia="宋体" w:cs="宋体"/>
              <w:color w:val="auto"/>
            </w:rPr>
            <w:t xml:space="preserve">6. </w:t>
          </w:r>
          <w:r>
            <w:rPr>
              <w:color w:val="auto"/>
            </w:rPr>
            <w:t>试验</w:t>
          </w:r>
          <w:r>
            <w:rPr>
              <w:color w:val="auto"/>
            </w:rPr>
            <w:tab/>
          </w:r>
          <w:r>
            <w:rPr>
              <w:color w:val="auto"/>
            </w:rPr>
            <w:fldChar w:fldCharType="begin"/>
          </w:r>
          <w:r>
            <w:rPr>
              <w:color w:val="auto"/>
            </w:rPr>
            <w:instrText xml:space="preserve"> PAGEREF _Toc2829 \h </w:instrText>
          </w:r>
          <w:r>
            <w:rPr>
              <w:color w:val="auto"/>
            </w:rPr>
            <w:fldChar w:fldCharType="separate"/>
          </w:r>
          <w:r>
            <w:rPr>
              <w:color w:val="auto"/>
            </w:rPr>
            <w:t>7</w:t>
          </w:r>
          <w:r>
            <w:rPr>
              <w:color w:val="auto"/>
            </w:rPr>
            <w:fldChar w:fldCharType="end"/>
          </w:r>
          <w:r>
            <w:rPr>
              <w:color w:val="auto"/>
            </w:rPr>
            <w:fldChar w:fldCharType="end"/>
          </w:r>
        </w:p>
        <w:p>
          <w:pPr>
            <w:pStyle w:val="16"/>
            <w:keepNext w:val="0"/>
            <w:keepLines w:val="0"/>
            <w:pageBreakBefore w:val="0"/>
            <w:widowControl w:val="0"/>
            <w:tabs>
              <w:tab w:val="right" w:leader="dot" w:pos="8306"/>
            </w:tabs>
            <w:kinsoku/>
            <w:wordWrap/>
            <w:overflowPunct/>
            <w:topLinePunct w:val="0"/>
            <w:bidi w:val="0"/>
            <w:rPr>
              <w:color w:val="auto"/>
            </w:rPr>
          </w:pPr>
          <w:r>
            <w:rPr>
              <w:color w:val="auto"/>
            </w:rPr>
            <w:fldChar w:fldCharType="begin"/>
          </w:r>
          <w:r>
            <w:rPr>
              <w:color w:val="auto"/>
            </w:rPr>
            <w:instrText xml:space="preserve"> HYPERLINK \l _Toc26545 </w:instrText>
          </w:r>
          <w:r>
            <w:rPr>
              <w:color w:val="auto"/>
            </w:rPr>
            <w:fldChar w:fldCharType="separate"/>
          </w:r>
          <w:r>
            <w:rPr>
              <w:rFonts w:hint="default" w:ascii="宋体" w:hAnsi="宋体" w:eastAsia="宋体" w:cs="宋体"/>
              <w:color w:val="auto"/>
            </w:rPr>
            <w:t xml:space="preserve">7. </w:t>
          </w:r>
          <w:r>
            <w:rPr>
              <w:color w:val="auto"/>
            </w:rPr>
            <w:t>包装、运输、贮存和质量保证</w:t>
          </w:r>
          <w:r>
            <w:rPr>
              <w:color w:val="auto"/>
            </w:rPr>
            <w:tab/>
          </w:r>
          <w:r>
            <w:rPr>
              <w:color w:val="auto"/>
            </w:rPr>
            <w:fldChar w:fldCharType="begin"/>
          </w:r>
          <w:r>
            <w:rPr>
              <w:color w:val="auto"/>
            </w:rPr>
            <w:instrText xml:space="preserve"> PAGEREF _Toc26545 \h </w:instrText>
          </w:r>
          <w:r>
            <w:rPr>
              <w:color w:val="auto"/>
            </w:rPr>
            <w:fldChar w:fldCharType="separate"/>
          </w:r>
          <w:r>
            <w:rPr>
              <w:color w:val="auto"/>
            </w:rPr>
            <w:t>8</w:t>
          </w:r>
          <w:r>
            <w:rPr>
              <w:color w:val="auto"/>
            </w:rPr>
            <w:fldChar w:fldCharType="end"/>
          </w:r>
          <w:r>
            <w:rPr>
              <w:color w:val="auto"/>
            </w:rPr>
            <w:fldChar w:fldCharType="end"/>
          </w:r>
        </w:p>
        <w:p>
          <w:pPr>
            <w:keepNext w:val="0"/>
            <w:keepLines w:val="0"/>
            <w:pageBreakBefore w:val="0"/>
            <w:widowControl w:val="0"/>
            <w:tabs>
              <w:tab w:val="right" w:leader="dot" w:pos="8306"/>
            </w:tabs>
            <w:kinsoku/>
            <w:wordWrap/>
            <w:overflowPunct/>
            <w:topLinePunct w:val="0"/>
            <w:bidi w:val="0"/>
            <w:spacing w:before="0" w:beforeLines="0" w:after="0" w:afterLines="0" w:line="240" w:lineRule="auto"/>
            <w:ind w:left="0" w:leftChars="0" w:right="0" w:rightChars="0" w:firstLine="0" w:firstLineChars="0"/>
            <w:jc w:val="both"/>
            <w:rPr>
              <w:color w:val="auto"/>
            </w:rPr>
          </w:pPr>
          <w:r>
            <w:rPr>
              <w:b/>
              <w:color w:val="auto"/>
            </w:rPr>
            <w:fldChar w:fldCharType="end"/>
          </w:r>
        </w:p>
      </w:sdtContent>
    </w:sdt>
    <w:p>
      <w:pPr>
        <w:keepNext w:val="0"/>
        <w:keepLines w:val="0"/>
        <w:pageBreakBefore w:val="0"/>
        <w:widowControl w:val="0"/>
        <w:kinsoku/>
        <w:wordWrap/>
        <w:overflowPunct/>
        <w:topLinePunct w:val="0"/>
        <w:bidi w:val="0"/>
        <w:rPr>
          <w:color w:val="auto"/>
        </w:rPr>
      </w:pPr>
    </w:p>
    <w:p>
      <w:pPr>
        <w:keepNext w:val="0"/>
        <w:keepLines w:val="0"/>
        <w:pageBreakBefore w:val="0"/>
        <w:widowControl w:val="0"/>
        <w:kinsoku/>
        <w:wordWrap/>
        <w:overflowPunct/>
        <w:topLinePunct w:val="0"/>
        <w:bidi w:val="0"/>
        <w:rPr>
          <w:color w:val="auto"/>
        </w:rPr>
      </w:pPr>
    </w:p>
    <w:p>
      <w:pPr>
        <w:pStyle w:val="4"/>
        <w:keepNext w:val="0"/>
        <w:keepLines w:val="0"/>
        <w:pageBreakBefore w:val="0"/>
        <w:widowControl w:val="0"/>
        <w:numPr>
          <w:ilvl w:val="0"/>
          <w:numId w:val="0"/>
        </w:numPr>
        <w:tabs>
          <w:tab w:val="left" w:pos="0"/>
          <w:tab w:val="clear" w:pos="420"/>
        </w:tabs>
        <w:kinsoku/>
        <w:wordWrap/>
        <w:overflowPunct/>
        <w:topLinePunct w:val="0"/>
        <w:bidi w:val="0"/>
        <w:ind w:leftChars="0"/>
        <w:rPr>
          <w:color w:val="auto"/>
        </w:rPr>
      </w:pPr>
    </w:p>
    <w:p>
      <w:pPr>
        <w:keepNext w:val="0"/>
        <w:keepLines w:val="0"/>
        <w:pageBreakBefore w:val="0"/>
        <w:widowControl w:val="0"/>
        <w:kinsoku/>
        <w:wordWrap/>
        <w:overflowPunct/>
        <w:topLinePunct w:val="0"/>
        <w:bidi w:val="0"/>
        <w:rPr>
          <w:color w:val="auto"/>
        </w:rPr>
      </w:pPr>
    </w:p>
    <w:p>
      <w:pPr>
        <w:keepNext w:val="0"/>
        <w:keepLines w:val="0"/>
        <w:pageBreakBefore w:val="0"/>
        <w:widowControl w:val="0"/>
        <w:kinsoku/>
        <w:wordWrap/>
        <w:overflowPunct/>
        <w:topLinePunct w:val="0"/>
        <w:bidi w:val="0"/>
        <w:rPr>
          <w:color w:val="auto"/>
        </w:rPr>
      </w:pPr>
    </w:p>
    <w:p>
      <w:pPr>
        <w:keepNext w:val="0"/>
        <w:keepLines w:val="0"/>
        <w:pageBreakBefore w:val="0"/>
        <w:widowControl w:val="0"/>
        <w:kinsoku/>
        <w:wordWrap/>
        <w:overflowPunct/>
        <w:topLinePunct w:val="0"/>
        <w:bidi w:val="0"/>
        <w:rPr>
          <w:color w:val="auto"/>
        </w:rPr>
      </w:pPr>
    </w:p>
    <w:p>
      <w:pPr>
        <w:keepNext w:val="0"/>
        <w:keepLines w:val="0"/>
        <w:pageBreakBefore w:val="0"/>
        <w:widowControl w:val="0"/>
        <w:kinsoku/>
        <w:wordWrap/>
        <w:overflowPunct/>
        <w:topLinePunct w:val="0"/>
        <w:bidi w:val="0"/>
        <w:rPr>
          <w:color w:val="auto"/>
        </w:rPr>
      </w:pPr>
    </w:p>
    <w:p>
      <w:pPr>
        <w:keepNext w:val="0"/>
        <w:keepLines w:val="0"/>
        <w:pageBreakBefore w:val="0"/>
        <w:widowControl w:val="0"/>
        <w:tabs>
          <w:tab w:val="left" w:pos="5262"/>
        </w:tabs>
        <w:kinsoku/>
        <w:wordWrap/>
        <w:overflowPunct/>
        <w:topLinePunct w:val="0"/>
        <w:bidi w:val="0"/>
        <w:jc w:val="left"/>
        <w:rPr>
          <w:rFonts w:hint="eastAsia" w:eastAsia="宋体"/>
          <w:color w:val="auto"/>
          <w:lang w:eastAsia="zh-CN"/>
        </w:rPr>
        <w:sectPr>
          <w:headerReference r:id="rId8" w:type="default"/>
          <w:footerReference r:id="rId9" w:type="default"/>
          <w:pgSz w:w="11906" w:h="16838"/>
          <w:pgMar w:top="1440" w:right="1800" w:bottom="1440" w:left="1800" w:header="851" w:footer="992" w:gutter="0"/>
          <w:pgNumType w:fmt="decimal"/>
          <w:cols w:space="425" w:num="1"/>
          <w:docGrid w:type="lines" w:linePitch="312" w:charSpace="0"/>
        </w:sectPr>
      </w:pPr>
      <w:r>
        <w:rPr>
          <w:rFonts w:hint="eastAsia"/>
          <w:color w:val="auto"/>
          <w:lang w:eastAsia="zh-CN"/>
        </w:rPr>
        <w:tab/>
      </w:r>
    </w:p>
    <w:p>
      <w:pPr>
        <w:pStyle w:val="4"/>
        <w:keepNext w:val="0"/>
        <w:keepLines w:val="0"/>
        <w:pageBreakBefore w:val="0"/>
        <w:widowControl w:val="0"/>
        <w:tabs>
          <w:tab w:val="left" w:pos="0"/>
          <w:tab w:val="clear" w:pos="420"/>
        </w:tabs>
        <w:kinsoku/>
        <w:wordWrap/>
        <w:overflowPunct/>
        <w:topLinePunct w:val="0"/>
        <w:bidi w:val="0"/>
        <w:ind w:left="432" w:leftChars="0" w:hanging="432" w:firstLineChars="0"/>
        <w:rPr>
          <w:color w:val="auto"/>
        </w:rPr>
      </w:pPr>
      <w:bookmarkStart w:id="7" w:name="_Toc28640"/>
      <w:bookmarkStart w:id="8" w:name="_Toc8615"/>
      <w:r>
        <w:rPr>
          <w:color w:val="auto"/>
        </w:rPr>
        <w:t>总则</w:t>
      </w:r>
      <w:bookmarkEnd w:id="7"/>
      <w:bookmarkEnd w:id="8"/>
    </w:p>
    <w:p>
      <w:pPr>
        <w:pStyle w:val="5"/>
        <w:keepNext w:val="0"/>
        <w:keepLines w:val="0"/>
        <w:pageBreakBefore w:val="0"/>
        <w:widowControl w:val="0"/>
        <w:kinsoku/>
        <w:wordWrap/>
        <w:overflowPunct/>
        <w:topLinePunct w:val="0"/>
        <w:bidi w:val="0"/>
        <w:rPr>
          <w:rFonts w:hint="eastAsia"/>
          <w:color w:val="auto"/>
        </w:rPr>
      </w:pPr>
      <w:bookmarkStart w:id="9" w:name="_Toc2538"/>
      <w:bookmarkStart w:id="10" w:name="_Toc447790047"/>
      <w:bookmarkStart w:id="11" w:name="_Toc491259743"/>
      <w:bookmarkStart w:id="12" w:name="_Toc384214439"/>
      <w:bookmarkStart w:id="13" w:name="_Toc14498"/>
      <w:r>
        <w:rPr>
          <w:rFonts w:hint="eastAsia"/>
          <w:color w:val="auto"/>
        </w:rPr>
        <w:t>本招标技术文件适用于广西</w:t>
      </w:r>
      <w:r>
        <w:rPr>
          <w:rFonts w:hint="eastAsia"/>
          <w:color w:val="auto"/>
          <w:lang w:val="en-US" w:eastAsia="zh-CN"/>
        </w:rPr>
        <w:t>电网能源科技有限责任公司</w:t>
      </w:r>
      <w:r>
        <w:rPr>
          <w:rFonts w:hint="eastAsia"/>
          <w:color w:val="auto"/>
        </w:rPr>
        <w:t>控制电缆的功能、性能、安装等方面的技术要求。</w:t>
      </w:r>
      <w:bookmarkEnd w:id="9"/>
    </w:p>
    <w:p>
      <w:pPr>
        <w:pStyle w:val="5"/>
        <w:keepNext w:val="0"/>
        <w:keepLines w:val="0"/>
        <w:pageBreakBefore w:val="0"/>
        <w:widowControl w:val="0"/>
        <w:kinsoku/>
        <w:wordWrap/>
        <w:overflowPunct/>
        <w:topLinePunct w:val="0"/>
        <w:bidi w:val="0"/>
        <w:rPr>
          <w:rFonts w:hint="eastAsia"/>
          <w:color w:val="auto"/>
        </w:rPr>
      </w:pPr>
      <w:bookmarkStart w:id="14" w:name="_Toc12030"/>
      <w:r>
        <w:rPr>
          <w:rFonts w:hint="eastAsia"/>
          <w:color w:val="auto"/>
        </w:rPr>
        <w:t>投标者必须具有3年以上控制电缆设备实施经验，通过ISO-9001质量认证或相当的认证。提供的设备必须具备质检部门的认可文件以及国家电力部门鉴定证书和生产许可证, 且必须提供在电力系统商业运行的良好记录。</w:t>
      </w:r>
      <w:bookmarkEnd w:id="14"/>
    </w:p>
    <w:p>
      <w:pPr>
        <w:pStyle w:val="5"/>
        <w:keepNext w:val="0"/>
        <w:keepLines w:val="0"/>
        <w:pageBreakBefore w:val="0"/>
        <w:widowControl w:val="0"/>
        <w:kinsoku/>
        <w:wordWrap/>
        <w:overflowPunct/>
        <w:topLinePunct w:val="0"/>
        <w:bidi w:val="0"/>
        <w:rPr>
          <w:rFonts w:hint="eastAsia"/>
          <w:color w:val="auto"/>
        </w:rPr>
      </w:pPr>
      <w:bookmarkStart w:id="15" w:name="_Toc26399"/>
      <w:r>
        <w:rPr>
          <w:rFonts w:hint="eastAsia"/>
          <w:color w:val="auto"/>
        </w:rPr>
        <w:t>本设备招标技术文件提出的是最低限度的技术要求, 并未对一切技术细节作出规定, 也未充分引述有关标准和规范的条文, 投标方应提供符合本招标技术文件和工业标准的优质产品。</w:t>
      </w:r>
      <w:bookmarkEnd w:id="15"/>
    </w:p>
    <w:p>
      <w:pPr>
        <w:pStyle w:val="5"/>
        <w:keepNext w:val="0"/>
        <w:keepLines w:val="0"/>
        <w:pageBreakBefore w:val="0"/>
        <w:widowControl w:val="0"/>
        <w:kinsoku/>
        <w:wordWrap/>
        <w:overflowPunct/>
        <w:topLinePunct w:val="0"/>
        <w:bidi w:val="0"/>
        <w:rPr>
          <w:rFonts w:hint="eastAsia"/>
          <w:color w:val="auto"/>
        </w:rPr>
      </w:pPr>
      <w:bookmarkStart w:id="16" w:name="_Toc17876"/>
      <w:r>
        <w:rPr>
          <w:rFonts w:hint="eastAsia"/>
          <w:color w:val="auto"/>
        </w:rPr>
        <w:t>如果投标方没有以书面形式对本招标技术文件的条文提出异议, 则意味着投标方提供的设备(或系统)完全符合本招标技术文件的要求。如有异议, 不管是多么微小, 都应在报价书中以“对招标技术文件的意见和同招标技术文件的差异”为标题的专门章节中加以详细描述。</w:t>
      </w:r>
      <w:bookmarkEnd w:id="16"/>
    </w:p>
    <w:p>
      <w:pPr>
        <w:pStyle w:val="5"/>
        <w:keepNext w:val="0"/>
        <w:keepLines w:val="0"/>
        <w:pageBreakBefore w:val="0"/>
        <w:widowControl w:val="0"/>
        <w:kinsoku/>
        <w:wordWrap/>
        <w:overflowPunct/>
        <w:topLinePunct w:val="0"/>
        <w:bidi w:val="0"/>
        <w:rPr>
          <w:rFonts w:hint="eastAsia"/>
          <w:color w:val="auto"/>
        </w:rPr>
      </w:pPr>
      <w:bookmarkStart w:id="17" w:name="_Toc23774"/>
      <w:r>
        <w:rPr>
          <w:rFonts w:hint="eastAsia"/>
          <w:color w:val="auto"/>
        </w:rPr>
        <w:t>本招标技术文件所使用的标准如遇与投标方所执行的标准不一致时, 按较高标准执行。</w:t>
      </w:r>
      <w:bookmarkEnd w:id="17"/>
    </w:p>
    <w:p>
      <w:pPr>
        <w:pStyle w:val="5"/>
        <w:keepNext w:val="0"/>
        <w:keepLines w:val="0"/>
        <w:pageBreakBefore w:val="0"/>
        <w:widowControl w:val="0"/>
        <w:kinsoku/>
        <w:wordWrap/>
        <w:overflowPunct/>
        <w:topLinePunct w:val="0"/>
        <w:bidi w:val="0"/>
        <w:rPr>
          <w:rFonts w:hint="eastAsia"/>
          <w:color w:val="auto"/>
        </w:rPr>
      </w:pPr>
      <w:bookmarkStart w:id="18" w:name="_Toc25840"/>
      <w:r>
        <w:rPr>
          <w:rFonts w:hint="eastAsia"/>
          <w:color w:val="auto"/>
        </w:rPr>
        <w:t>本招标技术文件经买、卖双方确认后作为订货合同的技术附件，与合同正文具有同等法律效力。</w:t>
      </w:r>
      <w:bookmarkEnd w:id="18"/>
    </w:p>
    <w:p>
      <w:pPr>
        <w:pStyle w:val="5"/>
        <w:keepNext w:val="0"/>
        <w:keepLines w:val="0"/>
        <w:pageBreakBefore w:val="0"/>
        <w:widowControl w:val="0"/>
        <w:kinsoku/>
        <w:wordWrap/>
        <w:overflowPunct/>
        <w:topLinePunct w:val="0"/>
        <w:bidi w:val="0"/>
        <w:rPr>
          <w:rFonts w:hint="eastAsia"/>
          <w:color w:val="auto"/>
        </w:rPr>
      </w:pPr>
      <w:bookmarkStart w:id="19" w:name="_Toc28948"/>
      <w:r>
        <w:rPr>
          <w:rFonts w:hint="eastAsia"/>
          <w:color w:val="auto"/>
        </w:rPr>
        <w:t>投标方在应标技术文件中应如实反映应标产品与本招标技术文件的技术差异。如果投标方没有提出技术差异，而在执行合同的过程中，招标方发现投标方提供的产品与其应标技术文件的条文存在差异，招标方有权利要求退货，并将对下一年度的评标工作有不同程度的影响。</w:t>
      </w:r>
      <w:bookmarkEnd w:id="19"/>
    </w:p>
    <w:p>
      <w:pPr>
        <w:pStyle w:val="5"/>
        <w:keepNext w:val="0"/>
        <w:keepLines w:val="0"/>
        <w:pageBreakBefore w:val="0"/>
        <w:widowControl w:val="0"/>
        <w:kinsoku/>
        <w:wordWrap/>
        <w:overflowPunct/>
        <w:topLinePunct w:val="0"/>
        <w:bidi w:val="0"/>
        <w:rPr>
          <w:rFonts w:hint="eastAsia"/>
          <w:color w:val="auto"/>
        </w:rPr>
      </w:pPr>
      <w:bookmarkStart w:id="20" w:name="_Toc31693"/>
      <w:r>
        <w:rPr>
          <w:rFonts w:hint="eastAsia"/>
          <w:color w:val="auto"/>
        </w:rPr>
        <w:t>投标方应在应标技术部分按本招标技术文件的要求如实详细的填写应标设备的标准配置表，并在应标商务部分按此标准配置进行报价，如发现二者有矛盾之处，将对评标工作有不同程度的影响。</w:t>
      </w:r>
      <w:bookmarkEnd w:id="20"/>
    </w:p>
    <w:p>
      <w:pPr>
        <w:pStyle w:val="5"/>
        <w:keepNext w:val="0"/>
        <w:keepLines w:val="0"/>
        <w:pageBreakBefore w:val="0"/>
        <w:widowControl w:val="0"/>
        <w:kinsoku/>
        <w:wordWrap/>
        <w:overflowPunct/>
        <w:topLinePunct w:val="0"/>
        <w:bidi w:val="0"/>
        <w:rPr>
          <w:rFonts w:hint="eastAsia"/>
          <w:color w:val="auto"/>
        </w:rPr>
      </w:pPr>
      <w:bookmarkStart w:id="21" w:name="_Toc14759"/>
      <w:r>
        <w:rPr>
          <w:rFonts w:hint="eastAsia"/>
          <w:color w:val="auto"/>
        </w:rPr>
        <w:t>投标方应充分理解本招标技术文件并按本招标技术文件的具体条款、格式要求填写应标的技术文件，如发现应标的技术文件条款、格式不符合本招标技术文件的要求，则认为应标不严肃，在评标时将有不同程度的扣分。</w:t>
      </w:r>
      <w:bookmarkEnd w:id="21"/>
    </w:p>
    <w:p>
      <w:pPr>
        <w:pStyle w:val="5"/>
        <w:keepNext w:val="0"/>
        <w:keepLines w:val="0"/>
        <w:pageBreakBefore w:val="0"/>
        <w:widowControl w:val="0"/>
        <w:kinsoku/>
        <w:wordWrap/>
        <w:overflowPunct/>
        <w:topLinePunct w:val="0"/>
        <w:bidi w:val="0"/>
        <w:rPr>
          <w:rFonts w:hint="eastAsia"/>
          <w:color w:val="auto"/>
        </w:rPr>
      </w:pPr>
      <w:bookmarkStart w:id="22" w:name="_Toc25533"/>
      <w:r>
        <w:rPr>
          <w:rFonts w:hint="eastAsia"/>
          <w:color w:val="auto"/>
        </w:rPr>
        <w:t>本招标技术文件未尽事宜, 由买卖双方协商确定。</w:t>
      </w:r>
      <w:bookmarkEnd w:id="22"/>
    </w:p>
    <w:p>
      <w:pPr>
        <w:pStyle w:val="4"/>
        <w:keepNext w:val="0"/>
        <w:keepLines w:val="0"/>
        <w:pageBreakBefore w:val="0"/>
        <w:widowControl w:val="0"/>
        <w:kinsoku/>
        <w:wordWrap/>
        <w:overflowPunct/>
        <w:topLinePunct w:val="0"/>
        <w:bidi w:val="0"/>
        <w:ind w:left="432" w:leftChars="0" w:hanging="432" w:firstLineChars="0"/>
        <w:rPr>
          <w:rFonts w:hint="eastAsia"/>
          <w:color w:val="auto"/>
        </w:rPr>
      </w:pPr>
      <w:bookmarkStart w:id="23" w:name="_Toc380"/>
      <w:r>
        <w:rPr>
          <w:color w:val="auto"/>
        </w:rPr>
        <w:t>应遵循的主要标准</w:t>
      </w:r>
      <w:bookmarkEnd w:id="10"/>
      <w:bookmarkEnd w:id="11"/>
      <w:bookmarkEnd w:id="12"/>
      <w:bookmarkEnd w:id="13"/>
      <w:bookmarkEnd w:id="23"/>
    </w:p>
    <w:p>
      <w:pPr>
        <w:keepNext w:val="0"/>
        <w:keepLines w:val="0"/>
        <w:pageBreakBefore w:val="0"/>
        <w:widowControl w:val="0"/>
        <w:tabs>
          <w:tab w:val="left" w:pos="1440"/>
          <w:tab w:val="left" w:pos="3960"/>
        </w:tabs>
        <w:kinsoku/>
        <w:wordWrap/>
        <w:overflowPunct/>
        <w:topLinePunct w:val="0"/>
        <w:bidi w:val="0"/>
        <w:spacing w:line="360" w:lineRule="auto"/>
        <w:ind w:firstLine="480" w:firstLineChars="200"/>
        <w:rPr>
          <w:rFonts w:hAnsi="宋体"/>
          <w:color w:val="auto"/>
          <w:sz w:val="24"/>
        </w:rPr>
      </w:pPr>
      <w:r>
        <w:rPr>
          <w:rFonts w:hAnsi="宋体"/>
          <w:color w:val="auto"/>
          <w:sz w:val="24"/>
        </w:rPr>
        <w:t>下列标准所包含的条文</w:t>
      </w:r>
      <w:r>
        <w:rPr>
          <w:color w:val="auto"/>
          <w:sz w:val="24"/>
        </w:rPr>
        <w:t xml:space="preserve">, </w:t>
      </w:r>
      <w:r>
        <w:rPr>
          <w:rFonts w:hAnsi="宋体"/>
          <w:color w:val="auto"/>
          <w:sz w:val="24"/>
        </w:rPr>
        <w:t>通过在本招标技术文件中引用而构成本招标技术文件的基本条文。在本招标技术文件出版时</w:t>
      </w:r>
      <w:r>
        <w:rPr>
          <w:color w:val="auto"/>
          <w:sz w:val="24"/>
        </w:rPr>
        <w:t xml:space="preserve">, </w:t>
      </w:r>
      <w:r>
        <w:rPr>
          <w:rFonts w:hAnsi="宋体"/>
          <w:color w:val="auto"/>
          <w:sz w:val="24"/>
        </w:rPr>
        <w:t>所示版本均为有效。所有标准都会被修订</w:t>
      </w:r>
      <w:r>
        <w:rPr>
          <w:color w:val="auto"/>
          <w:sz w:val="24"/>
        </w:rPr>
        <w:t xml:space="preserve">, </w:t>
      </w:r>
      <w:r>
        <w:rPr>
          <w:rFonts w:hAnsi="宋体"/>
          <w:color w:val="auto"/>
          <w:sz w:val="24"/>
        </w:rPr>
        <w:t>使用本招标技术文件的各方应探讨使用下列标准最新版本的可能性。按标准号顺序排列标准，如果各标准要求有所不同，满足更高的标准要求。</w:t>
      </w:r>
    </w:p>
    <w:tbl>
      <w:tblPr>
        <w:tblStyle w:val="20"/>
        <w:tblW w:w="9514" w:type="dxa"/>
        <w:tblInd w:w="0" w:type="dxa"/>
        <w:tblLayout w:type="fixed"/>
        <w:tblCellMar>
          <w:top w:w="0" w:type="dxa"/>
          <w:left w:w="108" w:type="dxa"/>
          <w:bottom w:w="0" w:type="dxa"/>
          <w:right w:w="108" w:type="dxa"/>
        </w:tblCellMar>
      </w:tblPr>
      <w:tblGrid>
        <w:gridCol w:w="3061"/>
        <w:gridCol w:w="6453"/>
      </w:tblGrid>
      <w:tr>
        <w:tblPrEx>
          <w:tblCellMar>
            <w:top w:w="0" w:type="dxa"/>
            <w:left w:w="108" w:type="dxa"/>
            <w:bottom w:w="0" w:type="dxa"/>
            <w:right w:w="108" w:type="dxa"/>
          </w:tblCellMar>
        </w:tblPrEx>
        <w:tc>
          <w:tcPr>
            <w:tcW w:w="3061" w:type="dxa"/>
            <w:noWrap w:val="0"/>
            <w:vAlign w:val="center"/>
          </w:tcPr>
          <w:p>
            <w:pPr>
              <w:keepNext w:val="0"/>
              <w:keepLines w:val="0"/>
              <w:pageBreakBefore w:val="0"/>
              <w:widowControl w:val="0"/>
              <w:kinsoku/>
              <w:wordWrap/>
              <w:overflowPunct/>
              <w:topLinePunct w:val="0"/>
              <w:bidi w:val="0"/>
              <w:snapToGrid w:val="0"/>
              <w:spacing w:line="360" w:lineRule="auto"/>
              <w:jc w:val="both"/>
              <w:rPr>
                <w:color w:val="auto"/>
                <w:sz w:val="24"/>
                <w:szCs w:val="24"/>
              </w:rPr>
            </w:pPr>
            <w:r>
              <w:rPr>
                <w:rFonts w:hint="eastAsia" w:ascii="宋体" w:hAnsi="宋体"/>
                <w:color w:val="auto"/>
                <w:sz w:val="24"/>
              </w:rPr>
              <w:t>IEC61034-2-2005</w:t>
            </w:r>
          </w:p>
        </w:tc>
        <w:tc>
          <w:tcPr>
            <w:tcW w:w="6453" w:type="dxa"/>
            <w:noWrap w:val="0"/>
            <w:vAlign w:val="center"/>
          </w:tcPr>
          <w:p>
            <w:pPr>
              <w:keepNext w:val="0"/>
              <w:keepLines w:val="0"/>
              <w:pageBreakBefore w:val="0"/>
              <w:widowControl w:val="0"/>
              <w:kinsoku/>
              <w:wordWrap/>
              <w:overflowPunct/>
              <w:topLinePunct w:val="0"/>
              <w:bidi w:val="0"/>
              <w:snapToGrid w:val="0"/>
              <w:spacing w:line="360" w:lineRule="auto"/>
              <w:jc w:val="both"/>
              <w:rPr>
                <w:color w:val="auto"/>
                <w:sz w:val="24"/>
                <w:szCs w:val="24"/>
              </w:rPr>
            </w:pPr>
            <w:r>
              <w:rPr>
                <w:rFonts w:hint="eastAsia" w:ascii="宋体" w:hAnsi="宋体"/>
                <w:color w:val="auto"/>
                <w:sz w:val="24"/>
              </w:rPr>
              <w:t>《在规定条件下燃烧的电缆的烟密度的测量.第2部分:试验程序和要求》</w:t>
            </w:r>
          </w:p>
        </w:tc>
      </w:tr>
      <w:tr>
        <w:tblPrEx>
          <w:tblCellMar>
            <w:top w:w="0" w:type="dxa"/>
            <w:left w:w="108" w:type="dxa"/>
            <w:bottom w:w="0" w:type="dxa"/>
            <w:right w:w="108" w:type="dxa"/>
          </w:tblCellMar>
        </w:tblPrEx>
        <w:tc>
          <w:tcPr>
            <w:tcW w:w="3061" w:type="dxa"/>
            <w:noWrap w:val="0"/>
            <w:vAlign w:val="center"/>
          </w:tcPr>
          <w:p>
            <w:pPr>
              <w:keepNext w:val="0"/>
              <w:keepLines w:val="0"/>
              <w:pageBreakBefore w:val="0"/>
              <w:widowControl w:val="0"/>
              <w:kinsoku/>
              <w:wordWrap/>
              <w:overflowPunct/>
              <w:topLinePunct w:val="0"/>
              <w:bidi w:val="0"/>
              <w:snapToGrid w:val="0"/>
              <w:spacing w:line="360" w:lineRule="auto"/>
              <w:jc w:val="both"/>
              <w:rPr>
                <w:color w:val="auto"/>
                <w:sz w:val="24"/>
                <w:szCs w:val="24"/>
              </w:rPr>
            </w:pPr>
            <w:r>
              <w:rPr>
                <w:rFonts w:hint="eastAsia" w:ascii="宋体" w:hAnsi="宋体"/>
                <w:color w:val="auto"/>
                <w:sz w:val="24"/>
              </w:rPr>
              <w:t>IEC60332-2004</w:t>
            </w:r>
          </w:p>
        </w:tc>
        <w:tc>
          <w:tcPr>
            <w:tcW w:w="6453" w:type="dxa"/>
            <w:noWrap w:val="0"/>
            <w:vAlign w:val="center"/>
          </w:tcPr>
          <w:p>
            <w:pPr>
              <w:keepNext w:val="0"/>
              <w:keepLines w:val="0"/>
              <w:pageBreakBefore w:val="0"/>
              <w:widowControl w:val="0"/>
              <w:kinsoku/>
              <w:wordWrap/>
              <w:overflowPunct/>
              <w:topLinePunct w:val="0"/>
              <w:bidi w:val="0"/>
              <w:snapToGrid w:val="0"/>
              <w:spacing w:line="360" w:lineRule="auto"/>
              <w:jc w:val="both"/>
              <w:rPr>
                <w:color w:val="auto"/>
                <w:sz w:val="24"/>
                <w:szCs w:val="24"/>
              </w:rPr>
            </w:pPr>
            <w:r>
              <w:rPr>
                <w:rFonts w:hint="eastAsia" w:ascii="宋体" w:hAnsi="宋体"/>
                <w:color w:val="auto"/>
                <w:sz w:val="24"/>
              </w:rPr>
              <w:t>《电缆在着火条件下的试验》</w:t>
            </w:r>
          </w:p>
        </w:tc>
      </w:tr>
      <w:tr>
        <w:tblPrEx>
          <w:tblCellMar>
            <w:top w:w="0" w:type="dxa"/>
            <w:left w:w="108" w:type="dxa"/>
            <w:bottom w:w="0" w:type="dxa"/>
            <w:right w:w="108" w:type="dxa"/>
          </w:tblCellMar>
        </w:tblPrEx>
        <w:tc>
          <w:tcPr>
            <w:tcW w:w="3061" w:type="dxa"/>
            <w:noWrap w:val="0"/>
            <w:vAlign w:val="center"/>
          </w:tcPr>
          <w:p>
            <w:pPr>
              <w:keepNext w:val="0"/>
              <w:keepLines w:val="0"/>
              <w:pageBreakBefore w:val="0"/>
              <w:widowControl w:val="0"/>
              <w:kinsoku/>
              <w:wordWrap/>
              <w:overflowPunct/>
              <w:topLinePunct w:val="0"/>
              <w:bidi w:val="0"/>
              <w:snapToGrid w:val="0"/>
              <w:spacing w:line="360" w:lineRule="auto"/>
              <w:jc w:val="both"/>
              <w:rPr>
                <w:color w:val="auto"/>
                <w:sz w:val="24"/>
                <w:szCs w:val="24"/>
              </w:rPr>
            </w:pPr>
            <w:r>
              <w:rPr>
                <w:rFonts w:hint="eastAsia" w:ascii="宋体" w:hAnsi="宋体"/>
                <w:color w:val="auto"/>
                <w:sz w:val="24"/>
              </w:rPr>
              <w:t>IEC60754-1994</w:t>
            </w:r>
          </w:p>
        </w:tc>
        <w:tc>
          <w:tcPr>
            <w:tcW w:w="6453" w:type="dxa"/>
            <w:noWrap w:val="0"/>
            <w:vAlign w:val="center"/>
          </w:tcPr>
          <w:p>
            <w:pPr>
              <w:keepNext w:val="0"/>
              <w:keepLines w:val="0"/>
              <w:pageBreakBefore w:val="0"/>
              <w:widowControl w:val="0"/>
              <w:kinsoku/>
              <w:wordWrap/>
              <w:overflowPunct/>
              <w:topLinePunct w:val="0"/>
              <w:bidi w:val="0"/>
              <w:snapToGrid w:val="0"/>
              <w:spacing w:line="360" w:lineRule="auto"/>
              <w:jc w:val="both"/>
              <w:rPr>
                <w:color w:val="auto"/>
                <w:sz w:val="24"/>
                <w:szCs w:val="24"/>
              </w:rPr>
            </w:pPr>
            <w:r>
              <w:rPr>
                <w:rFonts w:hint="eastAsia" w:ascii="宋体" w:hAnsi="宋体"/>
                <w:color w:val="auto"/>
                <w:sz w:val="24"/>
              </w:rPr>
              <w:t>《电缆燃烧放出的气体的试验》</w:t>
            </w:r>
          </w:p>
        </w:tc>
      </w:tr>
      <w:tr>
        <w:tblPrEx>
          <w:tblCellMar>
            <w:top w:w="0" w:type="dxa"/>
            <w:left w:w="108" w:type="dxa"/>
            <w:bottom w:w="0" w:type="dxa"/>
            <w:right w:w="108" w:type="dxa"/>
          </w:tblCellMar>
        </w:tblPrEx>
        <w:tc>
          <w:tcPr>
            <w:tcW w:w="3061" w:type="dxa"/>
            <w:noWrap w:val="0"/>
            <w:vAlign w:val="center"/>
          </w:tcPr>
          <w:p>
            <w:pPr>
              <w:keepNext w:val="0"/>
              <w:keepLines w:val="0"/>
              <w:pageBreakBefore w:val="0"/>
              <w:widowControl w:val="0"/>
              <w:kinsoku/>
              <w:wordWrap/>
              <w:overflowPunct/>
              <w:topLinePunct w:val="0"/>
              <w:bidi w:val="0"/>
              <w:snapToGrid w:val="0"/>
              <w:spacing w:line="360" w:lineRule="auto"/>
              <w:jc w:val="both"/>
              <w:rPr>
                <w:color w:val="auto"/>
                <w:sz w:val="24"/>
                <w:szCs w:val="24"/>
              </w:rPr>
            </w:pPr>
            <w:r>
              <w:rPr>
                <w:rFonts w:hint="eastAsia" w:ascii="宋体" w:hAnsi="宋体"/>
                <w:color w:val="auto"/>
                <w:sz w:val="24"/>
              </w:rPr>
              <w:t>GB 50217-2007</w:t>
            </w:r>
          </w:p>
        </w:tc>
        <w:tc>
          <w:tcPr>
            <w:tcW w:w="6453" w:type="dxa"/>
            <w:noWrap w:val="0"/>
            <w:vAlign w:val="center"/>
          </w:tcPr>
          <w:p>
            <w:pPr>
              <w:keepNext w:val="0"/>
              <w:keepLines w:val="0"/>
              <w:pageBreakBefore w:val="0"/>
              <w:widowControl w:val="0"/>
              <w:kinsoku/>
              <w:wordWrap/>
              <w:overflowPunct/>
              <w:topLinePunct w:val="0"/>
              <w:bidi w:val="0"/>
              <w:snapToGrid w:val="0"/>
              <w:spacing w:line="360" w:lineRule="auto"/>
              <w:jc w:val="both"/>
              <w:rPr>
                <w:color w:val="auto"/>
                <w:sz w:val="24"/>
                <w:szCs w:val="24"/>
              </w:rPr>
            </w:pPr>
            <w:r>
              <w:rPr>
                <w:rFonts w:hint="eastAsia" w:ascii="宋体" w:hAnsi="宋体"/>
                <w:color w:val="auto"/>
                <w:sz w:val="24"/>
              </w:rPr>
              <w:t>《电力工程电缆设计规范》</w:t>
            </w:r>
          </w:p>
        </w:tc>
      </w:tr>
      <w:tr>
        <w:tblPrEx>
          <w:tblCellMar>
            <w:top w:w="0" w:type="dxa"/>
            <w:left w:w="108" w:type="dxa"/>
            <w:bottom w:w="0" w:type="dxa"/>
            <w:right w:w="108" w:type="dxa"/>
          </w:tblCellMar>
        </w:tblPrEx>
        <w:tc>
          <w:tcPr>
            <w:tcW w:w="3061" w:type="dxa"/>
            <w:noWrap w:val="0"/>
            <w:vAlign w:val="center"/>
          </w:tcPr>
          <w:p>
            <w:pPr>
              <w:keepNext w:val="0"/>
              <w:keepLines w:val="0"/>
              <w:pageBreakBefore w:val="0"/>
              <w:widowControl w:val="0"/>
              <w:kinsoku/>
              <w:wordWrap/>
              <w:overflowPunct/>
              <w:topLinePunct w:val="0"/>
              <w:bidi w:val="0"/>
              <w:snapToGrid w:val="0"/>
              <w:spacing w:line="360" w:lineRule="auto"/>
              <w:jc w:val="both"/>
              <w:rPr>
                <w:color w:val="auto"/>
                <w:sz w:val="24"/>
                <w:szCs w:val="24"/>
              </w:rPr>
            </w:pPr>
            <w:r>
              <w:rPr>
                <w:rFonts w:hint="eastAsia" w:ascii="宋体" w:hAnsi="宋体"/>
                <w:color w:val="auto"/>
                <w:sz w:val="24"/>
              </w:rPr>
              <w:t>GB 19666-2005</w:t>
            </w:r>
          </w:p>
        </w:tc>
        <w:tc>
          <w:tcPr>
            <w:tcW w:w="6453" w:type="dxa"/>
            <w:noWrap w:val="0"/>
            <w:vAlign w:val="center"/>
          </w:tcPr>
          <w:p>
            <w:pPr>
              <w:keepNext w:val="0"/>
              <w:keepLines w:val="0"/>
              <w:pageBreakBefore w:val="0"/>
              <w:widowControl w:val="0"/>
              <w:kinsoku/>
              <w:wordWrap/>
              <w:overflowPunct/>
              <w:topLinePunct w:val="0"/>
              <w:bidi w:val="0"/>
              <w:snapToGrid w:val="0"/>
              <w:spacing w:line="360" w:lineRule="auto"/>
              <w:jc w:val="both"/>
              <w:rPr>
                <w:color w:val="auto"/>
                <w:sz w:val="24"/>
                <w:szCs w:val="24"/>
              </w:rPr>
            </w:pPr>
            <w:r>
              <w:rPr>
                <w:rFonts w:hint="eastAsia" w:ascii="宋体" w:hAnsi="宋体"/>
                <w:color w:val="auto"/>
                <w:sz w:val="24"/>
              </w:rPr>
              <w:t>《阻燃和耐火电线电缆通则》</w:t>
            </w:r>
          </w:p>
        </w:tc>
      </w:tr>
      <w:tr>
        <w:tblPrEx>
          <w:tblCellMar>
            <w:top w:w="0" w:type="dxa"/>
            <w:left w:w="108" w:type="dxa"/>
            <w:bottom w:w="0" w:type="dxa"/>
            <w:right w:w="108" w:type="dxa"/>
          </w:tblCellMar>
        </w:tblPrEx>
        <w:tc>
          <w:tcPr>
            <w:tcW w:w="3061" w:type="dxa"/>
            <w:noWrap w:val="0"/>
            <w:vAlign w:val="center"/>
          </w:tcPr>
          <w:p>
            <w:pPr>
              <w:keepNext w:val="0"/>
              <w:keepLines w:val="0"/>
              <w:pageBreakBefore w:val="0"/>
              <w:widowControl w:val="0"/>
              <w:kinsoku/>
              <w:wordWrap/>
              <w:overflowPunct/>
              <w:topLinePunct w:val="0"/>
              <w:bidi w:val="0"/>
              <w:snapToGrid w:val="0"/>
              <w:spacing w:line="360" w:lineRule="auto"/>
              <w:jc w:val="both"/>
              <w:rPr>
                <w:color w:val="auto"/>
                <w:sz w:val="24"/>
                <w:szCs w:val="24"/>
              </w:rPr>
            </w:pPr>
            <w:r>
              <w:rPr>
                <w:rFonts w:hint="eastAsia" w:ascii="宋体" w:hAnsi="宋体"/>
                <w:color w:val="auto"/>
                <w:sz w:val="24"/>
              </w:rPr>
              <w:t>GB 12706-2008</w:t>
            </w:r>
          </w:p>
        </w:tc>
        <w:tc>
          <w:tcPr>
            <w:tcW w:w="6453" w:type="dxa"/>
            <w:noWrap w:val="0"/>
            <w:vAlign w:val="center"/>
          </w:tcPr>
          <w:p>
            <w:pPr>
              <w:keepNext w:val="0"/>
              <w:keepLines w:val="0"/>
              <w:pageBreakBefore w:val="0"/>
              <w:widowControl w:val="0"/>
              <w:kinsoku/>
              <w:wordWrap/>
              <w:overflowPunct/>
              <w:topLinePunct w:val="0"/>
              <w:bidi w:val="0"/>
              <w:snapToGrid w:val="0"/>
              <w:spacing w:line="360" w:lineRule="auto"/>
              <w:jc w:val="both"/>
              <w:rPr>
                <w:color w:val="auto"/>
                <w:sz w:val="24"/>
                <w:szCs w:val="24"/>
              </w:rPr>
            </w:pPr>
            <w:r>
              <w:rPr>
                <w:rFonts w:hint="eastAsia" w:ascii="宋体" w:hAnsi="宋体"/>
                <w:color w:val="auto"/>
                <w:sz w:val="24"/>
              </w:rPr>
              <w:t>《额定电压1kV(Um=1.2kV)到35kV(Um=40.5kV)挤包绝缘电力电缆及附件》</w:t>
            </w:r>
          </w:p>
        </w:tc>
      </w:tr>
      <w:tr>
        <w:tblPrEx>
          <w:tblCellMar>
            <w:top w:w="0" w:type="dxa"/>
            <w:left w:w="108" w:type="dxa"/>
            <w:bottom w:w="0" w:type="dxa"/>
            <w:right w:w="108" w:type="dxa"/>
          </w:tblCellMar>
        </w:tblPrEx>
        <w:tc>
          <w:tcPr>
            <w:tcW w:w="3061" w:type="dxa"/>
            <w:noWrap w:val="0"/>
            <w:vAlign w:val="center"/>
          </w:tcPr>
          <w:p>
            <w:pPr>
              <w:keepNext w:val="0"/>
              <w:keepLines w:val="0"/>
              <w:pageBreakBefore w:val="0"/>
              <w:widowControl w:val="0"/>
              <w:kinsoku/>
              <w:wordWrap/>
              <w:overflowPunct/>
              <w:topLinePunct w:val="0"/>
              <w:bidi w:val="0"/>
              <w:snapToGrid w:val="0"/>
              <w:spacing w:line="360" w:lineRule="auto"/>
              <w:jc w:val="both"/>
              <w:rPr>
                <w:color w:val="auto"/>
                <w:sz w:val="24"/>
                <w:szCs w:val="24"/>
              </w:rPr>
            </w:pPr>
            <w:r>
              <w:rPr>
                <w:rFonts w:hint="eastAsia" w:ascii="宋体" w:hAnsi="宋体"/>
                <w:color w:val="auto"/>
                <w:sz w:val="24"/>
              </w:rPr>
              <w:t>GB12666-2008</w:t>
            </w:r>
          </w:p>
        </w:tc>
        <w:tc>
          <w:tcPr>
            <w:tcW w:w="6453" w:type="dxa"/>
            <w:noWrap w:val="0"/>
            <w:vAlign w:val="center"/>
          </w:tcPr>
          <w:p>
            <w:pPr>
              <w:keepNext w:val="0"/>
              <w:keepLines w:val="0"/>
              <w:pageBreakBefore w:val="0"/>
              <w:widowControl w:val="0"/>
              <w:kinsoku/>
              <w:wordWrap/>
              <w:overflowPunct/>
              <w:topLinePunct w:val="0"/>
              <w:bidi w:val="0"/>
              <w:snapToGrid w:val="0"/>
              <w:spacing w:line="360" w:lineRule="auto"/>
              <w:jc w:val="both"/>
              <w:rPr>
                <w:color w:val="auto"/>
                <w:sz w:val="24"/>
                <w:szCs w:val="24"/>
              </w:rPr>
            </w:pPr>
            <w:r>
              <w:rPr>
                <w:rFonts w:hint="eastAsia" w:ascii="宋体" w:hAnsi="宋体"/>
                <w:color w:val="auto"/>
                <w:sz w:val="24"/>
              </w:rPr>
              <w:t>《单根电线电缆燃烧试验方法》</w:t>
            </w:r>
          </w:p>
        </w:tc>
      </w:tr>
      <w:tr>
        <w:tblPrEx>
          <w:tblCellMar>
            <w:top w:w="0" w:type="dxa"/>
            <w:left w:w="108" w:type="dxa"/>
            <w:bottom w:w="0" w:type="dxa"/>
            <w:right w:w="108" w:type="dxa"/>
          </w:tblCellMar>
        </w:tblPrEx>
        <w:tc>
          <w:tcPr>
            <w:tcW w:w="3061" w:type="dxa"/>
            <w:noWrap w:val="0"/>
            <w:vAlign w:val="center"/>
          </w:tcPr>
          <w:p>
            <w:pPr>
              <w:keepNext w:val="0"/>
              <w:keepLines w:val="0"/>
              <w:pageBreakBefore w:val="0"/>
              <w:widowControl w:val="0"/>
              <w:kinsoku/>
              <w:wordWrap/>
              <w:overflowPunct/>
              <w:topLinePunct w:val="0"/>
              <w:bidi w:val="0"/>
              <w:snapToGrid w:val="0"/>
              <w:spacing w:line="360" w:lineRule="auto"/>
              <w:jc w:val="both"/>
              <w:rPr>
                <w:color w:val="auto"/>
                <w:sz w:val="24"/>
                <w:szCs w:val="24"/>
              </w:rPr>
            </w:pPr>
            <w:r>
              <w:rPr>
                <w:rFonts w:hint="eastAsia" w:ascii="宋体" w:hAnsi="宋体"/>
                <w:color w:val="auto"/>
                <w:sz w:val="24"/>
              </w:rPr>
              <w:t>GB 9330-2008</w:t>
            </w:r>
          </w:p>
        </w:tc>
        <w:tc>
          <w:tcPr>
            <w:tcW w:w="6453" w:type="dxa"/>
            <w:noWrap w:val="0"/>
            <w:vAlign w:val="center"/>
          </w:tcPr>
          <w:p>
            <w:pPr>
              <w:keepNext w:val="0"/>
              <w:keepLines w:val="0"/>
              <w:pageBreakBefore w:val="0"/>
              <w:widowControl w:val="0"/>
              <w:kinsoku/>
              <w:wordWrap/>
              <w:overflowPunct/>
              <w:topLinePunct w:val="0"/>
              <w:bidi w:val="0"/>
              <w:snapToGrid w:val="0"/>
              <w:spacing w:line="360" w:lineRule="auto"/>
              <w:jc w:val="both"/>
              <w:rPr>
                <w:color w:val="auto"/>
                <w:sz w:val="24"/>
                <w:szCs w:val="24"/>
              </w:rPr>
            </w:pPr>
            <w:r>
              <w:rPr>
                <w:rFonts w:hint="eastAsia" w:ascii="宋体" w:hAnsi="宋体"/>
                <w:color w:val="auto"/>
                <w:sz w:val="24"/>
              </w:rPr>
              <w:t>《塑料绝缘控制电缆》</w:t>
            </w:r>
          </w:p>
        </w:tc>
      </w:tr>
      <w:tr>
        <w:tblPrEx>
          <w:tblCellMar>
            <w:top w:w="0" w:type="dxa"/>
            <w:left w:w="108" w:type="dxa"/>
            <w:bottom w:w="0" w:type="dxa"/>
            <w:right w:w="108" w:type="dxa"/>
          </w:tblCellMar>
        </w:tblPrEx>
        <w:trPr>
          <w:trHeight w:val="497" w:hRule="atLeast"/>
        </w:trPr>
        <w:tc>
          <w:tcPr>
            <w:tcW w:w="3061" w:type="dxa"/>
            <w:noWrap w:val="0"/>
            <w:vAlign w:val="center"/>
          </w:tcPr>
          <w:p>
            <w:pPr>
              <w:keepNext w:val="0"/>
              <w:keepLines w:val="0"/>
              <w:pageBreakBefore w:val="0"/>
              <w:widowControl w:val="0"/>
              <w:kinsoku/>
              <w:wordWrap/>
              <w:overflowPunct/>
              <w:topLinePunct w:val="0"/>
              <w:bidi w:val="0"/>
              <w:snapToGrid w:val="0"/>
              <w:spacing w:line="360" w:lineRule="auto"/>
              <w:jc w:val="both"/>
              <w:rPr>
                <w:color w:val="auto"/>
                <w:sz w:val="24"/>
                <w:szCs w:val="24"/>
              </w:rPr>
            </w:pPr>
            <w:r>
              <w:rPr>
                <w:rFonts w:hint="eastAsia" w:ascii="宋体" w:hAnsi="宋体"/>
                <w:color w:val="auto"/>
                <w:sz w:val="24"/>
              </w:rPr>
              <w:t>GB 8170-2008</w:t>
            </w:r>
          </w:p>
        </w:tc>
        <w:tc>
          <w:tcPr>
            <w:tcW w:w="6453" w:type="dxa"/>
            <w:noWrap w:val="0"/>
            <w:vAlign w:val="center"/>
          </w:tcPr>
          <w:p>
            <w:pPr>
              <w:keepNext w:val="0"/>
              <w:keepLines w:val="0"/>
              <w:pageBreakBefore w:val="0"/>
              <w:widowControl w:val="0"/>
              <w:kinsoku/>
              <w:wordWrap/>
              <w:overflowPunct/>
              <w:topLinePunct w:val="0"/>
              <w:bidi w:val="0"/>
              <w:snapToGrid w:val="0"/>
              <w:spacing w:line="360" w:lineRule="auto"/>
              <w:jc w:val="both"/>
              <w:rPr>
                <w:color w:val="auto"/>
                <w:sz w:val="24"/>
                <w:szCs w:val="24"/>
              </w:rPr>
            </w:pPr>
            <w:r>
              <w:rPr>
                <w:rFonts w:hint="eastAsia" w:ascii="宋体" w:hAnsi="宋体"/>
                <w:color w:val="auto"/>
                <w:sz w:val="24"/>
              </w:rPr>
              <w:t>《数值修约规则与极限数值的表示和判定》</w:t>
            </w:r>
          </w:p>
        </w:tc>
      </w:tr>
      <w:tr>
        <w:tblPrEx>
          <w:tblCellMar>
            <w:top w:w="0" w:type="dxa"/>
            <w:left w:w="108" w:type="dxa"/>
            <w:bottom w:w="0" w:type="dxa"/>
            <w:right w:w="108" w:type="dxa"/>
          </w:tblCellMar>
        </w:tblPrEx>
        <w:tc>
          <w:tcPr>
            <w:tcW w:w="3061" w:type="dxa"/>
            <w:noWrap w:val="0"/>
            <w:vAlign w:val="center"/>
          </w:tcPr>
          <w:p>
            <w:pPr>
              <w:keepNext w:val="0"/>
              <w:keepLines w:val="0"/>
              <w:pageBreakBefore w:val="0"/>
              <w:widowControl w:val="0"/>
              <w:kinsoku/>
              <w:wordWrap/>
              <w:overflowPunct/>
              <w:topLinePunct w:val="0"/>
              <w:bidi w:val="0"/>
              <w:snapToGrid w:val="0"/>
              <w:spacing w:line="360" w:lineRule="auto"/>
              <w:jc w:val="both"/>
              <w:rPr>
                <w:color w:val="auto"/>
                <w:sz w:val="24"/>
                <w:szCs w:val="24"/>
              </w:rPr>
            </w:pPr>
            <w:r>
              <w:rPr>
                <w:rFonts w:hint="eastAsia" w:ascii="宋体" w:hAnsi="宋体"/>
                <w:color w:val="auto"/>
                <w:sz w:val="24"/>
              </w:rPr>
              <w:t>GB 6995-2008</w:t>
            </w:r>
          </w:p>
        </w:tc>
        <w:tc>
          <w:tcPr>
            <w:tcW w:w="6453" w:type="dxa"/>
            <w:noWrap w:val="0"/>
            <w:vAlign w:val="center"/>
          </w:tcPr>
          <w:p>
            <w:pPr>
              <w:keepNext w:val="0"/>
              <w:keepLines w:val="0"/>
              <w:pageBreakBefore w:val="0"/>
              <w:widowControl w:val="0"/>
              <w:kinsoku/>
              <w:wordWrap/>
              <w:overflowPunct/>
              <w:topLinePunct w:val="0"/>
              <w:bidi w:val="0"/>
              <w:snapToGrid w:val="0"/>
              <w:spacing w:line="360" w:lineRule="auto"/>
              <w:jc w:val="both"/>
              <w:rPr>
                <w:color w:val="auto"/>
                <w:sz w:val="24"/>
                <w:szCs w:val="24"/>
              </w:rPr>
            </w:pPr>
            <w:r>
              <w:rPr>
                <w:rFonts w:hint="eastAsia" w:ascii="宋体" w:hAnsi="宋体"/>
                <w:color w:val="auto"/>
                <w:sz w:val="24"/>
              </w:rPr>
              <w:t>《电线电缆识别标志方法》</w:t>
            </w:r>
          </w:p>
        </w:tc>
      </w:tr>
      <w:tr>
        <w:tblPrEx>
          <w:tblCellMar>
            <w:top w:w="0" w:type="dxa"/>
            <w:left w:w="108" w:type="dxa"/>
            <w:bottom w:w="0" w:type="dxa"/>
            <w:right w:w="108" w:type="dxa"/>
          </w:tblCellMar>
        </w:tblPrEx>
        <w:tc>
          <w:tcPr>
            <w:tcW w:w="3061" w:type="dxa"/>
            <w:noWrap w:val="0"/>
            <w:vAlign w:val="center"/>
          </w:tcPr>
          <w:p>
            <w:pPr>
              <w:keepNext w:val="0"/>
              <w:keepLines w:val="0"/>
              <w:pageBreakBefore w:val="0"/>
              <w:widowControl w:val="0"/>
              <w:kinsoku/>
              <w:wordWrap/>
              <w:overflowPunct/>
              <w:topLinePunct w:val="0"/>
              <w:bidi w:val="0"/>
              <w:snapToGrid w:val="0"/>
              <w:spacing w:line="360" w:lineRule="auto"/>
              <w:jc w:val="both"/>
              <w:rPr>
                <w:color w:val="auto"/>
                <w:sz w:val="24"/>
                <w:szCs w:val="24"/>
              </w:rPr>
            </w:pPr>
            <w:r>
              <w:rPr>
                <w:rFonts w:hint="eastAsia" w:ascii="宋体" w:hAnsi="宋体"/>
                <w:color w:val="auto"/>
                <w:sz w:val="24"/>
              </w:rPr>
              <w:t>GB 4909-2009</w:t>
            </w:r>
          </w:p>
        </w:tc>
        <w:tc>
          <w:tcPr>
            <w:tcW w:w="6453" w:type="dxa"/>
            <w:noWrap w:val="0"/>
            <w:vAlign w:val="center"/>
          </w:tcPr>
          <w:p>
            <w:pPr>
              <w:keepNext w:val="0"/>
              <w:keepLines w:val="0"/>
              <w:pageBreakBefore w:val="0"/>
              <w:widowControl w:val="0"/>
              <w:kinsoku/>
              <w:wordWrap/>
              <w:overflowPunct/>
              <w:topLinePunct w:val="0"/>
              <w:bidi w:val="0"/>
              <w:snapToGrid w:val="0"/>
              <w:spacing w:line="360" w:lineRule="auto"/>
              <w:jc w:val="both"/>
              <w:rPr>
                <w:color w:val="auto"/>
                <w:sz w:val="24"/>
                <w:szCs w:val="24"/>
              </w:rPr>
            </w:pPr>
            <w:r>
              <w:rPr>
                <w:rFonts w:hint="eastAsia" w:ascii="宋体" w:hAnsi="宋体"/>
                <w:color w:val="auto"/>
                <w:sz w:val="24"/>
              </w:rPr>
              <w:t>《裸电线试验方法》</w:t>
            </w:r>
          </w:p>
        </w:tc>
      </w:tr>
      <w:tr>
        <w:tblPrEx>
          <w:tblCellMar>
            <w:top w:w="0" w:type="dxa"/>
            <w:left w:w="108" w:type="dxa"/>
            <w:bottom w:w="0" w:type="dxa"/>
            <w:right w:w="108" w:type="dxa"/>
          </w:tblCellMar>
        </w:tblPrEx>
        <w:tc>
          <w:tcPr>
            <w:tcW w:w="3061" w:type="dxa"/>
            <w:noWrap w:val="0"/>
            <w:vAlign w:val="center"/>
          </w:tcPr>
          <w:p>
            <w:pPr>
              <w:keepNext w:val="0"/>
              <w:keepLines w:val="0"/>
              <w:pageBreakBefore w:val="0"/>
              <w:widowControl w:val="0"/>
              <w:kinsoku/>
              <w:wordWrap/>
              <w:overflowPunct/>
              <w:topLinePunct w:val="0"/>
              <w:bidi w:val="0"/>
              <w:snapToGrid w:val="0"/>
              <w:spacing w:line="360" w:lineRule="auto"/>
              <w:jc w:val="both"/>
              <w:rPr>
                <w:color w:val="auto"/>
                <w:sz w:val="24"/>
                <w:szCs w:val="24"/>
              </w:rPr>
            </w:pPr>
            <w:r>
              <w:rPr>
                <w:rFonts w:hint="eastAsia" w:ascii="宋体" w:hAnsi="宋体"/>
                <w:color w:val="auto"/>
                <w:sz w:val="24"/>
              </w:rPr>
              <w:t>GB 3956-2008</w:t>
            </w:r>
          </w:p>
        </w:tc>
        <w:tc>
          <w:tcPr>
            <w:tcW w:w="6453" w:type="dxa"/>
            <w:noWrap w:val="0"/>
            <w:vAlign w:val="center"/>
          </w:tcPr>
          <w:p>
            <w:pPr>
              <w:keepNext w:val="0"/>
              <w:keepLines w:val="0"/>
              <w:pageBreakBefore w:val="0"/>
              <w:widowControl w:val="0"/>
              <w:kinsoku/>
              <w:wordWrap/>
              <w:overflowPunct/>
              <w:topLinePunct w:val="0"/>
              <w:bidi w:val="0"/>
              <w:snapToGrid w:val="0"/>
              <w:spacing w:line="360" w:lineRule="auto"/>
              <w:jc w:val="both"/>
              <w:rPr>
                <w:color w:val="auto"/>
                <w:sz w:val="24"/>
                <w:szCs w:val="24"/>
              </w:rPr>
            </w:pPr>
            <w:r>
              <w:rPr>
                <w:rFonts w:hint="eastAsia" w:ascii="宋体" w:hAnsi="宋体"/>
                <w:color w:val="auto"/>
                <w:sz w:val="24"/>
              </w:rPr>
              <w:t>《电缆的导体》</w:t>
            </w:r>
          </w:p>
        </w:tc>
      </w:tr>
      <w:tr>
        <w:tblPrEx>
          <w:tblCellMar>
            <w:top w:w="0" w:type="dxa"/>
            <w:left w:w="108" w:type="dxa"/>
            <w:bottom w:w="0" w:type="dxa"/>
            <w:right w:w="108" w:type="dxa"/>
          </w:tblCellMar>
        </w:tblPrEx>
        <w:tc>
          <w:tcPr>
            <w:tcW w:w="3061" w:type="dxa"/>
            <w:noWrap w:val="0"/>
            <w:vAlign w:val="center"/>
          </w:tcPr>
          <w:p>
            <w:pPr>
              <w:keepNext w:val="0"/>
              <w:keepLines w:val="0"/>
              <w:pageBreakBefore w:val="0"/>
              <w:widowControl w:val="0"/>
              <w:kinsoku/>
              <w:wordWrap/>
              <w:overflowPunct/>
              <w:topLinePunct w:val="0"/>
              <w:bidi w:val="0"/>
              <w:snapToGrid w:val="0"/>
              <w:spacing w:line="360" w:lineRule="auto"/>
              <w:jc w:val="both"/>
              <w:rPr>
                <w:color w:val="auto"/>
                <w:sz w:val="24"/>
                <w:szCs w:val="24"/>
              </w:rPr>
            </w:pPr>
            <w:r>
              <w:rPr>
                <w:rFonts w:hint="eastAsia" w:ascii="宋体" w:hAnsi="宋体"/>
                <w:color w:val="auto"/>
                <w:sz w:val="24"/>
              </w:rPr>
              <w:t>GB 3953-2009</w:t>
            </w:r>
          </w:p>
        </w:tc>
        <w:tc>
          <w:tcPr>
            <w:tcW w:w="6453" w:type="dxa"/>
            <w:noWrap w:val="0"/>
            <w:vAlign w:val="center"/>
          </w:tcPr>
          <w:p>
            <w:pPr>
              <w:keepNext w:val="0"/>
              <w:keepLines w:val="0"/>
              <w:pageBreakBefore w:val="0"/>
              <w:widowControl w:val="0"/>
              <w:kinsoku/>
              <w:wordWrap/>
              <w:overflowPunct/>
              <w:topLinePunct w:val="0"/>
              <w:bidi w:val="0"/>
              <w:snapToGrid w:val="0"/>
              <w:spacing w:line="360" w:lineRule="auto"/>
              <w:jc w:val="both"/>
              <w:rPr>
                <w:color w:val="auto"/>
                <w:sz w:val="24"/>
                <w:szCs w:val="24"/>
              </w:rPr>
            </w:pPr>
            <w:r>
              <w:rPr>
                <w:rFonts w:hint="eastAsia" w:ascii="宋体" w:hAnsi="宋体"/>
                <w:color w:val="auto"/>
                <w:sz w:val="24"/>
              </w:rPr>
              <w:t>《电工圆铜线》</w:t>
            </w:r>
          </w:p>
        </w:tc>
      </w:tr>
      <w:tr>
        <w:tblPrEx>
          <w:tblCellMar>
            <w:top w:w="0" w:type="dxa"/>
            <w:left w:w="108" w:type="dxa"/>
            <w:bottom w:w="0" w:type="dxa"/>
            <w:right w:w="108" w:type="dxa"/>
          </w:tblCellMar>
        </w:tblPrEx>
        <w:tc>
          <w:tcPr>
            <w:tcW w:w="3061" w:type="dxa"/>
            <w:noWrap w:val="0"/>
            <w:vAlign w:val="center"/>
          </w:tcPr>
          <w:p>
            <w:pPr>
              <w:keepNext w:val="0"/>
              <w:keepLines w:val="0"/>
              <w:pageBreakBefore w:val="0"/>
              <w:widowControl w:val="0"/>
              <w:kinsoku/>
              <w:wordWrap/>
              <w:overflowPunct/>
              <w:topLinePunct w:val="0"/>
              <w:bidi w:val="0"/>
              <w:snapToGrid w:val="0"/>
              <w:spacing w:line="360" w:lineRule="auto"/>
              <w:jc w:val="both"/>
              <w:rPr>
                <w:color w:val="auto"/>
                <w:sz w:val="24"/>
                <w:szCs w:val="24"/>
              </w:rPr>
            </w:pPr>
            <w:r>
              <w:rPr>
                <w:rFonts w:hint="eastAsia" w:ascii="宋体" w:hAnsi="宋体"/>
                <w:color w:val="auto"/>
                <w:sz w:val="24"/>
              </w:rPr>
              <w:t>GB 3048-2007</w:t>
            </w:r>
          </w:p>
        </w:tc>
        <w:tc>
          <w:tcPr>
            <w:tcW w:w="6453" w:type="dxa"/>
            <w:noWrap w:val="0"/>
            <w:vAlign w:val="center"/>
          </w:tcPr>
          <w:p>
            <w:pPr>
              <w:keepNext w:val="0"/>
              <w:keepLines w:val="0"/>
              <w:pageBreakBefore w:val="0"/>
              <w:widowControl w:val="0"/>
              <w:kinsoku/>
              <w:wordWrap/>
              <w:overflowPunct/>
              <w:topLinePunct w:val="0"/>
              <w:bidi w:val="0"/>
              <w:snapToGrid w:val="0"/>
              <w:spacing w:line="360" w:lineRule="auto"/>
              <w:jc w:val="both"/>
              <w:rPr>
                <w:color w:val="auto"/>
                <w:sz w:val="24"/>
                <w:szCs w:val="24"/>
              </w:rPr>
            </w:pPr>
            <w:r>
              <w:rPr>
                <w:rFonts w:hint="eastAsia" w:ascii="宋体" w:hAnsi="宋体"/>
                <w:color w:val="auto"/>
                <w:sz w:val="24"/>
              </w:rPr>
              <w:t>《电线电缆电性能试验方法》</w:t>
            </w:r>
          </w:p>
        </w:tc>
      </w:tr>
      <w:tr>
        <w:tblPrEx>
          <w:tblCellMar>
            <w:top w:w="0" w:type="dxa"/>
            <w:left w:w="108" w:type="dxa"/>
            <w:bottom w:w="0" w:type="dxa"/>
            <w:right w:w="108" w:type="dxa"/>
          </w:tblCellMar>
        </w:tblPrEx>
        <w:tc>
          <w:tcPr>
            <w:tcW w:w="3061" w:type="dxa"/>
            <w:noWrap w:val="0"/>
            <w:vAlign w:val="center"/>
          </w:tcPr>
          <w:p>
            <w:pPr>
              <w:keepNext w:val="0"/>
              <w:keepLines w:val="0"/>
              <w:pageBreakBefore w:val="0"/>
              <w:widowControl w:val="0"/>
              <w:kinsoku/>
              <w:wordWrap/>
              <w:overflowPunct/>
              <w:topLinePunct w:val="0"/>
              <w:bidi w:val="0"/>
              <w:snapToGrid w:val="0"/>
              <w:spacing w:line="360" w:lineRule="auto"/>
              <w:jc w:val="both"/>
              <w:rPr>
                <w:color w:val="auto"/>
                <w:sz w:val="24"/>
                <w:szCs w:val="24"/>
              </w:rPr>
            </w:pPr>
            <w:r>
              <w:rPr>
                <w:rFonts w:hint="eastAsia" w:ascii="宋体" w:hAnsi="宋体"/>
                <w:color w:val="auto"/>
                <w:sz w:val="24"/>
              </w:rPr>
              <w:t>GB 2952-2008</w:t>
            </w:r>
          </w:p>
        </w:tc>
        <w:tc>
          <w:tcPr>
            <w:tcW w:w="6453" w:type="dxa"/>
            <w:noWrap w:val="0"/>
            <w:vAlign w:val="center"/>
          </w:tcPr>
          <w:p>
            <w:pPr>
              <w:keepNext w:val="0"/>
              <w:keepLines w:val="0"/>
              <w:pageBreakBefore w:val="0"/>
              <w:widowControl w:val="0"/>
              <w:kinsoku/>
              <w:wordWrap/>
              <w:overflowPunct/>
              <w:topLinePunct w:val="0"/>
              <w:bidi w:val="0"/>
              <w:snapToGrid w:val="0"/>
              <w:spacing w:line="360" w:lineRule="auto"/>
              <w:jc w:val="both"/>
              <w:rPr>
                <w:color w:val="auto"/>
                <w:sz w:val="24"/>
                <w:szCs w:val="24"/>
              </w:rPr>
            </w:pPr>
            <w:r>
              <w:rPr>
                <w:rFonts w:hint="eastAsia" w:ascii="宋体" w:hAnsi="宋体"/>
                <w:color w:val="auto"/>
                <w:sz w:val="24"/>
              </w:rPr>
              <w:t>《电缆外护层》</w:t>
            </w:r>
          </w:p>
        </w:tc>
      </w:tr>
      <w:tr>
        <w:tblPrEx>
          <w:tblCellMar>
            <w:top w:w="0" w:type="dxa"/>
            <w:left w:w="108" w:type="dxa"/>
            <w:bottom w:w="0" w:type="dxa"/>
            <w:right w:w="108" w:type="dxa"/>
          </w:tblCellMar>
        </w:tblPrEx>
        <w:tc>
          <w:tcPr>
            <w:tcW w:w="3061" w:type="dxa"/>
            <w:noWrap w:val="0"/>
            <w:vAlign w:val="center"/>
          </w:tcPr>
          <w:p>
            <w:pPr>
              <w:keepNext w:val="0"/>
              <w:keepLines w:val="0"/>
              <w:pageBreakBefore w:val="0"/>
              <w:widowControl w:val="0"/>
              <w:kinsoku/>
              <w:wordWrap/>
              <w:overflowPunct/>
              <w:topLinePunct w:val="0"/>
              <w:bidi w:val="0"/>
              <w:snapToGrid w:val="0"/>
              <w:spacing w:line="360" w:lineRule="auto"/>
              <w:jc w:val="both"/>
              <w:rPr>
                <w:color w:val="auto"/>
                <w:sz w:val="24"/>
                <w:szCs w:val="24"/>
              </w:rPr>
            </w:pPr>
            <w:r>
              <w:rPr>
                <w:rFonts w:hint="eastAsia" w:ascii="宋体" w:hAnsi="宋体"/>
                <w:color w:val="auto"/>
                <w:sz w:val="24"/>
              </w:rPr>
              <w:t>GB 2951-2008</w:t>
            </w:r>
          </w:p>
        </w:tc>
        <w:tc>
          <w:tcPr>
            <w:tcW w:w="6453" w:type="dxa"/>
            <w:noWrap w:val="0"/>
            <w:vAlign w:val="center"/>
          </w:tcPr>
          <w:p>
            <w:pPr>
              <w:keepNext w:val="0"/>
              <w:keepLines w:val="0"/>
              <w:pageBreakBefore w:val="0"/>
              <w:widowControl w:val="0"/>
              <w:kinsoku/>
              <w:wordWrap/>
              <w:overflowPunct/>
              <w:topLinePunct w:val="0"/>
              <w:bidi w:val="0"/>
              <w:snapToGrid w:val="0"/>
              <w:spacing w:line="360" w:lineRule="auto"/>
              <w:jc w:val="both"/>
              <w:rPr>
                <w:color w:val="auto"/>
                <w:sz w:val="24"/>
                <w:szCs w:val="24"/>
              </w:rPr>
            </w:pPr>
            <w:r>
              <w:rPr>
                <w:rFonts w:hint="eastAsia" w:ascii="宋体" w:hAnsi="宋体"/>
                <w:color w:val="auto"/>
                <w:sz w:val="24"/>
              </w:rPr>
              <w:t>《电缆和光缆绝缘和护套材料通用试验方法》</w:t>
            </w:r>
          </w:p>
        </w:tc>
      </w:tr>
      <w:tr>
        <w:tblPrEx>
          <w:tblCellMar>
            <w:top w:w="0" w:type="dxa"/>
            <w:left w:w="108" w:type="dxa"/>
            <w:bottom w:w="0" w:type="dxa"/>
            <w:right w:w="108" w:type="dxa"/>
          </w:tblCellMar>
        </w:tblPrEx>
        <w:tc>
          <w:tcPr>
            <w:tcW w:w="3061" w:type="dxa"/>
            <w:noWrap w:val="0"/>
            <w:vAlign w:val="center"/>
          </w:tcPr>
          <w:p>
            <w:pPr>
              <w:keepNext w:val="0"/>
              <w:keepLines w:val="0"/>
              <w:pageBreakBefore w:val="0"/>
              <w:widowControl w:val="0"/>
              <w:kinsoku/>
              <w:wordWrap/>
              <w:overflowPunct/>
              <w:topLinePunct w:val="0"/>
              <w:bidi w:val="0"/>
              <w:snapToGrid w:val="0"/>
              <w:spacing w:line="360" w:lineRule="auto"/>
              <w:jc w:val="both"/>
              <w:rPr>
                <w:rFonts w:hint="eastAsia" w:ascii="宋体" w:hAnsi="宋体"/>
                <w:color w:val="auto"/>
                <w:sz w:val="24"/>
              </w:rPr>
            </w:pPr>
            <w:bookmarkStart w:id="24" w:name="_Toc6079"/>
            <w:r>
              <w:rPr>
                <w:rFonts w:hint="eastAsia" w:ascii="宋体" w:hAnsi="宋体"/>
                <w:color w:val="auto"/>
                <w:sz w:val="24"/>
              </w:rPr>
              <w:t>JB/T 8137-2013</w:t>
            </w:r>
          </w:p>
        </w:tc>
        <w:tc>
          <w:tcPr>
            <w:tcW w:w="6453" w:type="dxa"/>
            <w:noWrap w:val="0"/>
            <w:vAlign w:val="center"/>
          </w:tcPr>
          <w:p>
            <w:pPr>
              <w:keepNext w:val="0"/>
              <w:keepLines w:val="0"/>
              <w:pageBreakBefore w:val="0"/>
              <w:widowControl w:val="0"/>
              <w:kinsoku/>
              <w:wordWrap/>
              <w:overflowPunct/>
              <w:topLinePunct w:val="0"/>
              <w:bidi w:val="0"/>
              <w:snapToGrid w:val="0"/>
              <w:spacing w:line="360" w:lineRule="auto"/>
              <w:jc w:val="both"/>
              <w:rPr>
                <w:rFonts w:hint="eastAsia" w:ascii="宋体" w:hAnsi="宋体"/>
                <w:color w:val="auto"/>
                <w:sz w:val="24"/>
              </w:rPr>
            </w:pPr>
            <w:r>
              <w:rPr>
                <w:rFonts w:hint="eastAsia" w:ascii="宋体" w:hAnsi="宋体"/>
                <w:color w:val="auto"/>
                <w:sz w:val="24"/>
              </w:rPr>
              <w:t>《电线电缆交货盘》</w:t>
            </w:r>
          </w:p>
        </w:tc>
      </w:tr>
      <w:tr>
        <w:tblPrEx>
          <w:tblCellMar>
            <w:top w:w="0" w:type="dxa"/>
            <w:left w:w="108" w:type="dxa"/>
            <w:bottom w:w="0" w:type="dxa"/>
            <w:right w:w="108" w:type="dxa"/>
          </w:tblCellMar>
        </w:tblPrEx>
        <w:tc>
          <w:tcPr>
            <w:tcW w:w="3061" w:type="dxa"/>
            <w:noWrap w:val="0"/>
            <w:vAlign w:val="center"/>
          </w:tcPr>
          <w:p>
            <w:pPr>
              <w:keepNext w:val="0"/>
              <w:keepLines w:val="0"/>
              <w:pageBreakBefore w:val="0"/>
              <w:widowControl w:val="0"/>
              <w:kinsoku/>
              <w:wordWrap/>
              <w:overflowPunct/>
              <w:topLinePunct w:val="0"/>
              <w:bidi w:val="0"/>
              <w:snapToGrid w:val="0"/>
              <w:spacing w:line="360" w:lineRule="auto"/>
              <w:jc w:val="both"/>
              <w:rPr>
                <w:rFonts w:hint="eastAsia" w:ascii="宋体" w:hAnsi="宋体"/>
                <w:color w:val="auto"/>
                <w:sz w:val="24"/>
              </w:rPr>
            </w:pPr>
            <w:r>
              <w:rPr>
                <w:rFonts w:hint="eastAsia" w:ascii="宋体" w:hAnsi="宋体"/>
                <w:color w:val="auto"/>
                <w:sz w:val="24"/>
              </w:rPr>
              <w:t>GB/T 17650-1998</w:t>
            </w:r>
          </w:p>
        </w:tc>
        <w:tc>
          <w:tcPr>
            <w:tcW w:w="6453" w:type="dxa"/>
            <w:noWrap w:val="0"/>
            <w:vAlign w:val="center"/>
          </w:tcPr>
          <w:p>
            <w:pPr>
              <w:keepNext w:val="0"/>
              <w:keepLines w:val="0"/>
              <w:pageBreakBefore w:val="0"/>
              <w:widowControl w:val="0"/>
              <w:kinsoku/>
              <w:wordWrap/>
              <w:overflowPunct/>
              <w:topLinePunct w:val="0"/>
              <w:bidi w:val="0"/>
              <w:snapToGrid w:val="0"/>
              <w:spacing w:line="360" w:lineRule="auto"/>
              <w:jc w:val="both"/>
              <w:rPr>
                <w:rFonts w:hint="eastAsia" w:ascii="宋体" w:hAnsi="宋体"/>
                <w:color w:val="auto"/>
                <w:sz w:val="24"/>
              </w:rPr>
            </w:pPr>
            <w:r>
              <w:rPr>
                <w:rFonts w:hint="eastAsia" w:ascii="宋体" w:hAnsi="宋体"/>
                <w:color w:val="auto"/>
                <w:sz w:val="24"/>
              </w:rPr>
              <w:t>《取自电缆或光缆的材料燃烧时释放气体的试验方法》</w:t>
            </w:r>
          </w:p>
        </w:tc>
      </w:tr>
      <w:tr>
        <w:tblPrEx>
          <w:tblCellMar>
            <w:top w:w="0" w:type="dxa"/>
            <w:left w:w="108" w:type="dxa"/>
            <w:bottom w:w="0" w:type="dxa"/>
            <w:right w:w="108" w:type="dxa"/>
          </w:tblCellMar>
        </w:tblPrEx>
        <w:tc>
          <w:tcPr>
            <w:tcW w:w="3061" w:type="dxa"/>
            <w:noWrap w:val="0"/>
            <w:vAlign w:val="center"/>
          </w:tcPr>
          <w:p>
            <w:pPr>
              <w:keepNext w:val="0"/>
              <w:keepLines w:val="0"/>
              <w:pageBreakBefore w:val="0"/>
              <w:widowControl w:val="0"/>
              <w:kinsoku/>
              <w:wordWrap/>
              <w:overflowPunct/>
              <w:topLinePunct w:val="0"/>
              <w:bidi w:val="0"/>
              <w:snapToGrid w:val="0"/>
              <w:spacing w:line="360" w:lineRule="auto"/>
              <w:jc w:val="both"/>
              <w:rPr>
                <w:rFonts w:hint="eastAsia" w:ascii="宋体" w:hAnsi="宋体"/>
                <w:color w:val="auto"/>
                <w:sz w:val="24"/>
              </w:rPr>
            </w:pPr>
            <w:r>
              <w:rPr>
                <w:rFonts w:hint="eastAsia" w:ascii="宋体" w:hAnsi="宋体"/>
                <w:color w:val="auto"/>
                <w:sz w:val="24"/>
              </w:rPr>
              <w:t>GB/T 17651-1998</w:t>
            </w:r>
          </w:p>
        </w:tc>
        <w:tc>
          <w:tcPr>
            <w:tcW w:w="6453" w:type="dxa"/>
            <w:noWrap w:val="0"/>
            <w:vAlign w:val="center"/>
          </w:tcPr>
          <w:p>
            <w:pPr>
              <w:keepNext w:val="0"/>
              <w:keepLines w:val="0"/>
              <w:pageBreakBefore w:val="0"/>
              <w:widowControl w:val="0"/>
              <w:kinsoku/>
              <w:wordWrap/>
              <w:overflowPunct/>
              <w:topLinePunct w:val="0"/>
              <w:bidi w:val="0"/>
              <w:snapToGrid w:val="0"/>
              <w:spacing w:line="360" w:lineRule="auto"/>
              <w:jc w:val="both"/>
              <w:rPr>
                <w:rFonts w:hint="eastAsia" w:ascii="宋体" w:hAnsi="宋体"/>
                <w:color w:val="auto"/>
                <w:sz w:val="24"/>
              </w:rPr>
            </w:pPr>
            <w:r>
              <w:rPr>
                <w:rFonts w:hint="eastAsia" w:ascii="宋体" w:hAnsi="宋体"/>
                <w:color w:val="auto"/>
                <w:sz w:val="24"/>
              </w:rPr>
              <w:t>《电缆或光缆在特定条件下燃烧的烟密度测定》</w:t>
            </w:r>
          </w:p>
        </w:tc>
      </w:tr>
      <w:tr>
        <w:tblPrEx>
          <w:tblCellMar>
            <w:top w:w="0" w:type="dxa"/>
            <w:left w:w="108" w:type="dxa"/>
            <w:bottom w:w="0" w:type="dxa"/>
            <w:right w:w="108" w:type="dxa"/>
          </w:tblCellMar>
        </w:tblPrEx>
        <w:tc>
          <w:tcPr>
            <w:tcW w:w="3061" w:type="dxa"/>
            <w:noWrap w:val="0"/>
            <w:vAlign w:val="center"/>
          </w:tcPr>
          <w:p>
            <w:pPr>
              <w:keepNext w:val="0"/>
              <w:keepLines w:val="0"/>
              <w:pageBreakBefore w:val="0"/>
              <w:widowControl w:val="0"/>
              <w:kinsoku/>
              <w:wordWrap/>
              <w:overflowPunct/>
              <w:topLinePunct w:val="0"/>
              <w:bidi w:val="0"/>
              <w:snapToGrid w:val="0"/>
              <w:spacing w:line="360" w:lineRule="auto"/>
              <w:jc w:val="both"/>
              <w:rPr>
                <w:rFonts w:hint="eastAsia" w:ascii="宋体" w:hAnsi="宋体"/>
                <w:color w:val="auto"/>
                <w:sz w:val="24"/>
              </w:rPr>
            </w:pPr>
            <w:r>
              <w:rPr>
                <w:rFonts w:hint="eastAsia" w:ascii="宋体" w:hAnsi="宋体"/>
                <w:color w:val="auto"/>
                <w:sz w:val="24"/>
              </w:rPr>
              <w:t>GB/T 18380-2008</w:t>
            </w:r>
          </w:p>
        </w:tc>
        <w:tc>
          <w:tcPr>
            <w:tcW w:w="6453" w:type="dxa"/>
            <w:noWrap w:val="0"/>
            <w:vAlign w:val="center"/>
          </w:tcPr>
          <w:p>
            <w:pPr>
              <w:keepNext w:val="0"/>
              <w:keepLines w:val="0"/>
              <w:pageBreakBefore w:val="0"/>
              <w:widowControl w:val="0"/>
              <w:kinsoku/>
              <w:wordWrap/>
              <w:overflowPunct/>
              <w:topLinePunct w:val="0"/>
              <w:bidi w:val="0"/>
              <w:snapToGrid w:val="0"/>
              <w:spacing w:line="360" w:lineRule="auto"/>
              <w:jc w:val="both"/>
              <w:rPr>
                <w:rFonts w:hint="eastAsia" w:ascii="宋体" w:hAnsi="宋体"/>
                <w:color w:val="auto"/>
                <w:sz w:val="24"/>
              </w:rPr>
            </w:pPr>
            <w:r>
              <w:rPr>
                <w:rFonts w:hint="eastAsia"/>
                <w:color w:val="auto"/>
                <w:kern w:val="0"/>
                <w:sz w:val="24"/>
              </w:rPr>
              <w:t>《电缆和光缆在火焰条件下的燃烧试验》</w:t>
            </w:r>
          </w:p>
        </w:tc>
      </w:tr>
      <w:tr>
        <w:tblPrEx>
          <w:tblCellMar>
            <w:top w:w="0" w:type="dxa"/>
            <w:left w:w="108" w:type="dxa"/>
            <w:bottom w:w="0" w:type="dxa"/>
            <w:right w:w="108" w:type="dxa"/>
          </w:tblCellMar>
        </w:tblPrEx>
        <w:tc>
          <w:tcPr>
            <w:tcW w:w="3061" w:type="dxa"/>
            <w:noWrap w:val="0"/>
            <w:vAlign w:val="center"/>
          </w:tcPr>
          <w:p>
            <w:pPr>
              <w:keepNext w:val="0"/>
              <w:keepLines w:val="0"/>
              <w:pageBreakBefore w:val="0"/>
              <w:widowControl w:val="0"/>
              <w:kinsoku/>
              <w:wordWrap/>
              <w:overflowPunct/>
              <w:topLinePunct w:val="0"/>
              <w:bidi w:val="0"/>
              <w:snapToGrid w:val="0"/>
              <w:spacing w:line="360" w:lineRule="auto"/>
              <w:jc w:val="both"/>
              <w:rPr>
                <w:rFonts w:hint="eastAsia" w:ascii="宋体" w:hAnsi="宋体"/>
                <w:color w:val="auto"/>
                <w:sz w:val="24"/>
              </w:rPr>
            </w:pPr>
            <w:r>
              <w:rPr>
                <w:rFonts w:hint="eastAsia" w:ascii="宋体" w:hAnsi="宋体"/>
                <w:color w:val="auto"/>
                <w:sz w:val="24"/>
              </w:rPr>
              <w:t>南方电网基建[2014]16号</w:t>
            </w:r>
          </w:p>
        </w:tc>
        <w:tc>
          <w:tcPr>
            <w:tcW w:w="6453" w:type="dxa"/>
            <w:noWrap w:val="0"/>
            <w:vAlign w:val="center"/>
          </w:tcPr>
          <w:p>
            <w:pPr>
              <w:keepNext w:val="0"/>
              <w:keepLines w:val="0"/>
              <w:pageBreakBefore w:val="0"/>
              <w:widowControl w:val="0"/>
              <w:kinsoku/>
              <w:wordWrap/>
              <w:overflowPunct/>
              <w:topLinePunct w:val="0"/>
              <w:bidi w:val="0"/>
              <w:snapToGrid w:val="0"/>
              <w:spacing w:line="360" w:lineRule="auto"/>
              <w:jc w:val="both"/>
              <w:rPr>
                <w:rFonts w:hint="eastAsia" w:ascii="宋体" w:hAnsi="宋体"/>
                <w:color w:val="auto"/>
                <w:sz w:val="24"/>
              </w:rPr>
            </w:pPr>
            <w:r>
              <w:rPr>
                <w:rFonts w:hint="eastAsia" w:ascii="宋体" w:hAnsi="宋体"/>
                <w:color w:val="auto"/>
                <w:sz w:val="24"/>
              </w:rPr>
              <w:t>《南方电网公司标准设计和典型造价V1.0》</w:t>
            </w:r>
          </w:p>
        </w:tc>
      </w:tr>
    </w:tbl>
    <w:p>
      <w:pPr>
        <w:pStyle w:val="4"/>
        <w:keepNext w:val="0"/>
        <w:keepLines w:val="0"/>
        <w:pageBreakBefore w:val="0"/>
        <w:widowControl w:val="0"/>
        <w:tabs>
          <w:tab w:val="left" w:pos="0"/>
          <w:tab w:val="clear" w:pos="420"/>
        </w:tabs>
        <w:kinsoku/>
        <w:wordWrap/>
        <w:overflowPunct/>
        <w:topLinePunct w:val="0"/>
        <w:bidi w:val="0"/>
        <w:rPr>
          <w:rFonts w:hint="eastAsia"/>
          <w:color w:val="auto"/>
        </w:rPr>
      </w:pPr>
      <w:bookmarkStart w:id="25" w:name="_Toc16236"/>
      <w:r>
        <w:rPr>
          <w:color w:val="auto"/>
        </w:rPr>
        <w:t>使用条件</w:t>
      </w:r>
      <w:bookmarkEnd w:id="24"/>
      <w:bookmarkEnd w:id="25"/>
      <w:bookmarkStart w:id="26" w:name="_Toc296075298"/>
      <w:bookmarkEnd w:id="26"/>
    </w:p>
    <w:p>
      <w:pPr>
        <w:pStyle w:val="5"/>
        <w:keepNext w:val="0"/>
        <w:keepLines w:val="0"/>
        <w:pageBreakBefore w:val="0"/>
        <w:widowControl w:val="0"/>
        <w:kinsoku/>
        <w:wordWrap/>
        <w:overflowPunct/>
        <w:topLinePunct w:val="0"/>
        <w:bidi w:val="0"/>
        <w:rPr>
          <w:color w:val="auto"/>
        </w:rPr>
      </w:pPr>
      <w:bookmarkStart w:id="27" w:name="_Toc16004"/>
      <w:bookmarkStart w:id="28" w:name="_Toc264460811"/>
      <w:bookmarkStart w:id="29" w:name="_Toc264380123"/>
      <w:bookmarkStart w:id="30" w:name="_Toc296075302"/>
      <w:bookmarkStart w:id="31" w:name="_Toc491259748"/>
      <w:bookmarkStart w:id="32" w:name="_Toc305"/>
      <w:bookmarkStart w:id="33" w:name="_Toc447790052"/>
      <w:bookmarkStart w:id="34" w:name="_Toc14079"/>
      <w:r>
        <w:rPr>
          <w:rFonts w:hint="eastAsia"/>
          <w:color w:val="auto"/>
        </w:rPr>
        <w:t>通用使用条件</w:t>
      </w:r>
      <w:bookmarkEnd w:id="27"/>
      <w:bookmarkEnd w:id="28"/>
      <w:bookmarkEnd w:id="29"/>
    </w:p>
    <w:p>
      <w:pPr>
        <w:pStyle w:val="6"/>
        <w:keepNext w:val="0"/>
        <w:keepLines w:val="0"/>
        <w:pageBreakBefore w:val="0"/>
        <w:widowControl w:val="0"/>
        <w:kinsoku/>
        <w:wordWrap/>
        <w:overflowPunct/>
        <w:topLinePunct w:val="0"/>
        <w:bidi w:val="0"/>
        <w:rPr>
          <w:color w:val="auto"/>
        </w:rPr>
      </w:pPr>
      <w:r>
        <w:rPr>
          <w:rFonts w:hint="eastAsia"/>
          <w:color w:val="auto"/>
        </w:rPr>
        <w:t>环境条件</w:t>
      </w:r>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sz w:val="24"/>
        </w:rPr>
      </w:pPr>
      <w:r>
        <w:rPr>
          <w:rFonts w:hint="eastAsia" w:hAnsi="宋体"/>
          <w:color w:val="auto"/>
          <w:sz w:val="24"/>
        </w:rPr>
        <w:t>1）</w:t>
      </w:r>
      <w:r>
        <w:rPr>
          <w:rFonts w:hAnsi="宋体"/>
          <w:color w:val="auto"/>
          <w:sz w:val="24"/>
        </w:rPr>
        <w:t>周围空气温度</w:t>
      </w:r>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sz w:val="24"/>
        </w:rPr>
      </w:pPr>
      <w:r>
        <w:rPr>
          <w:rFonts w:hAnsi="宋体"/>
          <w:color w:val="auto"/>
          <w:sz w:val="24"/>
        </w:rPr>
        <w:t>最高温度:</w:t>
      </w:r>
      <w:r>
        <w:rPr>
          <w:rFonts w:hint="eastAsia" w:hAnsi="宋体"/>
          <w:color w:val="auto"/>
          <w:sz w:val="24"/>
        </w:rPr>
        <w:t>5</w:t>
      </w:r>
      <w:r>
        <w:rPr>
          <w:rFonts w:hAnsi="宋体"/>
          <w:color w:val="auto"/>
          <w:sz w:val="24"/>
        </w:rPr>
        <w:t>5</w:t>
      </w:r>
      <w:r>
        <w:rPr>
          <w:rFonts w:hint="eastAsia" w:hAnsi="宋体"/>
          <w:color w:val="auto"/>
          <w:sz w:val="24"/>
        </w:rPr>
        <w:t>℃</w:t>
      </w:r>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sz w:val="24"/>
        </w:rPr>
      </w:pPr>
      <w:r>
        <w:rPr>
          <w:rFonts w:hAnsi="宋体"/>
          <w:color w:val="auto"/>
          <w:sz w:val="24"/>
        </w:rPr>
        <w:t>最低温度:-10</w:t>
      </w:r>
      <w:r>
        <w:rPr>
          <w:rFonts w:hint="eastAsia" w:hAnsi="宋体"/>
          <w:color w:val="auto"/>
          <w:sz w:val="24"/>
        </w:rPr>
        <w:t>℃</w:t>
      </w:r>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sz w:val="24"/>
        </w:rPr>
      </w:pPr>
      <w:r>
        <w:rPr>
          <w:rFonts w:hAnsi="宋体"/>
          <w:color w:val="auto"/>
          <w:sz w:val="24"/>
        </w:rPr>
        <w:t>最大日温差:30K</w:t>
      </w:r>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sz w:val="24"/>
        </w:rPr>
      </w:pPr>
      <w:r>
        <w:rPr>
          <w:rFonts w:hint="eastAsia" w:hAnsi="宋体"/>
          <w:color w:val="auto"/>
          <w:sz w:val="24"/>
        </w:rPr>
        <w:t>敷设环境有直埋、管槽、排管、沟道、隧道、桥架、竖井等多种方式。</w:t>
      </w:r>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sz w:val="24"/>
        </w:rPr>
      </w:pPr>
      <w:r>
        <w:rPr>
          <w:rFonts w:hAnsi="宋体"/>
          <w:color w:val="auto"/>
          <w:sz w:val="24"/>
        </w:rPr>
        <w:t>日照强度:0.1W/cm2(风速0.5m/s)</w:t>
      </w:r>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sz w:val="24"/>
        </w:rPr>
      </w:pPr>
      <w:r>
        <w:rPr>
          <w:rFonts w:hint="eastAsia" w:hAnsi="宋体"/>
          <w:color w:val="auto"/>
          <w:sz w:val="24"/>
        </w:rPr>
        <w:t>2）</w:t>
      </w:r>
      <w:r>
        <w:rPr>
          <w:rFonts w:hAnsi="宋体"/>
          <w:color w:val="auto"/>
          <w:sz w:val="24"/>
        </w:rPr>
        <w:t>海拔高度:≤1000m</w:t>
      </w:r>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sz w:val="24"/>
        </w:rPr>
      </w:pPr>
      <w:r>
        <w:rPr>
          <w:rFonts w:hint="eastAsia" w:hAnsi="宋体"/>
          <w:color w:val="auto"/>
          <w:sz w:val="24"/>
        </w:rPr>
        <w:t>3）</w:t>
      </w:r>
      <w:r>
        <w:rPr>
          <w:rFonts w:hAnsi="宋体"/>
          <w:color w:val="auto"/>
          <w:sz w:val="24"/>
        </w:rPr>
        <w:t>最大风速:35m/s</w:t>
      </w:r>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sz w:val="24"/>
        </w:rPr>
      </w:pPr>
      <w:r>
        <w:rPr>
          <w:rFonts w:hint="eastAsia" w:hAnsi="宋体"/>
          <w:color w:val="auto"/>
          <w:sz w:val="24"/>
        </w:rPr>
        <w:t>4）</w:t>
      </w:r>
      <w:r>
        <w:rPr>
          <w:rFonts w:hAnsi="宋体"/>
          <w:color w:val="auto"/>
          <w:sz w:val="24"/>
        </w:rPr>
        <w:t>环境相对湿度(在25</w:t>
      </w:r>
      <w:r>
        <w:rPr>
          <w:rFonts w:hint="eastAsia" w:hAnsi="宋体"/>
          <w:color w:val="auto"/>
          <w:sz w:val="24"/>
        </w:rPr>
        <w:t>℃</w:t>
      </w:r>
      <w:r>
        <w:rPr>
          <w:rFonts w:hAnsi="宋体"/>
          <w:color w:val="auto"/>
          <w:sz w:val="24"/>
        </w:rPr>
        <w:t>时)</w:t>
      </w:r>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sz w:val="24"/>
        </w:rPr>
      </w:pPr>
      <w:r>
        <w:rPr>
          <w:rFonts w:hAnsi="宋体"/>
          <w:color w:val="auto"/>
          <w:sz w:val="24"/>
        </w:rPr>
        <w:t>日平均值：95%</w:t>
      </w:r>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sz w:val="24"/>
        </w:rPr>
      </w:pPr>
      <w:r>
        <w:rPr>
          <w:rFonts w:hAnsi="宋体"/>
          <w:color w:val="auto"/>
          <w:sz w:val="24"/>
        </w:rPr>
        <w:t>月平均值：90%</w:t>
      </w:r>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sz w:val="24"/>
        </w:rPr>
      </w:pPr>
      <w:r>
        <w:rPr>
          <w:rFonts w:hint="eastAsia" w:hAnsi="宋体"/>
          <w:color w:val="auto"/>
          <w:sz w:val="24"/>
        </w:rPr>
        <w:t>5）</w:t>
      </w:r>
      <w:r>
        <w:rPr>
          <w:rFonts w:hAnsi="宋体"/>
          <w:color w:val="auto"/>
          <w:sz w:val="24"/>
        </w:rPr>
        <w:t>降雨量</w:t>
      </w:r>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sz w:val="24"/>
        </w:rPr>
      </w:pPr>
      <w:r>
        <w:rPr>
          <w:rFonts w:hAnsi="宋体"/>
          <w:color w:val="auto"/>
          <w:sz w:val="24"/>
        </w:rPr>
        <w:t>年最大：2600mm</w:t>
      </w:r>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sz w:val="24"/>
        </w:rPr>
      </w:pPr>
      <w:r>
        <w:rPr>
          <w:rFonts w:hAnsi="宋体"/>
          <w:color w:val="auto"/>
          <w:sz w:val="24"/>
        </w:rPr>
        <w:t>日最大：300mm</w:t>
      </w:r>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sz w:val="24"/>
        </w:rPr>
      </w:pPr>
      <w:r>
        <w:rPr>
          <w:rFonts w:hint="eastAsia" w:hAnsi="宋体"/>
          <w:color w:val="auto"/>
          <w:sz w:val="24"/>
        </w:rPr>
        <w:t>6）</w:t>
      </w:r>
      <w:r>
        <w:rPr>
          <w:rFonts w:hAnsi="宋体"/>
          <w:color w:val="auto"/>
          <w:sz w:val="24"/>
        </w:rPr>
        <w:t>雷暴日：90日/年</w:t>
      </w:r>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sz w:val="24"/>
        </w:rPr>
      </w:pPr>
      <w:r>
        <w:rPr>
          <w:rFonts w:hint="eastAsia" w:hAnsi="宋体"/>
          <w:color w:val="auto"/>
          <w:sz w:val="24"/>
        </w:rPr>
        <w:t>7）</w:t>
      </w:r>
      <w:r>
        <w:rPr>
          <w:rFonts w:hAnsi="宋体"/>
          <w:color w:val="auto"/>
          <w:sz w:val="24"/>
        </w:rPr>
        <w:t>地震烈度：8度</w:t>
      </w:r>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sz w:val="24"/>
        </w:rPr>
      </w:pPr>
      <w:r>
        <w:rPr>
          <w:rFonts w:hAnsi="宋体"/>
          <w:color w:val="auto"/>
          <w:sz w:val="24"/>
        </w:rPr>
        <w:t>水平加速度：0.</w:t>
      </w:r>
      <w:r>
        <w:rPr>
          <w:rFonts w:hint="eastAsia" w:hAnsi="宋体"/>
          <w:color w:val="auto"/>
          <w:sz w:val="24"/>
        </w:rPr>
        <w:t>3</w:t>
      </w:r>
      <w:r>
        <w:rPr>
          <w:rFonts w:hAnsi="宋体"/>
          <w:color w:val="auto"/>
          <w:sz w:val="24"/>
        </w:rPr>
        <w:t>g</w:t>
      </w:r>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sz w:val="24"/>
        </w:rPr>
      </w:pPr>
      <w:r>
        <w:rPr>
          <w:rFonts w:hAnsi="宋体"/>
          <w:color w:val="auto"/>
          <w:sz w:val="24"/>
        </w:rPr>
        <w:t>垂直加速度：0.15g</w:t>
      </w:r>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sz w:val="24"/>
        </w:rPr>
      </w:pPr>
      <w:r>
        <w:rPr>
          <w:rFonts w:hint="eastAsia" w:hAnsi="宋体"/>
          <w:color w:val="auto"/>
          <w:sz w:val="24"/>
        </w:rPr>
        <w:t>应能承受用三周正弦波的0.3g水平加速度和0.15</w:t>
      </w:r>
      <w:r>
        <w:rPr>
          <w:rFonts w:hAnsi="宋体"/>
          <w:color w:val="auto"/>
          <w:sz w:val="24"/>
        </w:rPr>
        <w:t>g</w:t>
      </w:r>
      <w:r>
        <w:rPr>
          <w:rFonts w:hint="eastAsia" w:hAnsi="宋体"/>
          <w:color w:val="auto"/>
          <w:sz w:val="24"/>
        </w:rPr>
        <w:t>垂直加速度同时施加于设备结构最弱部分时，在共振条件下所发生的动态地震应力，并且安全系数应大于1.67。</w:t>
      </w:r>
    </w:p>
    <w:p>
      <w:pPr>
        <w:pStyle w:val="6"/>
        <w:keepNext w:val="0"/>
        <w:keepLines w:val="0"/>
        <w:pageBreakBefore w:val="0"/>
        <w:widowControl w:val="0"/>
        <w:kinsoku/>
        <w:wordWrap/>
        <w:overflowPunct/>
        <w:topLinePunct w:val="0"/>
        <w:bidi w:val="0"/>
        <w:rPr>
          <w:color w:val="auto"/>
        </w:rPr>
      </w:pPr>
      <w:r>
        <w:rPr>
          <w:rFonts w:hint="eastAsia"/>
          <w:color w:val="auto"/>
        </w:rPr>
        <w:t>工程条件</w:t>
      </w:r>
    </w:p>
    <w:p>
      <w:pPr>
        <w:pStyle w:val="7"/>
        <w:keepNext w:val="0"/>
        <w:keepLines w:val="0"/>
        <w:pageBreakBefore w:val="0"/>
        <w:widowControl w:val="0"/>
        <w:kinsoku/>
        <w:wordWrap/>
        <w:overflowPunct/>
        <w:topLinePunct w:val="0"/>
        <w:bidi w:val="0"/>
        <w:rPr>
          <w:color w:val="auto"/>
        </w:rPr>
      </w:pPr>
      <w:r>
        <w:rPr>
          <w:rFonts w:hint="eastAsia"/>
          <w:color w:val="auto"/>
        </w:rPr>
        <w:t>系统概况</w:t>
      </w:r>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sz w:val="24"/>
        </w:rPr>
      </w:pPr>
      <w:r>
        <w:rPr>
          <w:rFonts w:hint="eastAsia" w:hAnsi="宋体"/>
          <w:color w:val="auto"/>
          <w:sz w:val="24"/>
        </w:rPr>
        <w:t>1)系统额定频率：50H</w:t>
      </w:r>
      <w:r>
        <w:rPr>
          <w:rFonts w:hAnsi="宋体"/>
          <w:color w:val="auto"/>
          <w:sz w:val="24"/>
        </w:rPr>
        <w:t>z</w:t>
      </w:r>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sz w:val="24"/>
        </w:rPr>
      </w:pPr>
      <w:r>
        <w:rPr>
          <w:rFonts w:hint="eastAsia" w:hAnsi="宋体"/>
          <w:color w:val="auto"/>
          <w:sz w:val="24"/>
        </w:rPr>
        <w:t>2)系统额定电压：380VAC/220VDC</w:t>
      </w:r>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sz w:val="24"/>
        </w:rPr>
      </w:pPr>
      <w:r>
        <w:rPr>
          <w:rFonts w:hint="eastAsia" w:hAnsi="宋体"/>
          <w:color w:val="auto"/>
          <w:sz w:val="24"/>
        </w:rPr>
        <w:t>3)系统最高运行电压：500VAC/250VDC</w:t>
      </w:r>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sz w:val="24"/>
        </w:rPr>
      </w:pPr>
      <w:r>
        <w:rPr>
          <w:rFonts w:hint="eastAsia" w:hAnsi="宋体"/>
          <w:color w:val="auto"/>
          <w:sz w:val="24"/>
        </w:rPr>
        <w:t>4)系统短路水平：20kA</w:t>
      </w:r>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sz w:val="24"/>
        </w:rPr>
      </w:pPr>
      <w:r>
        <w:rPr>
          <w:rFonts w:hint="eastAsia" w:hAnsi="宋体"/>
          <w:color w:val="auto"/>
          <w:sz w:val="24"/>
        </w:rPr>
        <w:t>5)系统接地方式：中性点直接接地/不接地</w:t>
      </w:r>
    </w:p>
    <w:p>
      <w:pPr>
        <w:pStyle w:val="7"/>
        <w:keepNext w:val="0"/>
        <w:keepLines w:val="0"/>
        <w:pageBreakBefore w:val="0"/>
        <w:widowControl w:val="0"/>
        <w:kinsoku/>
        <w:wordWrap/>
        <w:overflowPunct/>
        <w:topLinePunct w:val="0"/>
        <w:bidi w:val="0"/>
        <w:rPr>
          <w:color w:val="auto"/>
        </w:rPr>
      </w:pPr>
      <w:r>
        <w:rPr>
          <w:rFonts w:hint="eastAsia"/>
          <w:color w:val="auto"/>
        </w:rPr>
        <w:t>电缆绝缘水平</w:t>
      </w:r>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sz w:val="24"/>
        </w:rPr>
      </w:pPr>
      <w:r>
        <w:rPr>
          <w:rFonts w:hint="eastAsia" w:hAnsi="宋体"/>
          <w:color w:val="auto"/>
          <w:sz w:val="24"/>
        </w:rPr>
        <w:t>1)控制电缆额定电压U。/U： 450</w:t>
      </w:r>
      <w:r>
        <w:rPr>
          <w:rFonts w:hAnsi="宋体"/>
          <w:color w:val="auto"/>
          <w:sz w:val="24"/>
        </w:rPr>
        <w:t>V</w:t>
      </w:r>
      <w:r>
        <w:rPr>
          <w:rFonts w:hint="eastAsia" w:hAnsi="宋体"/>
          <w:color w:val="auto"/>
          <w:sz w:val="24"/>
        </w:rPr>
        <w:t>/750V，耐压试验2500V，5分钟完好。</w:t>
      </w:r>
    </w:p>
    <w:p>
      <w:pPr>
        <w:pStyle w:val="7"/>
        <w:keepNext w:val="0"/>
        <w:keepLines w:val="0"/>
        <w:pageBreakBefore w:val="0"/>
        <w:widowControl w:val="0"/>
        <w:kinsoku/>
        <w:wordWrap/>
        <w:overflowPunct/>
        <w:topLinePunct w:val="0"/>
        <w:bidi w:val="0"/>
        <w:rPr>
          <w:color w:val="auto"/>
        </w:rPr>
      </w:pPr>
      <w:r>
        <w:rPr>
          <w:color w:val="auto"/>
        </w:rPr>
        <w:t>设计寿命</w:t>
      </w:r>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sz w:val="24"/>
        </w:rPr>
      </w:pPr>
      <w:r>
        <w:rPr>
          <w:rFonts w:hAnsi="宋体"/>
          <w:color w:val="auto"/>
          <w:sz w:val="24"/>
        </w:rPr>
        <w:t>工程使用</w:t>
      </w:r>
      <w:r>
        <w:rPr>
          <w:rFonts w:hint="eastAsia" w:hAnsi="宋体"/>
          <w:color w:val="auto"/>
          <w:sz w:val="24"/>
        </w:rPr>
        <w:t>导地线</w:t>
      </w:r>
      <w:r>
        <w:rPr>
          <w:rFonts w:hAnsi="宋体"/>
          <w:color w:val="auto"/>
          <w:sz w:val="24"/>
        </w:rPr>
        <w:t>必须是全新的、耐用的，满足作为一个完整产品一般所能满足的全部要求，应保证</w:t>
      </w:r>
      <w:r>
        <w:rPr>
          <w:rFonts w:hint="eastAsia" w:hAnsi="宋体"/>
          <w:color w:val="auto"/>
          <w:sz w:val="24"/>
        </w:rPr>
        <w:t>导地线</w:t>
      </w:r>
      <w:r>
        <w:rPr>
          <w:rFonts w:hAnsi="宋体"/>
          <w:color w:val="auto"/>
          <w:sz w:val="24"/>
        </w:rPr>
        <w:t>设计寿命30年。</w:t>
      </w:r>
    </w:p>
    <w:p>
      <w:pPr>
        <w:pStyle w:val="5"/>
        <w:keepNext w:val="0"/>
        <w:keepLines w:val="0"/>
        <w:pageBreakBefore w:val="0"/>
        <w:widowControl w:val="0"/>
        <w:kinsoku/>
        <w:wordWrap/>
        <w:overflowPunct/>
        <w:topLinePunct w:val="0"/>
        <w:bidi w:val="0"/>
        <w:rPr>
          <w:color w:val="auto"/>
        </w:rPr>
      </w:pPr>
      <w:bookmarkStart w:id="35" w:name="_Toc264380124"/>
      <w:bookmarkStart w:id="36" w:name="_Toc264460812"/>
      <w:bookmarkStart w:id="37" w:name="_Toc23344"/>
      <w:r>
        <w:rPr>
          <w:rFonts w:hint="eastAsia"/>
          <w:color w:val="auto"/>
        </w:rPr>
        <w:t>特殊使用条件</w:t>
      </w:r>
      <w:bookmarkEnd w:id="35"/>
      <w:bookmarkEnd w:id="36"/>
      <w:bookmarkEnd w:id="37"/>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sz w:val="24"/>
        </w:rPr>
      </w:pPr>
      <w:bookmarkStart w:id="38" w:name="_Toc327539076"/>
      <w:r>
        <w:rPr>
          <w:rFonts w:hint="eastAsia" w:hAnsi="宋体"/>
          <w:color w:val="auto"/>
          <w:sz w:val="24"/>
        </w:rPr>
        <w:t>控制电缆主要对温度条件及其他特殊条件影响较大。要求投标方按实际使用条件供货。</w:t>
      </w:r>
      <w:bookmarkEnd w:id="38"/>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sz w:val="24"/>
        </w:rPr>
      </w:pPr>
      <w:r>
        <w:rPr>
          <w:rFonts w:hint="eastAsia" w:hAnsi="宋体"/>
          <w:color w:val="auto"/>
          <w:sz w:val="24"/>
        </w:rPr>
        <w:t>下列为</w:t>
      </w:r>
      <w:r>
        <w:rPr>
          <w:rFonts w:hAnsi="宋体"/>
          <w:color w:val="auto"/>
          <w:sz w:val="24"/>
        </w:rPr>
        <w:t>特殊</w:t>
      </w:r>
      <w:r>
        <w:rPr>
          <w:rFonts w:hint="eastAsia" w:hAnsi="宋体"/>
          <w:color w:val="auto"/>
          <w:sz w:val="24"/>
        </w:rPr>
        <w:t>使用</w:t>
      </w:r>
      <w:r>
        <w:rPr>
          <w:rFonts w:hAnsi="宋体"/>
          <w:color w:val="auto"/>
          <w:sz w:val="24"/>
        </w:rPr>
        <w:t>条件</w:t>
      </w:r>
      <w:r>
        <w:rPr>
          <w:rFonts w:hint="eastAsia" w:hAnsi="宋体"/>
          <w:color w:val="auto"/>
          <w:sz w:val="24"/>
        </w:rPr>
        <w:t>：</w:t>
      </w:r>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sz w:val="24"/>
        </w:rPr>
      </w:pPr>
      <w:r>
        <w:rPr>
          <w:rFonts w:hint="eastAsia" w:hAnsi="宋体"/>
          <w:color w:val="auto"/>
          <w:sz w:val="24"/>
        </w:rPr>
        <w:t>1）最高环境温度超过</w:t>
      </w:r>
      <w:r>
        <w:rPr>
          <w:rFonts w:hAnsi="宋体"/>
          <w:color w:val="auto"/>
          <w:sz w:val="24"/>
        </w:rPr>
        <w:t>40</w:t>
      </w:r>
      <w:r>
        <w:rPr>
          <w:rFonts w:hint="eastAsia" w:hAnsi="宋体"/>
          <w:color w:val="auto"/>
          <w:sz w:val="24"/>
        </w:rPr>
        <w:t>℃</w:t>
      </w:r>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sz w:val="24"/>
        </w:rPr>
      </w:pPr>
      <w:r>
        <w:rPr>
          <w:rFonts w:hint="eastAsia" w:hAnsi="宋体"/>
          <w:color w:val="auto"/>
          <w:sz w:val="24"/>
        </w:rPr>
        <w:t>2）设备靠近热源</w:t>
      </w:r>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sz w:val="24"/>
        </w:rPr>
      </w:pPr>
      <w:r>
        <w:rPr>
          <w:rFonts w:hint="eastAsia" w:hAnsi="宋体"/>
          <w:color w:val="auto"/>
          <w:sz w:val="24"/>
        </w:rPr>
        <w:t>3）</w:t>
      </w:r>
      <w:r>
        <w:rPr>
          <w:rFonts w:hAnsi="宋体"/>
          <w:color w:val="auto"/>
          <w:sz w:val="24"/>
        </w:rPr>
        <w:t>其它特殊使用条件</w:t>
      </w:r>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int="eastAsia" w:hAnsi="宋体"/>
          <w:color w:val="auto"/>
          <w:sz w:val="24"/>
        </w:rPr>
      </w:pPr>
      <w:r>
        <w:rPr>
          <w:rFonts w:hAnsi="宋体"/>
          <w:color w:val="auto"/>
          <w:sz w:val="24"/>
        </w:rPr>
        <w:t>设备在其它特殊使用条件下使用时，应参照GB/T 4796、GB/T 4797、GB/T 4798的规定提出其环境参数</w:t>
      </w:r>
      <w:r>
        <w:rPr>
          <w:rFonts w:hint="eastAsia" w:hAnsi="宋体"/>
          <w:color w:val="auto"/>
          <w:sz w:val="24"/>
        </w:rPr>
        <w:t>要求</w:t>
      </w:r>
      <w:r>
        <w:rPr>
          <w:rFonts w:hAnsi="宋体"/>
          <w:color w:val="auto"/>
          <w:sz w:val="24"/>
        </w:rPr>
        <w:t>。</w:t>
      </w:r>
    </w:p>
    <w:p>
      <w:pPr>
        <w:pStyle w:val="4"/>
        <w:keepNext w:val="0"/>
        <w:keepLines w:val="0"/>
        <w:pageBreakBefore w:val="0"/>
        <w:widowControl w:val="0"/>
        <w:kinsoku/>
        <w:wordWrap/>
        <w:overflowPunct/>
        <w:topLinePunct w:val="0"/>
        <w:bidi w:val="0"/>
        <w:rPr>
          <w:color w:val="auto"/>
        </w:rPr>
      </w:pPr>
      <w:bookmarkStart w:id="39" w:name="_Toc10562"/>
      <w:r>
        <w:rPr>
          <w:color w:val="auto"/>
        </w:rPr>
        <w:t>技术要求</w:t>
      </w:r>
      <w:bookmarkEnd w:id="30"/>
      <w:bookmarkEnd w:id="31"/>
      <w:bookmarkEnd w:id="32"/>
      <w:bookmarkEnd w:id="33"/>
      <w:bookmarkEnd w:id="34"/>
      <w:bookmarkEnd w:id="39"/>
    </w:p>
    <w:p>
      <w:pPr>
        <w:pStyle w:val="5"/>
        <w:keepNext w:val="0"/>
        <w:keepLines w:val="0"/>
        <w:pageBreakBefore w:val="0"/>
        <w:widowControl w:val="0"/>
        <w:kinsoku/>
        <w:wordWrap/>
        <w:overflowPunct/>
        <w:topLinePunct w:val="0"/>
        <w:bidi w:val="0"/>
        <w:rPr>
          <w:color w:val="auto"/>
        </w:rPr>
      </w:pPr>
      <w:bookmarkStart w:id="40" w:name="_Toc15613"/>
      <w:bookmarkStart w:id="41" w:name="_Toc240454191"/>
      <w:bookmarkStart w:id="42" w:name="_Toc288667252"/>
      <w:bookmarkStart w:id="43" w:name="_Toc30538"/>
      <w:r>
        <w:rPr>
          <w:rFonts w:hint="eastAsia"/>
          <w:color w:val="auto"/>
        </w:rPr>
        <w:t>导体</w:t>
      </w:r>
      <w:bookmarkEnd w:id="40"/>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kern w:val="0"/>
          <w:sz w:val="24"/>
        </w:rPr>
      </w:pPr>
      <w:r>
        <w:rPr>
          <w:rFonts w:hint="eastAsia" w:hAnsi="宋体"/>
          <w:color w:val="auto"/>
          <w:kern w:val="0"/>
          <w:sz w:val="24"/>
        </w:rPr>
        <w:t>导体采用优质无氧铜，其性能和外观应符合GB3956的相关规定。供方在投标时必须注明铜产地。</w:t>
      </w:r>
    </w:p>
    <w:p>
      <w:pPr>
        <w:pStyle w:val="5"/>
        <w:keepNext w:val="0"/>
        <w:keepLines w:val="0"/>
        <w:pageBreakBefore w:val="0"/>
        <w:widowControl w:val="0"/>
        <w:kinsoku/>
        <w:wordWrap/>
        <w:overflowPunct/>
        <w:topLinePunct w:val="0"/>
        <w:bidi w:val="0"/>
        <w:rPr>
          <w:color w:val="auto"/>
        </w:rPr>
      </w:pPr>
      <w:bookmarkStart w:id="44" w:name="_Toc2407"/>
      <w:r>
        <w:rPr>
          <w:rFonts w:hint="eastAsia"/>
          <w:color w:val="auto"/>
        </w:rPr>
        <w:t>绝缘</w:t>
      </w:r>
      <w:bookmarkEnd w:id="44"/>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kern w:val="0"/>
          <w:sz w:val="24"/>
        </w:rPr>
      </w:pPr>
      <w:r>
        <w:rPr>
          <w:rFonts w:hint="eastAsia" w:hAnsi="宋体"/>
          <w:color w:val="auto"/>
          <w:kern w:val="0"/>
          <w:sz w:val="24"/>
        </w:rPr>
        <w:t>1）绝缘材料采用聚氯乙烯和聚乙烯绝缘材料。</w:t>
      </w:r>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kern w:val="0"/>
          <w:sz w:val="24"/>
        </w:rPr>
      </w:pPr>
      <w:r>
        <w:rPr>
          <w:rFonts w:hint="eastAsia" w:hAnsi="宋体"/>
          <w:color w:val="auto"/>
          <w:kern w:val="0"/>
          <w:sz w:val="24"/>
        </w:rPr>
        <w:t>2）绝缘厚度平均值应不小于规定的标称值，绝缘最薄点的厚度应不小于规定标称值的90%-0.1</w:t>
      </w:r>
      <w:r>
        <w:rPr>
          <w:rFonts w:hAnsi="宋体"/>
          <w:color w:val="auto"/>
          <w:kern w:val="0"/>
          <w:sz w:val="24"/>
        </w:rPr>
        <w:t>mm</w:t>
      </w:r>
      <w:r>
        <w:rPr>
          <w:rFonts w:hint="eastAsia" w:hAnsi="宋体"/>
          <w:color w:val="auto"/>
          <w:kern w:val="0"/>
          <w:sz w:val="24"/>
        </w:rPr>
        <w:t>。厚度测量结果应按GB8170规定修约。导体和绝缘外面的任何隔离层或半导电屏蔽层的厚度应不包括在绝缘厚度内。</w:t>
      </w:r>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kern w:val="0"/>
          <w:sz w:val="24"/>
        </w:rPr>
      </w:pPr>
      <w:r>
        <w:rPr>
          <w:rFonts w:hint="eastAsia" w:hAnsi="宋体"/>
          <w:color w:val="auto"/>
          <w:kern w:val="0"/>
          <w:sz w:val="24"/>
        </w:rPr>
        <w:t>3）绝缘线芯应采用颜色标志和数字标识以示识别，并应符合GB6995.4的规定。5芯及以下电缆的绝缘线芯采用颜色标志时，其优先选用的颜色及色序应满足GB9330.1的要求。采用数字标志的绝缘线芯，其绝缘颜色与数字标志颜色应有明显不同，其优先选用颜色绝缘为黑色，数字为白色。</w:t>
      </w:r>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kern w:val="0"/>
          <w:sz w:val="24"/>
        </w:rPr>
      </w:pPr>
      <w:r>
        <w:rPr>
          <w:rFonts w:hint="eastAsia" w:hAnsi="宋体"/>
          <w:color w:val="auto"/>
          <w:kern w:val="0"/>
          <w:sz w:val="24"/>
        </w:rPr>
        <w:t>4）绝缘的横断面应无目力可见的气泡和砂眼等缺陷。</w:t>
      </w:r>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kern w:val="0"/>
          <w:sz w:val="24"/>
        </w:rPr>
      </w:pPr>
      <w:r>
        <w:rPr>
          <w:rFonts w:hint="eastAsia" w:hAnsi="宋体"/>
          <w:color w:val="auto"/>
          <w:kern w:val="0"/>
          <w:sz w:val="24"/>
        </w:rPr>
        <w:t>5）绝缘应紧密挤包在导体上，且应容易剥离而不损伤绝缘体、导体或镀层。</w:t>
      </w:r>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kern w:val="0"/>
          <w:sz w:val="24"/>
        </w:rPr>
      </w:pPr>
      <w:r>
        <w:rPr>
          <w:rFonts w:hint="eastAsia" w:hAnsi="宋体"/>
          <w:color w:val="auto"/>
          <w:kern w:val="0"/>
          <w:sz w:val="24"/>
        </w:rPr>
        <w:t>6）绝缘表面应平整、色泽均匀。</w:t>
      </w:r>
    </w:p>
    <w:bookmarkEnd w:id="41"/>
    <w:bookmarkEnd w:id="42"/>
    <w:p>
      <w:pPr>
        <w:pStyle w:val="5"/>
        <w:keepNext w:val="0"/>
        <w:keepLines w:val="0"/>
        <w:pageBreakBefore w:val="0"/>
        <w:widowControl w:val="0"/>
        <w:kinsoku/>
        <w:wordWrap/>
        <w:overflowPunct/>
        <w:topLinePunct w:val="0"/>
        <w:bidi w:val="0"/>
        <w:rPr>
          <w:color w:val="auto"/>
        </w:rPr>
      </w:pPr>
      <w:bookmarkStart w:id="45" w:name="_Toc18695"/>
      <w:bookmarkStart w:id="46" w:name="_Toc288667253"/>
      <w:bookmarkStart w:id="47" w:name="_Toc240454192"/>
      <w:r>
        <w:rPr>
          <w:rFonts w:hint="eastAsia"/>
          <w:color w:val="auto"/>
        </w:rPr>
        <w:t>护套</w:t>
      </w:r>
      <w:bookmarkEnd w:id="45"/>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kern w:val="0"/>
          <w:sz w:val="24"/>
        </w:rPr>
      </w:pPr>
      <w:r>
        <w:rPr>
          <w:rFonts w:hint="eastAsia" w:hAnsi="宋体"/>
          <w:color w:val="auto"/>
          <w:kern w:val="0"/>
          <w:sz w:val="24"/>
        </w:rPr>
        <w:t>1）护套采用热塑性聚氯乙烯绝缘材料，其厚度应符合GB/T9330规定。</w:t>
      </w:r>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kern w:val="0"/>
          <w:sz w:val="24"/>
        </w:rPr>
      </w:pPr>
      <w:r>
        <w:rPr>
          <w:rFonts w:hint="eastAsia" w:hAnsi="宋体"/>
          <w:color w:val="auto"/>
          <w:kern w:val="0"/>
          <w:sz w:val="24"/>
        </w:rPr>
        <w:t>2）护套应紧密挤包在绞合的绝缘线芯、包复层上，且应容易剥落而不损伤绝缘或护套。护套表面应光洁，色泽均匀。</w:t>
      </w:r>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kern w:val="0"/>
          <w:sz w:val="24"/>
        </w:rPr>
      </w:pPr>
      <w:r>
        <w:rPr>
          <w:rFonts w:hint="eastAsia" w:hAnsi="宋体"/>
          <w:color w:val="auto"/>
          <w:kern w:val="0"/>
          <w:sz w:val="24"/>
        </w:rPr>
        <w:t>3）护套厚度的平均值应不小于标称值，其最薄处厚度应不小于标称值的85%-0.1mm。</w:t>
      </w:r>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kern w:val="0"/>
          <w:sz w:val="24"/>
        </w:rPr>
      </w:pPr>
      <w:r>
        <w:rPr>
          <w:rFonts w:hint="eastAsia" w:hAnsi="宋体"/>
          <w:color w:val="auto"/>
          <w:kern w:val="0"/>
          <w:sz w:val="24"/>
        </w:rPr>
        <w:t>4）护套的机械物理性能应符合GB/T2952规定。</w:t>
      </w:r>
      <w:bookmarkEnd w:id="46"/>
      <w:bookmarkEnd w:id="47"/>
    </w:p>
    <w:p>
      <w:pPr>
        <w:pStyle w:val="5"/>
        <w:keepNext w:val="0"/>
        <w:keepLines w:val="0"/>
        <w:pageBreakBefore w:val="0"/>
        <w:widowControl w:val="0"/>
        <w:kinsoku/>
        <w:wordWrap/>
        <w:overflowPunct/>
        <w:topLinePunct w:val="0"/>
        <w:bidi w:val="0"/>
        <w:rPr>
          <w:color w:val="auto"/>
        </w:rPr>
      </w:pPr>
      <w:bookmarkStart w:id="48" w:name="_Toc10365"/>
      <w:bookmarkStart w:id="49" w:name="_Toc288667254"/>
      <w:bookmarkStart w:id="50" w:name="_Toc240454193"/>
      <w:r>
        <w:rPr>
          <w:rFonts w:hint="eastAsia"/>
          <w:color w:val="auto"/>
        </w:rPr>
        <w:t>成品电缆</w:t>
      </w:r>
      <w:bookmarkEnd w:id="48"/>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kern w:val="0"/>
          <w:sz w:val="24"/>
        </w:rPr>
      </w:pPr>
      <w:r>
        <w:rPr>
          <w:rFonts w:hint="eastAsia" w:hAnsi="宋体"/>
          <w:color w:val="auto"/>
          <w:kern w:val="0"/>
          <w:sz w:val="24"/>
        </w:rPr>
        <w:t>1）成品电缆的护套表面上应有制造厂名、产品型号、额定电压及长度的连续标志，间隔为1</w:t>
      </w:r>
      <w:r>
        <w:rPr>
          <w:rFonts w:hAnsi="宋体"/>
          <w:color w:val="auto"/>
          <w:kern w:val="0"/>
          <w:sz w:val="24"/>
        </w:rPr>
        <w:t>m</w:t>
      </w:r>
      <w:r>
        <w:rPr>
          <w:rFonts w:hint="eastAsia" w:hAnsi="宋体"/>
          <w:color w:val="auto"/>
          <w:kern w:val="0"/>
          <w:sz w:val="24"/>
        </w:rPr>
        <w:t>，标志应字迹清楚，容易辨认、耐擦。</w:t>
      </w:r>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kern w:val="0"/>
          <w:sz w:val="24"/>
        </w:rPr>
      </w:pPr>
      <w:r>
        <w:rPr>
          <w:rFonts w:hint="eastAsia" w:hAnsi="宋体"/>
          <w:color w:val="auto"/>
          <w:kern w:val="0"/>
          <w:sz w:val="24"/>
        </w:rPr>
        <w:t>2）成品电缆标志应符合GB/T9330规定。</w:t>
      </w:r>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kern w:val="0"/>
          <w:sz w:val="24"/>
        </w:rPr>
      </w:pPr>
      <w:r>
        <w:rPr>
          <w:rFonts w:hint="eastAsia" w:hAnsi="宋体"/>
          <w:color w:val="auto"/>
          <w:kern w:val="0"/>
          <w:sz w:val="24"/>
        </w:rPr>
        <w:t>3）标志可以用油墨印刷或凸模或凹模压印在护套上。</w:t>
      </w:r>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kern w:val="0"/>
          <w:sz w:val="24"/>
        </w:rPr>
      </w:pPr>
      <w:r>
        <w:rPr>
          <w:rFonts w:hint="eastAsia" w:hAnsi="宋体"/>
          <w:color w:val="auto"/>
          <w:kern w:val="0"/>
          <w:sz w:val="24"/>
        </w:rPr>
        <w:t>4）成品电缆外径应符合有关标准。在圆形护套电缆的同一截面上所测得最大外径与最小外径之差应不超过有关规定。成品电缆中间无驳接现象。</w:t>
      </w:r>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kern w:val="0"/>
          <w:sz w:val="24"/>
        </w:rPr>
      </w:pPr>
      <w:r>
        <w:rPr>
          <w:rFonts w:hint="eastAsia" w:hAnsi="宋体"/>
          <w:color w:val="auto"/>
          <w:kern w:val="0"/>
          <w:sz w:val="24"/>
        </w:rPr>
        <w:t>5）电缆长度误差不超过5‰，应允许长度不小于20m的短段交货。</w:t>
      </w:r>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kern w:val="0"/>
          <w:sz w:val="24"/>
        </w:rPr>
      </w:pPr>
      <w:r>
        <w:rPr>
          <w:rFonts w:hint="eastAsia" w:hAnsi="宋体"/>
          <w:color w:val="auto"/>
          <w:kern w:val="0"/>
          <w:sz w:val="24"/>
        </w:rPr>
        <w:t>6）电缆防水、防潮性能应满足以下要求：</w:t>
      </w:r>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kern w:val="0"/>
          <w:sz w:val="24"/>
        </w:rPr>
      </w:pPr>
      <w:r>
        <w:rPr>
          <w:rFonts w:hint="eastAsia" w:hAnsi="宋体"/>
          <w:color w:val="auto"/>
          <w:kern w:val="0"/>
          <w:sz w:val="24"/>
        </w:rPr>
        <w:t>取电缆样品3m浸入水中（15~30℃），样品两端头密封，伸出水面300mm长度，浸泡72水时后，去除绝缘层以外的结构，绝缘层外表层应无目力可见的水分。</w:t>
      </w:r>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kern w:val="0"/>
          <w:sz w:val="24"/>
        </w:rPr>
      </w:pPr>
      <w:r>
        <w:rPr>
          <w:rFonts w:hint="eastAsia" w:hAnsi="宋体"/>
          <w:color w:val="auto"/>
          <w:kern w:val="0"/>
          <w:sz w:val="24"/>
        </w:rPr>
        <w:t>7）控制电缆应为阻燃电缆</w:t>
      </w:r>
      <w:r>
        <w:rPr>
          <w:rFonts w:hint="eastAsia" w:hAnsi="宋体"/>
          <w:color w:val="auto"/>
          <w:kern w:val="0"/>
          <w:sz w:val="24"/>
          <w:lang w:eastAsia="zh-CN"/>
        </w:rPr>
        <w:t>或耐火电缆</w:t>
      </w:r>
      <w:r>
        <w:rPr>
          <w:rFonts w:hint="eastAsia" w:hAnsi="宋体"/>
          <w:color w:val="auto"/>
          <w:kern w:val="0"/>
          <w:sz w:val="24"/>
        </w:rPr>
        <w:t>。阻燃等级分为A级和B级两种。</w:t>
      </w:r>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kern w:val="0"/>
          <w:sz w:val="24"/>
        </w:rPr>
      </w:pPr>
      <w:r>
        <w:rPr>
          <w:rFonts w:hint="eastAsia" w:hAnsi="宋体"/>
          <w:color w:val="auto"/>
          <w:kern w:val="0"/>
          <w:sz w:val="24"/>
        </w:rPr>
        <w:t>8）电缆燃烧时逸出的气体的pH值和导电率测试按IEC754-2规定，pH值不小于2.5，导电率不大于30μs/mm。</w:t>
      </w:r>
      <w:bookmarkEnd w:id="49"/>
      <w:bookmarkEnd w:id="50"/>
    </w:p>
    <w:p>
      <w:pPr>
        <w:pStyle w:val="5"/>
        <w:keepNext w:val="0"/>
        <w:keepLines w:val="0"/>
        <w:pageBreakBefore w:val="0"/>
        <w:widowControl w:val="0"/>
        <w:kinsoku/>
        <w:wordWrap/>
        <w:overflowPunct/>
        <w:topLinePunct w:val="0"/>
        <w:bidi w:val="0"/>
        <w:rPr>
          <w:color w:val="auto"/>
        </w:rPr>
      </w:pPr>
      <w:bookmarkStart w:id="51" w:name="_Toc18510"/>
      <w:r>
        <w:rPr>
          <w:rFonts w:hint="eastAsia"/>
          <w:color w:val="auto"/>
        </w:rPr>
        <w:t>屏蔽</w:t>
      </w:r>
      <w:bookmarkEnd w:id="51"/>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kern w:val="0"/>
          <w:sz w:val="24"/>
        </w:rPr>
      </w:pPr>
      <w:r>
        <w:rPr>
          <w:rFonts w:hint="eastAsia" w:hAnsi="宋体"/>
          <w:color w:val="auto"/>
          <w:kern w:val="0"/>
          <w:sz w:val="24"/>
        </w:rPr>
        <w:t>1）屏蔽型电缆在缆芯外应由一根或多根0.05～0.10mm的软铜带绕包或金属丝编织结构组成金属屏蔽。采用0.05～0.10mm铝/塑复合薄膜带绕包时应在铝/塑复合薄膜带下纵向放置一根标称截面不小于0.20mm2的圆铜线或镀锌圆铜线构成的引流线作为电缆的屏蔽线。</w:t>
      </w:r>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kern w:val="0"/>
          <w:sz w:val="24"/>
        </w:rPr>
      </w:pPr>
      <w:r>
        <w:rPr>
          <w:rFonts w:hint="eastAsia" w:hAnsi="宋体"/>
          <w:color w:val="auto"/>
          <w:kern w:val="0"/>
          <w:sz w:val="24"/>
        </w:rPr>
        <w:t>2）铜/聚酯复合膜构成的屏蔽层重叠绕包的重叠率应不小于15%。</w:t>
      </w:r>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kern w:val="0"/>
          <w:sz w:val="24"/>
        </w:rPr>
      </w:pPr>
      <w:r>
        <w:rPr>
          <w:rFonts w:hint="eastAsia" w:hAnsi="宋体"/>
          <w:color w:val="auto"/>
          <w:kern w:val="0"/>
          <w:sz w:val="24"/>
        </w:rPr>
        <w:t>3）屏蔽和缆芯之间应重叠绕包二层合适的非吸湿性带子。屏蔽后，允许绕包一层合适的非吸湿性带子。</w:t>
      </w:r>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kern w:val="0"/>
          <w:sz w:val="24"/>
        </w:rPr>
      </w:pPr>
      <w:r>
        <w:rPr>
          <w:rFonts w:hint="eastAsia" w:hAnsi="宋体"/>
          <w:color w:val="auto"/>
          <w:kern w:val="0"/>
          <w:sz w:val="24"/>
        </w:rPr>
        <w:t>3）</w:t>
      </w:r>
      <w:r>
        <w:rPr>
          <w:rFonts w:hAnsi="宋体"/>
          <w:color w:val="auto"/>
          <w:kern w:val="0"/>
          <w:sz w:val="24"/>
        </w:rPr>
        <w:t>双屏蔽</w:t>
      </w:r>
      <w:r>
        <w:rPr>
          <w:rFonts w:hint="eastAsia" w:hAnsi="宋体"/>
          <w:color w:val="auto"/>
          <w:kern w:val="0"/>
          <w:sz w:val="24"/>
        </w:rPr>
        <w:t>型</w:t>
      </w:r>
      <w:r>
        <w:rPr>
          <w:rFonts w:hAnsi="宋体"/>
          <w:color w:val="auto"/>
          <w:kern w:val="0"/>
          <w:sz w:val="24"/>
        </w:rPr>
        <w:t>电缆</w:t>
      </w:r>
      <w:r>
        <w:rPr>
          <w:rFonts w:hint="eastAsia" w:hAnsi="宋体"/>
          <w:color w:val="auto"/>
          <w:kern w:val="0"/>
          <w:sz w:val="24"/>
        </w:rPr>
        <w:t>应有</w:t>
      </w:r>
      <w:r>
        <w:rPr>
          <w:rFonts w:hAnsi="宋体"/>
          <w:color w:val="auto"/>
          <w:kern w:val="0"/>
          <w:sz w:val="24"/>
        </w:rPr>
        <w:t>两层屏蔽层</w:t>
      </w:r>
      <w:r>
        <w:rPr>
          <w:rFonts w:hint="eastAsia" w:hAnsi="宋体"/>
          <w:color w:val="auto"/>
          <w:kern w:val="0"/>
          <w:sz w:val="24"/>
        </w:rPr>
        <w:t>，且</w:t>
      </w:r>
      <w:r>
        <w:rPr>
          <w:rFonts w:hAnsi="宋体"/>
          <w:color w:val="auto"/>
          <w:kern w:val="0"/>
          <w:sz w:val="24"/>
        </w:rPr>
        <w:t>两层屏蔽层之间必须有绝缘隔离</w:t>
      </w:r>
      <w:r>
        <w:rPr>
          <w:rFonts w:hint="eastAsia" w:hAnsi="宋体"/>
          <w:color w:val="auto"/>
          <w:kern w:val="0"/>
          <w:sz w:val="24"/>
        </w:rPr>
        <w:t>。一层为上述铜带屏蔽，另一层为铜编织网或铜丝屏蔽，采用铜丝屏蔽时，该屏蔽层不少于4条铜丝，每条铜丝直径不小于0</w:t>
      </w:r>
      <w:r>
        <w:rPr>
          <w:rFonts w:hAnsi="宋体"/>
          <w:color w:val="auto"/>
          <w:kern w:val="0"/>
          <w:sz w:val="24"/>
        </w:rPr>
        <w:t>.</w:t>
      </w:r>
      <w:r>
        <w:rPr>
          <w:rFonts w:hint="eastAsia" w:hAnsi="宋体"/>
          <w:color w:val="auto"/>
          <w:kern w:val="0"/>
          <w:sz w:val="24"/>
        </w:rPr>
        <w:t>5</w:t>
      </w:r>
      <w:r>
        <w:rPr>
          <w:rFonts w:hAnsi="宋体"/>
          <w:color w:val="auto"/>
          <w:kern w:val="0"/>
          <w:sz w:val="24"/>
        </w:rPr>
        <w:t>mm</w:t>
      </w:r>
      <w:r>
        <w:rPr>
          <w:rFonts w:hint="eastAsia" w:hAnsi="宋体"/>
          <w:color w:val="auto"/>
          <w:kern w:val="0"/>
          <w:sz w:val="24"/>
        </w:rPr>
        <w:t>。</w:t>
      </w:r>
    </w:p>
    <w:p>
      <w:pPr>
        <w:pStyle w:val="5"/>
        <w:keepNext w:val="0"/>
        <w:keepLines w:val="0"/>
        <w:pageBreakBefore w:val="0"/>
        <w:widowControl w:val="0"/>
        <w:kinsoku/>
        <w:wordWrap/>
        <w:overflowPunct/>
        <w:topLinePunct w:val="0"/>
        <w:bidi w:val="0"/>
        <w:rPr>
          <w:color w:val="auto"/>
        </w:rPr>
      </w:pPr>
      <w:bookmarkStart w:id="52" w:name="_Toc8884"/>
      <w:r>
        <w:rPr>
          <w:rFonts w:hint="eastAsia"/>
          <w:color w:val="auto"/>
        </w:rPr>
        <w:t>铠装</w:t>
      </w:r>
      <w:bookmarkEnd w:id="52"/>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kern w:val="0"/>
          <w:sz w:val="24"/>
        </w:rPr>
      </w:pPr>
      <w:r>
        <w:rPr>
          <w:rFonts w:hint="eastAsia" w:hAnsi="宋体"/>
          <w:color w:val="auto"/>
          <w:kern w:val="0"/>
          <w:sz w:val="24"/>
        </w:rPr>
        <w:t>1）钢带与钢丝铠装结构尺寸应符合GB2952规定。</w:t>
      </w:r>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kern w:val="0"/>
          <w:sz w:val="24"/>
        </w:rPr>
      </w:pPr>
      <w:r>
        <w:rPr>
          <w:rFonts w:hint="eastAsia" w:hAnsi="宋体"/>
          <w:color w:val="auto"/>
          <w:kern w:val="0"/>
          <w:sz w:val="24"/>
        </w:rPr>
        <w:t>2）应采用钢带铠装时，内衬层应采用包带层加强，绕包型内衬层与包带层的总厚度应符合GB2952规定。钢带铠装应采用双层镀锌钢带，钢带应采用具有商品质量认可的热轧或冷轧钢带，绕包应圆整光滑。</w:t>
      </w:r>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kern w:val="0"/>
          <w:sz w:val="24"/>
        </w:rPr>
      </w:pPr>
      <w:r>
        <w:rPr>
          <w:rFonts w:hint="eastAsia" w:hAnsi="宋体"/>
          <w:color w:val="auto"/>
          <w:kern w:val="0"/>
          <w:sz w:val="24"/>
        </w:rPr>
        <w:t>3）当金属屏蔽外有铠装时，在金属屏蔽上应挤包不透水的内衬层,也称隔离套，隔离套材料应符合有关规定，其厚度应符合GB2952规定。</w:t>
      </w:r>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kern w:val="0"/>
          <w:sz w:val="24"/>
        </w:rPr>
      </w:pPr>
      <w:r>
        <w:rPr>
          <w:rFonts w:hint="eastAsia" w:hAnsi="宋体"/>
          <w:color w:val="auto"/>
          <w:kern w:val="0"/>
          <w:sz w:val="24"/>
        </w:rPr>
        <w:t>4）如采用隔离套或挤包内衬层，不必加包带垫层，挤包内衬层厚度应符合有关规定。</w:t>
      </w:r>
    </w:p>
    <w:p>
      <w:pPr>
        <w:pStyle w:val="5"/>
        <w:keepNext w:val="0"/>
        <w:keepLines w:val="0"/>
        <w:pageBreakBefore w:val="0"/>
        <w:widowControl w:val="0"/>
        <w:kinsoku/>
        <w:wordWrap/>
        <w:overflowPunct/>
        <w:topLinePunct w:val="0"/>
        <w:bidi w:val="0"/>
        <w:rPr>
          <w:color w:val="auto"/>
        </w:rPr>
      </w:pPr>
      <w:bookmarkStart w:id="53" w:name="_Toc18598"/>
      <w:r>
        <w:rPr>
          <w:rFonts w:hint="eastAsia"/>
          <w:color w:val="auto"/>
        </w:rPr>
        <w:t>使用特性</w:t>
      </w:r>
      <w:bookmarkEnd w:id="53"/>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kern w:val="0"/>
          <w:sz w:val="24"/>
        </w:rPr>
      </w:pPr>
      <w:r>
        <w:rPr>
          <w:rFonts w:hint="eastAsia" w:hAnsi="宋体"/>
          <w:color w:val="auto"/>
          <w:kern w:val="0"/>
          <w:sz w:val="24"/>
        </w:rPr>
        <w:t>1）电缆导体的一般最高额定温度为70℃，对有耐高温要求的电缆最高额定温度不低于250℃。</w:t>
      </w:r>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kern w:val="0"/>
          <w:sz w:val="24"/>
        </w:rPr>
      </w:pPr>
      <w:r>
        <w:rPr>
          <w:rFonts w:hint="eastAsia" w:hAnsi="宋体"/>
          <w:color w:val="auto"/>
          <w:kern w:val="0"/>
          <w:sz w:val="24"/>
        </w:rPr>
        <w:t>2）短路时(最长持续时间不超过5S)电缆导体的最高温度不超过160℃。</w:t>
      </w:r>
    </w:p>
    <w:p>
      <w:pPr>
        <w:pStyle w:val="5"/>
        <w:keepNext w:val="0"/>
        <w:keepLines w:val="0"/>
        <w:pageBreakBefore w:val="0"/>
        <w:widowControl w:val="0"/>
        <w:kinsoku/>
        <w:wordWrap/>
        <w:overflowPunct/>
        <w:topLinePunct w:val="0"/>
        <w:bidi w:val="0"/>
        <w:rPr>
          <w:color w:val="auto"/>
        </w:rPr>
      </w:pPr>
      <w:bookmarkStart w:id="54" w:name="_Toc20303"/>
      <w:r>
        <w:rPr>
          <w:rFonts w:hint="eastAsia"/>
          <w:color w:val="auto"/>
        </w:rPr>
        <w:t>电缆交货盘</w:t>
      </w:r>
      <w:bookmarkEnd w:id="54"/>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sz w:val="24"/>
        </w:rPr>
      </w:pPr>
      <w:r>
        <w:rPr>
          <w:rFonts w:hint="eastAsia" w:hAnsi="宋体"/>
          <w:color w:val="auto"/>
          <w:kern w:val="0"/>
          <w:sz w:val="24"/>
        </w:rPr>
        <w:t>卖方应用铁木结构电缆盘。电缆盘应能承受所有在运输，现场搬运或在任何气象条件下户外至少储存3年期间可能遭受的外力作用。并且电缆盘应承受在安装或处理电缆时所可能遭受的外作用力不会损伤电缆及盘本身。电缆盘筒体最小直径应符合电缆最小弯曲半径要求。</w:t>
      </w:r>
    </w:p>
    <w:p>
      <w:pPr>
        <w:pStyle w:val="4"/>
        <w:keepNext w:val="0"/>
        <w:keepLines w:val="0"/>
        <w:pageBreakBefore w:val="0"/>
        <w:widowControl w:val="0"/>
        <w:kinsoku/>
        <w:wordWrap/>
        <w:overflowPunct/>
        <w:topLinePunct w:val="0"/>
        <w:autoSpaceDE/>
        <w:autoSpaceDN/>
        <w:bidi w:val="0"/>
        <w:adjustRightInd w:val="0"/>
        <w:snapToGrid w:val="0"/>
        <w:rPr>
          <w:color w:val="auto"/>
        </w:rPr>
      </w:pPr>
      <w:bookmarkStart w:id="55" w:name="_Toc18949"/>
      <w:r>
        <w:rPr>
          <w:color w:val="auto"/>
        </w:rPr>
        <w:t>功能要求</w:t>
      </w:r>
      <w:bookmarkEnd w:id="43"/>
      <w:bookmarkEnd w:id="55"/>
    </w:p>
    <w:p>
      <w:pPr>
        <w:pStyle w:val="5"/>
        <w:keepNext w:val="0"/>
        <w:keepLines w:val="0"/>
        <w:pageBreakBefore w:val="0"/>
        <w:widowControl w:val="0"/>
        <w:kinsoku/>
        <w:wordWrap/>
        <w:overflowPunct/>
        <w:topLinePunct w:val="0"/>
        <w:bidi w:val="0"/>
        <w:rPr>
          <w:color w:val="auto"/>
        </w:rPr>
      </w:pPr>
      <w:bookmarkStart w:id="56" w:name="_Toc1349"/>
      <w:bookmarkStart w:id="57" w:name="_Toc17101"/>
      <w:r>
        <w:rPr>
          <w:rFonts w:hint="eastAsia"/>
          <w:color w:val="auto"/>
        </w:rPr>
        <w:t>控制电缆</w:t>
      </w:r>
      <w:bookmarkEnd w:id="56"/>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kern w:val="0"/>
          <w:sz w:val="24"/>
        </w:rPr>
      </w:pPr>
      <w:r>
        <w:rPr>
          <w:rFonts w:hint="eastAsia" w:hAnsi="宋体"/>
          <w:color w:val="auto"/>
          <w:kern w:val="0"/>
          <w:sz w:val="24"/>
        </w:rPr>
        <w:t>1）控制电缆由多根单芯导线组成，导体应采用优质无氧铜，为圆形实心，其性能和外观应符合GB3956的规定。</w:t>
      </w:r>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kern w:val="0"/>
          <w:sz w:val="24"/>
        </w:rPr>
      </w:pPr>
      <w:r>
        <w:rPr>
          <w:rFonts w:hint="eastAsia" w:hAnsi="宋体"/>
          <w:color w:val="auto"/>
          <w:kern w:val="0"/>
          <w:sz w:val="24"/>
        </w:rPr>
        <w:t>2）控制电缆应满足绝缘导线电气协会ICEB和其它相应的国际标准的所有要求。</w:t>
      </w:r>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int="eastAsia" w:hAnsi="宋体"/>
          <w:color w:val="auto"/>
          <w:kern w:val="0"/>
          <w:sz w:val="24"/>
        </w:rPr>
      </w:pPr>
      <w:r>
        <w:rPr>
          <w:rFonts w:hint="eastAsia" w:hAnsi="宋体"/>
          <w:color w:val="auto"/>
          <w:kern w:val="0"/>
          <w:sz w:val="24"/>
        </w:rPr>
        <w:t>3）聚氯乙烯绝缘层标称厚度为，最薄点厚度见下表；绝缘电阻在20℃下不低于105M</w:t>
      </w:r>
      <w:r>
        <w:rPr>
          <w:rFonts w:hint="eastAsia" w:hAnsi="宋体"/>
          <w:color w:val="auto"/>
          <w:kern w:val="0"/>
          <w:sz w:val="24"/>
        </w:rPr>
        <w:sym w:font="Symbol" w:char="F057"/>
      </w:r>
      <w:r>
        <w:rPr>
          <w:rFonts w:hint="eastAsia" w:hAnsi="宋体"/>
          <w:color w:val="auto"/>
          <w:kern w:val="0"/>
          <w:sz w:val="24"/>
        </w:rPr>
        <w:t>.m。</w:t>
      </w:r>
    </w:p>
    <w:tbl>
      <w:tblPr>
        <w:tblStyle w:val="20"/>
        <w:tblW w:w="6798" w:type="dxa"/>
        <w:tblInd w:w="9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9"/>
        <w:gridCol w:w="2130"/>
        <w:gridCol w:w="25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9" w:type="dxa"/>
            <w:noWrap w:val="0"/>
            <w:vAlign w:val="top"/>
          </w:tcPr>
          <w:p>
            <w:pPr>
              <w:keepNext w:val="0"/>
              <w:keepLines w:val="0"/>
              <w:pageBreakBefore w:val="0"/>
              <w:widowControl w:val="0"/>
              <w:kinsoku/>
              <w:wordWrap/>
              <w:overflowPunct/>
              <w:topLinePunct w:val="0"/>
              <w:bidi w:val="0"/>
              <w:adjustRightInd w:val="0"/>
              <w:snapToGrid w:val="0"/>
              <w:spacing w:line="480" w:lineRule="atLeast"/>
              <w:rPr>
                <w:rFonts w:hint="eastAsia" w:hAnsi="宋体"/>
                <w:color w:val="auto"/>
                <w:kern w:val="0"/>
                <w:sz w:val="24"/>
              </w:rPr>
            </w:pPr>
            <w:r>
              <w:rPr>
                <w:rFonts w:hint="eastAsia" w:hAnsi="宋体"/>
                <w:color w:val="auto"/>
                <w:kern w:val="0"/>
                <w:sz w:val="24"/>
              </w:rPr>
              <w:t>标称截面/mm2</w:t>
            </w:r>
          </w:p>
        </w:tc>
        <w:tc>
          <w:tcPr>
            <w:tcW w:w="2130" w:type="dxa"/>
            <w:noWrap w:val="0"/>
            <w:vAlign w:val="top"/>
          </w:tcPr>
          <w:p>
            <w:pPr>
              <w:keepNext w:val="0"/>
              <w:keepLines w:val="0"/>
              <w:pageBreakBefore w:val="0"/>
              <w:widowControl w:val="0"/>
              <w:kinsoku/>
              <w:wordWrap/>
              <w:overflowPunct/>
              <w:topLinePunct w:val="0"/>
              <w:bidi w:val="0"/>
              <w:adjustRightInd w:val="0"/>
              <w:snapToGrid w:val="0"/>
              <w:spacing w:line="480" w:lineRule="atLeast"/>
              <w:rPr>
                <w:rFonts w:hint="eastAsia" w:hAnsi="宋体"/>
                <w:color w:val="auto"/>
                <w:kern w:val="0"/>
                <w:sz w:val="24"/>
              </w:rPr>
            </w:pPr>
            <w:r>
              <w:rPr>
                <w:rFonts w:hint="eastAsia" w:hAnsi="宋体"/>
                <w:color w:val="auto"/>
                <w:kern w:val="0"/>
                <w:sz w:val="24"/>
              </w:rPr>
              <w:t>PVC绝缘标称厚度mm</w:t>
            </w:r>
          </w:p>
        </w:tc>
        <w:tc>
          <w:tcPr>
            <w:tcW w:w="2539" w:type="dxa"/>
            <w:noWrap w:val="0"/>
            <w:vAlign w:val="top"/>
          </w:tcPr>
          <w:p>
            <w:pPr>
              <w:keepNext w:val="0"/>
              <w:keepLines w:val="0"/>
              <w:pageBreakBefore w:val="0"/>
              <w:widowControl w:val="0"/>
              <w:kinsoku/>
              <w:wordWrap/>
              <w:overflowPunct/>
              <w:topLinePunct w:val="0"/>
              <w:bidi w:val="0"/>
              <w:adjustRightInd w:val="0"/>
              <w:snapToGrid w:val="0"/>
              <w:spacing w:line="480" w:lineRule="atLeast"/>
              <w:rPr>
                <w:rFonts w:hint="eastAsia" w:hAnsi="宋体"/>
                <w:color w:val="auto"/>
                <w:kern w:val="0"/>
                <w:sz w:val="24"/>
              </w:rPr>
            </w:pPr>
            <w:r>
              <w:rPr>
                <w:rFonts w:hint="eastAsia" w:hAnsi="宋体"/>
                <w:color w:val="auto"/>
                <w:kern w:val="0"/>
                <w:sz w:val="24"/>
              </w:rPr>
              <w:t>PVC绝缘最薄点厚度mm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9" w:type="dxa"/>
            <w:noWrap w:val="0"/>
            <w:vAlign w:val="top"/>
          </w:tcPr>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kern w:val="0"/>
                <w:sz w:val="24"/>
              </w:rPr>
            </w:pPr>
            <w:r>
              <w:rPr>
                <w:rFonts w:hAnsi="宋体"/>
                <w:color w:val="auto"/>
                <w:kern w:val="0"/>
                <w:sz w:val="24"/>
              </w:rPr>
              <w:t>1.5</w:t>
            </w:r>
          </w:p>
        </w:tc>
        <w:tc>
          <w:tcPr>
            <w:tcW w:w="2130" w:type="dxa"/>
            <w:noWrap w:val="0"/>
            <w:vAlign w:val="top"/>
          </w:tcPr>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kern w:val="0"/>
                <w:sz w:val="24"/>
              </w:rPr>
            </w:pPr>
            <w:r>
              <w:rPr>
                <w:rFonts w:hAnsi="宋体"/>
                <w:color w:val="auto"/>
                <w:kern w:val="0"/>
                <w:sz w:val="24"/>
              </w:rPr>
              <w:t>0.7</w:t>
            </w:r>
          </w:p>
        </w:tc>
        <w:tc>
          <w:tcPr>
            <w:tcW w:w="2539" w:type="dxa"/>
            <w:noWrap w:val="0"/>
            <w:vAlign w:val="top"/>
          </w:tcPr>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kern w:val="0"/>
                <w:sz w:val="24"/>
              </w:rPr>
            </w:pPr>
            <w:r>
              <w:rPr>
                <w:rFonts w:hAnsi="宋体"/>
                <w:color w:val="auto"/>
                <w:kern w:val="0"/>
                <w:sz w:val="24"/>
              </w:rPr>
              <w:t>0.53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9" w:type="dxa"/>
            <w:noWrap w:val="0"/>
            <w:vAlign w:val="top"/>
          </w:tcPr>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kern w:val="0"/>
                <w:sz w:val="24"/>
              </w:rPr>
            </w:pPr>
            <w:r>
              <w:rPr>
                <w:rFonts w:hAnsi="宋体"/>
                <w:color w:val="auto"/>
                <w:kern w:val="0"/>
                <w:sz w:val="24"/>
              </w:rPr>
              <w:t>2.5</w:t>
            </w:r>
          </w:p>
        </w:tc>
        <w:tc>
          <w:tcPr>
            <w:tcW w:w="2130" w:type="dxa"/>
            <w:noWrap w:val="0"/>
            <w:vAlign w:val="top"/>
          </w:tcPr>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kern w:val="0"/>
                <w:sz w:val="24"/>
              </w:rPr>
            </w:pPr>
            <w:r>
              <w:rPr>
                <w:rFonts w:hAnsi="宋体"/>
                <w:color w:val="auto"/>
                <w:kern w:val="0"/>
                <w:sz w:val="24"/>
              </w:rPr>
              <w:t>0.8</w:t>
            </w:r>
          </w:p>
        </w:tc>
        <w:tc>
          <w:tcPr>
            <w:tcW w:w="2539" w:type="dxa"/>
            <w:noWrap w:val="0"/>
            <w:vAlign w:val="top"/>
          </w:tcPr>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kern w:val="0"/>
                <w:sz w:val="24"/>
              </w:rPr>
            </w:pPr>
            <w:r>
              <w:rPr>
                <w:rFonts w:hAnsi="宋体"/>
                <w:color w:val="auto"/>
                <w:kern w:val="0"/>
                <w:sz w:val="24"/>
              </w:rPr>
              <w:t>0.62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9" w:type="dxa"/>
            <w:noWrap w:val="0"/>
            <w:vAlign w:val="top"/>
          </w:tcPr>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kern w:val="0"/>
                <w:sz w:val="24"/>
              </w:rPr>
            </w:pPr>
            <w:r>
              <w:rPr>
                <w:rFonts w:hAnsi="宋体"/>
                <w:color w:val="auto"/>
                <w:kern w:val="0"/>
                <w:sz w:val="24"/>
              </w:rPr>
              <w:t>4</w:t>
            </w:r>
          </w:p>
        </w:tc>
        <w:tc>
          <w:tcPr>
            <w:tcW w:w="2130" w:type="dxa"/>
            <w:noWrap w:val="0"/>
            <w:vAlign w:val="top"/>
          </w:tcPr>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kern w:val="0"/>
                <w:sz w:val="24"/>
              </w:rPr>
            </w:pPr>
            <w:r>
              <w:rPr>
                <w:rFonts w:hAnsi="宋体"/>
                <w:color w:val="auto"/>
                <w:kern w:val="0"/>
                <w:sz w:val="24"/>
              </w:rPr>
              <w:t>0.8</w:t>
            </w:r>
          </w:p>
        </w:tc>
        <w:tc>
          <w:tcPr>
            <w:tcW w:w="2539" w:type="dxa"/>
            <w:noWrap w:val="0"/>
            <w:vAlign w:val="top"/>
          </w:tcPr>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kern w:val="0"/>
                <w:sz w:val="24"/>
              </w:rPr>
            </w:pPr>
            <w:r>
              <w:rPr>
                <w:rFonts w:hAnsi="宋体"/>
                <w:color w:val="auto"/>
                <w:kern w:val="0"/>
                <w:sz w:val="24"/>
              </w:rPr>
              <w:t>0.62</w:t>
            </w:r>
          </w:p>
        </w:tc>
      </w:tr>
    </w:tbl>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kern w:val="0"/>
          <w:sz w:val="24"/>
        </w:rPr>
      </w:pPr>
      <w:r>
        <w:rPr>
          <w:rFonts w:hint="eastAsia" w:hAnsi="宋体"/>
          <w:color w:val="auto"/>
          <w:kern w:val="0"/>
          <w:sz w:val="24"/>
        </w:rPr>
        <w:t>4）控制电缆每根层线都应按ICEB的要求进行数字编号和彩色编码，编码应永久地打印在导线绝缘层上，并在大约每一米间隔上打印一个。</w:t>
      </w:r>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kern w:val="0"/>
          <w:sz w:val="24"/>
        </w:rPr>
      </w:pPr>
      <w:r>
        <w:rPr>
          <w:rFonts w:hint="eastAsia" w:hAnsi="宋体"/>
          <w:color w:val="auto"/>
          <w:kern w:val="0"/>
          <w:sz w:val="24"/>
        </w:rPr>
        <w:t>5）对带屏蔽的控制电缆，每根电缆全长应带有屏蔽层。屏蔽抑制系数不能大于0</w:t>
      </w:r>
      <w:r>
        <w:rPr>
          <w:rFonts w:hAnsi="宋体"/>
          <w:color w:val="auto"/>
          <w:kern w:val="0"/>
          <w:sz w:val="24"/>
        </w:rPr>
        <w:t>.01</w:t>
      </w:r>
      <w:r>
        <w:rPr>
          <w:rFonts w:hint="eastAsia" w:hAnsi="宋体"/>
          <w:color w:val="auto"/>
          <w:kern w:val="0"/>
          <w:sz w:val="24"/>
        </w:rPr>
        <w:t xml:space="preserve">。 </w:t>
      </w:r>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kern w:val="0"/>
          <w:sz w:val="24"/>
        </w:rPr>
      </w:pPr>
      <w:r>
        <w:rPr>
          <w:rFonts w:hint="eastAsia" w:hAnsi="宋体"/>
          <w:color w:val="auto"/>
          <w:kern w:val="0"/>
          <w:sz w:val="24"/>
        </w:rPr>
        <w:t>6）无铠装电缆弯曲半径不小于电缆外径的6倍。铠装电缆弯曲半径不小于电缆外径的12倍。</w:t>
      </w:r>
    </w:p>
    <w:p>
      <w:pPr>
        <w:keepNext w:val="0"/>
        <w:keepLines w:val="0"/>
        <w:pageBreakBefore w:val="0"/>
        <w:widowControl w:val="0"/>
        <w:kinsoku/>
        <w:wordWrap/>
        <w:overflowPunct/>
        <w:topLinePunct w:val="0"/>
        <w:bidi w:val="0"/>
        <w:adjustRightInd w:val="0"/>
        <w:snapToGrid w:val="0"/>
        <w:spacing w:line="480" w:lineRule="atLeast"/>
        <w:ind w:firstLine="480" w:firstLineChars="200"/>
        <w:rPr>
          <w:rFonts w:hAnsi="宋体"/>
          <w:color w:val="auto"/>
          <w:kern w:val="0"/>
          <w:sz w:val="24"/>
        </w:rPr>
      </w:pPr>
      <w:r>
        <w:rPr>
          <w:rFonts w:hint="eastAsia" w:hAnsi="宋体"/>
          <w:color w:val="auto"/>
          <w:kern w:val="0"/>
          <w:sz w:val="24"/>
        </w:rPr>
        <w:t>7)电缆芯线颜色采用A相黄色，B相绿色，C相红色，N相黑色。</w:t>
      </w:r>
    </w:p>
    <w:p>
      <w:pPr>
        <w:pStyle w:val="4"/>
        <w:keepNext w:val="0"/>
        <w:keepLines w:val="0"/>
        <w:pageBreakBefore w:val="0"/>
        <w:widowControl w:val="0"/>
        <w:tabs>
          <w:tab w:val="left" w:pos="0"/>
          <w:tab w:val="clear" w:pos="420"/>
        </w:tabs>
        <w:kinsoku/>
        <w:wordWrap/>
        <w:overflowPunct/>
        <w:topLinePunct w:val="0"/>
        <w:autoSpaceDE/>
        <w:autoSpaceDN/>
        <w:bidi w:val="0"/>
        <w:spacing w:line="360" w:lineRule="auto"/>
        <w:ind w:left="432" w:leftChars="0" w:hanging="432" w:firstLineChars="0"/>
        <w:rPr>
          <w:color w:val="auto"/>
        </w:rPr>
      </w:pPr>
      <w:bookmarkStart w:id="58" w:name="_Toc2829"/>
      <w:r>
        <w:rPr>
          <w:color w:val="auto"/>
        </w:rPr>
        <w:t>试验</w:t>
      </w:r>
      <w:bookmarkEnd w:id="57"/>
      <w:bookmarkEnd w:id="58"/>
    </w:p>
    <w:p>
      <w:pPr>
        <w:keepNext w:val="0"/>
        <w:keepLines w:val="0"/>
        <w:pageBreakBefore w:val="0"/>
        <w:widowControl w:val="0"/>
        <w:tabs>
          <w:tab w:val="left" w:pos="525"/>
          <w:tab w:val="left" w:pos="1080"/>
        </w:tabs>
        <w:kinsoku/>
        <w:wordWrap/>
        <w:overflowPunct/>
        <w:topLinePunct w:val="0"/>
        <w:bidi w:val="0"/>
        <w:adjustRightInd w:val="0"/>
        <w:snapToGrid w:val="0"/>
        <w:spacing w:line="480" w:lineRule="atLeast"/>
        <w:ind w:firstLine="480" w:firstLineChars="200"/>
        <w:outlineLvl w:val="2"/>
        <w:rPr>
          <w:rFonts w:hint="eastAsia" w:hAnsi="宋体"/>
          <w:color w:val="auto"/>
          <w:sz w:val="24"/>
        </w:rPr>
      </w:pPr>
      <w:bookmarkStart w:id="59" w:name="_Toc447790068"/>
      <w:bookmarkStart w:id="60" w:name="_Toc240"/>
      <w:bookmarkStart w:id="61" w:name="_Toc491259763"/>
      <w:bookmarkStart w:id="62" w:name="_Toc22537"/>
      <w:r>
        <w:rPr>
          <w:rFonts w:hint="eastAsia" w:hAnsi="宋体"/>
          <w:color w:val="auto"/>
          <w:sz w:val="24"/>
        </w:rPr>
        <w:t>投标人在投标时应提供投标型号产品的型式试验报告。每盘二次电缆均应进行出厂试验, 经质量检验部门确认合格后方能出厂, 并应具有证明产品合格的出厂证明书。投标方应提供同类设备加盖质量检验部门检验专用章的出厂检验报告。</w:t>
      </w:r>
    </w:p>
    <w:p>
      <w:pPr>
        <w:keepNext w:val="0"/>
        <w:keepLines w:val="0"/>
        <w:pageBreakBefore w:val="0"/>
        <w:widowControl w:val="0"/>
        <w:tabs>
          <w:tab w:val="left" w:pos="525"/>
          <w:tab w:val="left" w:pos="1080"/>
        </w:tabs>
        <w:kinsoku/>
        <w:wordWrap/>
        <w:overflowPunct/>
        <w:topLinePunct w:val="0"/>
        <w:bidi w:val="0"/>
        <w:adjustRightInd w:val="0"/>
        <w:snapToGrid w:val="0"/>
        <w:spacing w:line="480" w:lineRule="atLeast"/>
        <w:ind w:firstLine="480" w:firstLineChars="200"/>
        <w:outlineLvl w:val="2"/>
        <w:rPr>
          <w:rFonts w:hint="eastAsia" w:hAnsi="宋体"/>
          <w:color w:val="auto"/>
          <w:sz w:val="24"/>
        </w:rPr>
      </w:pPr>
      <w:bookmarkStart w:id="63" w:name="_Toc240454206"/>
      <w:bookmarkStart w:id="64" w:name="_Toc288667266"/>
      <w:r>
        <w:rPr>
          <w:rFonts w:hint="eastAsia" w:hAnsi="宋体"/>
          <w:color w:val="auto"/>
          <w:sz w:val="24"/>
        </w:rPr>
        <w:t>电缆试验项目按照</w:t>
      </w:r>
      <w:r>
        <w:rPr>
          <w:rFonts w:hAnsi="宋体"/>
          <w:color w:val="auto"/>
          <w:sz w:val="24"/>
        </w:rPr>
        <w:t>GB/T 9330</w:t>
      </w:r>
      <w:r>
        <w:rPr>
          <w:rFonts w:hint="eastAsia" w:hAnsi="宋体"/>
          <w:color w:val="auto"/>
          <w:sz w:val="24"/>
        </w:rPr>
        <w:t>.2</w:t>
      </w:r>
      <w:r>
        <w:rPr>
          <w:rFonts w:hAnsi="宋体"/>
          <w:color w:val="auto"/>
          <w:sz w:val="24"/>
        </w:rPr>
        <w:t>-2008</w:t>
      </w:r>
      <w:r>
        <w:rPr>
          <w:rFonts w:hint="eastAsia" w:hAnsi="宋体"/>
          <w:color w:val="auto"/>
          <w:sz w:val="24"/>
        </w:rPr>
        <w:t>要去完成。</w:t>
      </w:r>
    </w:p>
    <w:p>
      <w:pPr>
        <w:keepNext w:val="0"/>
        <w:keepLines w:val="0"/>
        <w:pageBreakBefore w:val="0"/>
        <w:widowControl w:val="0"/>
        <w:tabs>
          <w:tab w:val="left" w:pos="525"/>
          <w:tab w:val="left" w:pos="1080"/>
        </w:tabs>
        <w:kinsoku/>
        <w:wordWrap/>
        <w:overflowPunct/>
        <w:topLinePunct w:val="0"/>
        <w:bidi w:val="0"/>
        <w:adjustRightInd w:val="0"/>
        <w:snapToGrid w:val="0"/>
        <w:spacing w:line="480" w:lineRule="atLeast"/>
        <w:ind w:firstLine="480" w:firstLineChars="200"/>
        <w:outlineLvl w:val="2"/>
        <w:rPr>
          <w:rFonts w:hint="eastAsia" w:hAnsi="宋体"/>
          <w:color w:val="auto"/>
          <w:sz w:val="24"/>
        </w:rPr>
      </w:pPr>
      <w:r>
        <w:rPr>
          <w:rFonts w:hint="eastAsia" w:hAnsi="宋体"/>
          <w:color w:val="auto"/>
          <w:sz w:val="24"/>
        </w:rPr>
        <w:t>1、满足绝缘机械性试验要求</w:t>
      </w:r>
    </w:p>
    <w:p>
      <w:pPr>
        <w:keepNext w:val="0"/>
        <w:keepLines w:val="0"/>
        <w:pageBreakBefore w:val="0"/>
        <w:widowControl w:val="0"/>
        <w:tabs>
          <w:tab w:val="left" w:pos="525"/>
          <w:tab w:val="left" w:pos="1080"/>
        </w:tabs>
        <w:kinsoku/>
        <w:wordWrap/>
        <w:overflowPunct/>
        <w:topLinePunct w:val="0"/>
        <w:bidi w:val="0"/>
        <w:adjustRightInd w:val="0"/>
        <w:snapToGrid w:val="0"/>
        <w:spacing w:line="480" w:lineRule="atLeast"/>
        <w:ind w:firstLine="480" w:firstLineChars="200"/>
        <w:outlineLvl w:val="2"/>
        <w:rPr>
          <w:rFonts w:hint="eastAsia" w:hAnsi="宋体"/>
          <w:color w:val="auto"/>
          <w:sz w:val="24"/>
        </w:rPr>
      </w:pPr>
      <w:r>
        <w:rPr>
          <w:rFonts w:hint="eastAsia" w:hAnsi="宋体"/>
          <w:color w:val="auto"/>
          <w:sz w:val="24"/>
        </w:rPr>
        <w:t>2、满足护套机械性试验要求</w:t>
      </w:r>
    </w:p>
    <w:p>
      <w:pPr>
        <w:pStyle w:val="5"/>
        <w:keepNext w:val="0"/>
        <w:keepLines w:val="0"/>
        <w:pageBreakBefore w:val="0"/>
        <w:widowControl w:val="0"/>
        <w:kinsoku/>
        <w:wordWrap/>
        <w:overflowPunct/>
        <w:topLinePunct w:val="0"/>
        <w:bidi w:val="0"/>
        <w:rPr>
          <w:color w:val="auto"/>
        </w:rPr>
      </w:pPr>
      <w:bookmarkStart w:id="65" w:name="_Toc26124"/>
      <w:r>
        <w:rPr>
          <w:color w:val="auto"/>
        </w:rPr>
        <w:t>检验</w:t>
      </w:r>
      <w:bookmarkEnd w:id="63"/>
      <w:bookmarkEnd w:id="64"/>
      <w:bookmarkEnd w:id="65"/>
    </w:p>
    <w:p>
      <w:pPr>
        <w:pStyle w:val="6"/>
        <w:keepNext w:val="0"/>
        <w:keepLines w:val="0"/>
        <w:pageBreakBefore w:val="0"/>
        <w:widowControl w:val="0"/>
        <w:kinsoku/>
        <w:wordWrap/>
        <w:overflowPunct/>
        <w:topLinePunct w:val="0"/>
        <w:bidi w:val="0"/>
        <w:rPr>
          <w:color w:val="auto"/>
        </w:rPr>
      </w:pPr>
      <w:r>
        <w:rPr>
          <w:color w:val="auto"/>
        </w:rPr>
        <w:t>除非供需双方在订货时达成协议，所有试验和检验均应在装运前在投标方里进行，而且不应干扰投标方的正常工作。投标方应向代表需方的检验人员提供所有必要的和足够的试验条件和方便，表明交付的产品符合本标准的要求。</w:t>
      </w:r>
    </w:p>
    <w:p>
      <w:pPr>
        <w:pStyle w:val="6"/>
        <w:keepNext w:val="0"/>
        <w:keepLines w:val="0"/>
        <w:pageBreakBefore w:val="0"/>
        <w:widowControl w:val="0"/>
        <w:kinsoku/>
        <w:wordWrap/>
        <w:overflowPunct/>
        <w:topLinePunct w:val="0"/>
        <w:bidi w:val="0"/>
        <w:rPr>
          <w:rFonts w:hAnsi="宋体"/>
          <w:color w:val="auto"/>
          <w:sz w:val="24"/>
        </w:rPr>
      </w:pPr>
      <w:r>
        <w:rPr>
          <w:rStyle w:val="23"/>
          <w:color w:val="auto"/>
        </w:rPr>
        <w:t>装运前，当需方要求检查时，投标方应在收到需方通知后的十天内完成所有</w:t>
      </w:r>
      <w:r>
        <w:rPr>
          <w:rFonts w:hAnsi="宋体"/>
          <w:color w:val="auto"/>
          <w:sz w:val="24"/>
        </w:rPr>
        <w:t>试验，并在投标方里接受或拒收产品，如果当时投标方里没有需方代表在为期十天的时间内进行试验，则投标方自己完成本标准规定的试验，将试验结果提交需方，若要求，应提供试验结果的正式文本。然后需方根据这些试验结果接受或拒收产品。或者，如果这些试验已在生产过程中完成，投标方应提供有关的试验结果。</w:t>
      </w:r>
    </w:p>
    <w:p>
      <w:pPr>
        <w:pStyle w:val="5"/>
        <w:keepNext w:val="0"/>
        <w:keepLines w:val="0"/>
        <w:pageBreakBefore w:val="0"/>
        <w:widowControl w:val="0"/>
        <w:kinsoku/>
        <w:wordWrap/>
        <w:overflowPunct/>
        <w:topLinePunct w:val="0"/>
        <w:bidi w:val="0"/>
        <w:rPr>
          <w:color w:val="auto"/>
        </w:rPr>
      </w:pPr>
      <w:bookmarkStart w:id="66" w:name="_Toc240454207"/>
      <w:bookmarkStart w:id="67" w:name="_Toc288667267"/>
      <w:bookmarkStart w:id="68" w:name="_Toc5942"/>
      <w:r>
        <w:rPr>
          <w:color w:val="auto"/>
        </w:rPr>
        <w:t>接收或拒收</w:t>
      </w:r>
      <w:bookmarkEnd w:id="66"/>
      <w:bookmarkEnd w:id="67"/>
      <w:bookmarkEnd w:id="68"/>
    </w:p>
    <w:p>
      <w:pPr>
        <w:keepNext w:val="0"/>
        <w:keepLines w:val="0"/>
        <w:pageBreakBefore w:val="0"/>
        <w:widowControl w:val="0"/>
        <w:tabs>
          <w:tab w:val="left" w:pos="525"/>
          <w:tab w:val="left" w:pos="1080"/>
        </w:tabs>
        <w:kinsoku/>
        <w:wordWrap/>
        <w:overflowPunct/>
        <w:topLinePunct w:val="0"/>
        <w:bidi w:val="0"/>
        <w:adjustRightInd w:val="0"/>
        <w:snapToGrid w:val="0"/>
        <w:spacing w:line="480" w:lineRule="atLeast"/>
        <w:ind w:firstLine="480" w:firstLineChars="200"/>
        <w:outlineLvl w:val="2"/>
        <w:rPr>
          <w:rFonts w:hint="eastAsia" w:hAnsi="宋体"/>
          <w:color w:val="auto"/>
          <w:sz w:val="24"/>
        </w:rPr>
      </w:pPr>
      <w:r>
        <w:rPr>
          <w:rFonts w:hAnsi="宋体"/>
          <w:color w:val="auto"/>
          <w:sz w:val="24"/>
        </w:rPr>
        <w:t>试样不符合本标准的任一要求均应认为以该试样为代表的这批产品不合格，可拒收。如果任何一批产品被如此拒收，投标方有权对该批导线每一盘导线仅进行一次试验，并对其中合格产品提交使用。</w:t>
      </w:r>
    </w:p>
    <w:p>
      <w:pPr>
        <w:pStyle w:val="4"/>
        <w:keepNext w:val="0"/>
        <w:keepLines w:val="0"/>
        <w:pageBreakBefore w:val="0"/>
        <w:widowControl w:val="0"/>
        <w:tabs>
          <w:tab w:val="left" w:pos="0"/>
          <w:tab w:val="clear" w:pos="420"/>
        </w:tabs>
        <w:kinsoku/>
        <w:wordWrap/>
        <w:overflowPunct/>
        <w:topLinePunct w:val="0"/>
        <w:bidi w:val="0"/>
        <w:ind w:left="432" w:leftChars="0" w:hanging="432" w:firstLineChars="0"/>
        <w:rPr>
          <w:color w:val="auto"/>
        </w:rPr>
      </w:pPr>
      <w:bookmarkStart w:id="69" w:name="_Toc26545"/>
      <w:r>
        <w:rPr>
          <w:color w:val="auto"/>
        </w:rPr>
        <w:t>包装、运输、贮存和质量保证</w:t>
      </w:r>
      <w:bookmarkEnd w:id="59"/>
      <w:bookmarkEnd w:id="60"/>
      <w:bookmarkEnd w:id="61"/>
      <w:bookmarkEnd w:id="62"/>
      <w:bookmarkEnd w:id="69"/>
    </w:p>
    <w:p>
      <w:pPr>
        <w:pStyle w:val="5"/>
        <w:keepNext w:val="0"/>
        <w:keepLines w:val="0"/>
        <w:pageBreakBefore w:val="0"/>
        <w:widowControl w:val="0"/>
        <w:kinsoku/>
        <w:wordWrap/>
        <w:overflowPunct/>
        <w:topLinePunct w:val="0"/>
        <w:bidi w:val="0"/>
        <w:rPr>
          <w:color w:val="auto"/>
        </w:rPr>
      </w:pPr>
      <w:bookmarkStart w:id="70" w:name="_Toc2824"/>
      <w:r>
        <w:rPr>
          <w:rFonts w:hint="eastAsia"/>
          <w:color w:val="auto"/>
        </w:rPr>
        <w:t>监造</w:t>
      </w:r>
      <w:bookmarkEnd w:id="70"/>
    </w:p>
    <w:p>
      <w:pPr>
        <w:keepNext w:val="0"/>
        <w:keepLines w:val="0"/>
        <w:pageBreakBefore w:val="0"/>
        <w:widowControl w:val="0"/>
        <w:tabs>
          <w:tab w:val="left" w:pos="1440"/>
          <w:tab w:val="left" w:pos="3960"/>
        </w:tabs>
        <w:kinsoku/>
        <w:wordWrap/>
        <w:overflowPunct/>
        <w:topLinePunct w:val="0"/>
        <w:bidi w:val="0"/>
        <w:adjustRightInd w:val="0"/>
        <w:snapToGrid w:val="0"/>
        <w:spacing w:line="480" w:lineRule="atLeast"/>
        <w:ind w:firstLine="480" w:firstLineChars="200"/>
        <w:rPr>
          <w:color w:val="auto"/>
          <w:sz w:val="24"/>
        </w:rPr>
      </w:pPr>
      <w:r>
        <w:rPr>
          <w:rFonts w:hint="eastAsia"/>
          <w:color w:val="auto"/>
          <w:sz w:val="24"/>
        </w:rPr>
        <w:t>1）</w:t>
      </w:r>
      <w:r>
        <w:rPr>
          <w:color w:val="auto"/>
          <w:sz w:val="24"/>
        </w:rPr>
        <w:t>投标方必须在签订合同后10天之内以书面形式提供</w:t>
      </w:r>
      <w:r>
        <w:rPr>
          <w:rFonts w:hint="eastAsia"/>
          <w:color w:val="auto"/>
          <w:sz w:val="24"/>
        </w:rPr>
        <w:t>所供设备的</w:t>
      </w:r>
      <w:r>
        <w:rPr>
          <w:color w:val="auto"/>
          <w:sz w:val="24"/>
        </w:rPr>
        <w:t>制造进度表。按照DL/T</w:t>
      </w:r>
      <w:r>
        <w:rPr>
          <w:rFonts w:hint="eastAsia"/>
          <w:color w:val="auto"/>
          <w:sz w:val="24"/>
        </w:rPr>
        <w:t xml:space="preserve"> </w:t>
      </w:r>
      <w:r>
        <w:rPr>
          <w:color w:val="auto"/>
          <w:sz w:val="24"/>
        </w:rPr>
        <w:t>586《电力设备监造</w:t>
      </w:r>
      <w:r>
        <w:rPr>
          <w:rFonts w:hint="eastAsia"/>
          <w:color w:val="auto"/>
          <w:sz w:val="24"/>
        </w:rPr>
        <w:t>技术</w:t>
      </w:r>
      <w:r>
        <w:rPr>
          <w:color w:val="auto"/>
          <w:sz w:val="24"/>
        </w:rPr>
        <w:t>导则》的要求，招标方可随时进厂监造。监造和检验人员有权了解生产过程、查询质量记录和参加各种试验。</w:t>
      </w:r>
    </w:p>
    <w:p>
      <w:pPr>
        <w:keepNext w:val="0"/>
        <w:keepLines w:val="0"/>
        <w:pageBreakBefore w:val="0"/>
        <w:widowControl w:val="0"/>
        <w:tabs>
          <w:tab w:val="left" w:pos="1440"/>
          <w:tab w:val="left" w:pos="3960"/>
        </w:tabs>
        <w:kinsoku/>
        <w:wordWrap/>
        <w:overflowPunct/>
        <w:topLinePunct w:val="0"/>
        <w:bidi w:val="0"/>
        <w:adjustRightInd w:val="0"/>
        <w:snapToGrid w:val="0"/>
        <w:spacing w:line="480" w:lineRule="atLeast"/>
        <w:ind w:firstLine="480" w:firstLineChars="200"/>
        <w:rPr>
          <w:color w:val="auto"/>
          <w:sz w:val="24"/>
        </w:rPr>
      </w:pPr>
      <w:r>
        <w:rPr>
          <w:rFonts w:hint="eastAsia"/>
          <w:color w:val="auto"/>
          <w:sz w:val="24"/>
        </w:rPr>
        <w:t>2）监造范围包括设备的设计、加工、制造、储运、材料采购、组装和试验等重要过程，关键部件的质量控制，进行见证、检验和审核。</w:t>
      </w:r>
    </w:p>
    <w:p>
      <w:pPr>
        <w:keepNext w:val="0"/>
        <w:keepLines w:val="0"/>
        <w:pageBreakBefore w:val="0"/>
        <w:widowControl w:val="0"/>
        <w:tabs>
          <w:tab w:val="left" w:pos="1440"/>
          <w:tab w:val="left" w:pos="3960"/>
        </w:tabs>
        <w:kinsoku/>
        <w:wordWrap/>
        <w:overflowPunct/>
        <w:topLinePunct w:val="0"/>
        <w:bidi w:val="0"/>
        <w:adjustRightInd w:val="0"/>
        <w:snapToGrid w:val="0"/>
        <w:spacing w:line="480" w:lineRule="atLeast"/>
        <w:ind w:firstLine="480" w:firstLineChars="200"/>
        <w:rPr>
          <w:color w:val="auto"/>
          <w:sz w:val="24"/>
        </w:rPr>
      </w:pPr>
      <w:r>
        <w:rPr>
          <w:rFonts w:hint="eastAsia"/>
          <w:color w:val="auto"/>
          <w:sz w:val="24"/>
        </w:rPr>
        <w:t>3）运行单位的工厂监造和检验工作，不减少投标方对产品的质量责任，监造和检验人员不签署任何质量证明。</w:t>
      </w:r>
    </w:p>
    <w:p>
      <w:pPr>
        <w:keepNext w:val="0"/>
        <w:keepLines w:val="0"/>
        <w:pageBreakBefore w:val="0"/>
        <w:widowControl w:val="0"/>
        <w:tabs>
          <w:tab w:val="left" w:pos="1440"/>
          <w:tab w:val="left" w:pos="3960"/>
        </w:tabs>
        <w:kinsoku/>
        <w:wordWrap/>
        <w:overflowPunct/>
        <w:topLinePunct w:val="0"/>
        <w:bidi w:val="0"/>
        <w:adjustRightInd w:val="0"/>
        <w:snapToGrid w:val="0"/>
        <w:spacing w:line="480" w:lineRule="atLeast"/>
        <w:ind w:firstLine="480" w:firstLineChars="200"/>
        <w:rPr>
          <w:color w:val="auto"/>
          <w:sz w:val="24"/>
        </w:rPr>
      </w:pPr>
      <w:r>
        <w:rPr>
          <w:rFonts w:hint="eastAsia"/>
          <w:color w:val="auto"/>
          <w:sz w:val="24"/>
        </w:rPr>
        <w:t>4）投标方应在出厂前提前至少5个工作日书面通知招标方进行出厂试验监督。</w:t>
      </w:r>
    </w:p>
    <w:p>
      <w:pPr>
        <w:pStyle w:val="5"/>
        <w:keepNext w:val="0"/>
        <w:keepLines w:val="0"/>
        <w:pageBreakBefore w:val="0"/>
        <w:widowControl w:val="0"/>
        <w:kinsoku/>
        <w:wordWrap/>
        <w:overflowPunct/>
        <w:topLinePunct w:val="0"/>
        <w:bidi w:val="0"/>
        <w:rPr>
          <w:color w:val="auto"/>
        </w:rPr>
      </w:pPr>
      <w:bookmarkStart w:id="71" w:name="_Toc24735"/>
      <w:bookmarkStart w:id="72" w:name="_Toc264450279"/>
      <w:bookmarkStart w:id="73" w:name="_Toc264454127"/>
      <w:bookmarkStart w:id="74" w:name="_Toc264380148"/>
      <w:bookmarkStart w:id="75" w:name="_Toc264460837"/>
      <w:r>
        <w:rPr>
          <w:rFonts w:hint="eastAsia"/>
          <w:color w:val="auto"/>
        </w:rPr>
        <w:t>包装和标志</w:t>
      </w:r>
      <w:bookmarkEnd w:id="71"/>
      <w:bookmarkEnd w:id="72"/>
      <w:bookmarkEnd w:id="73"/>
      <w:bookmarkEnd w:id="74"/>
      <w:bookmarkEnd w:id="75"/>
    </w:p>
    <w:p>
      <w:pPr>
        <w:pStyle w:val="6"/>
        <w:keepNext w:val="0"/>
        <w:keepLines w:val="0"/>
        <w:pageBreakBefore w:val="0"/>
        <w:widowControl w:val="0"/>
        <w:kinsoku/>
        <w:wordWrap/>
        <w:overflowPunct/>
        <w:topLinePunct w:val="0"/>
        <w:bidi w:val="0"/>
        <w:rPr>
          <w:color w:val="auto"/>
        </w:rPr>
      </w:pPr>
      <w:r>
        <w:rPr>
          <w:rFonts w:hint="eastAsia"/>
          <w:color w:val="auto"/>
        </w:rPr>
        <w:t>包装</w:t>
      </w:r>
    </w:p>
    <w:p>
      <w:pPr>
        <w:keepNext w:val="0"/>
        <w:keepLines w:val="0"/>
        <w:pageBreakBefore w:val="0"/>
        <w:widowControl w:val="0"/>
        <w:tabs>
          <w:tab w:val="left" w:pos="1440"/>
          <w:tab w:val="left" w:pos="3960"/>
        </w:tabs>
        <w:kinsoku/>
        <w:wordWrap/>
        <w:overflowPunct/>
        <w:topLinePunct w:val="0"/>
        <w:bidi w:val="0"/>
        <w:adjustRightInd w:val="0"/>
        <w:snapToGrid w:val="0"/>
        <w:spacing w:line="480" w:lineRule="atLeast"/>
        <w:ind w:firstLine="480" w:firstLineChars="200"/>
        <w:rPr>
          <w:color w:val="auto"/>
          <w:sz w:val="24"/>
        </w:rPr>
      </w:pPr>
      <w:r>
        <w:rPr>
          <w:rFonts w:hint="eastAsia"/>
          <w:color w:val="auto"/>
          <w:sz w:val="24"/>
        </w:rPr>
        <w:t>所有对成品电缆的包装应符合最新的国家标准或行业推荐标准的要求，应提供有加固钢骨架的结实的钢木制线盘，采用全封闭包装，具有良好的防潮、防震、防锈、防盗等保护措施，木制品应有植物检疫证及其它相关证明，线盘应使得成品绞线在运输、贮存、装卸以及在现场放线操作免于一切损伤，否则卖方将承担导线损坏、丢失的责任和经济损失。每层导线间用牛皮纸垫隔，线盘应适合于轮架并应适合于最小控制张力之下的放线。</w:t>
      </w:r>
    </w:p>
    <w:p>
      <w:pPr>
        <w:keepNext w:val="0"/>
        <w:keepLines w:val="0"/>
        <w:pageBreakBefore w:val="0"/>
        <w:widowControl w:val="0"/>
        <w:tabs>
          <w:tab w:val="left" w:pos="1440"/>
          <w:tab w:val="left" w:pos="3960"/>
        </w:tabs>
        <w:kinsoku/>
        <w:wordWrap/>
        <w:overflowPunct/>
        <w:topLinePunct w:val="0"/>
        <w:bidi w:val="0"/>
        <w:adjustRightInd w:val="0"/>
        <w:snapToGrid w:val="0"/>
        <w:spacing w:line="480" w:lineRule="atLeast"/>
        <w:ind w:firstLine="480" w:firstLineChars="200"/>
        <w:rPr>
          <w:color w:val="auto"/>
          <w:sz w:val="24"/>
        </w:rPr>
      </w:pPr>
      <w:r>
        <w:rPr>
          <w:rFonts w:hint="eastAsia"/>
          <w:color w:val="auto"/>
          <w:sz w:val="24"/>
        </w:rPr>
        <w:t>导线应成盘交货，最外一层与线盘侧板边缘的距离应不小于30mm，并妥善包装，绞盘上最内层导线端头应有防水护套，并在缆盘上有保护措施，在外保护层的内面和外层成品绞线之间应提供70 mm的最小间隔。</w:t>
      </w:r>
    </w:p>
    <w:p>
      <w:pPr>
        <w:keepNext w:val="0"/>
        <w:keepLines w:val="0"/>
        <w:pageBreakBefore w:val="0"/>
        <w:widowControl w:val="0"/>
        <w:tabs>
          <w:tab w:val="left" w:pos="1440"/>
          <w:tab w:val="left" w:pos="3960"/>
        </w:tabs>
        <w:kinsoku/>
        <w:wordWrap/>
        <w:overflowPunct/>
        <w:topLinePunct w:val="0"/>
        <w:bidi w:val="0"/>
        <w:adjustRightInd w:val="0"/>
        <w:snapToGrid w:val="0"/>
        <w:spacing w:line="480" w:lineRule="atLeast"/>
        <w:ind w:firstLine="480" w:firstLineChars="200"/>
        <w:rPr>
          <w:color w:val="auto"/>
          <w:sz w:val="24"/>
        </w:rPr>
      </w:pPr>
      <w:r>
        <w:rPr>
          <w:rFonts w:hint="eastAsia"/>
          <w:color w:val="auto"/>
          <w:sz w:val="24"/>
        </w:rPr>
        <w:t>每盘成品电缆的端头必需牢固固定，不能因张力放线而拉脱。</w:t>
      </w:r>
    </w:p>
    <w:p>
      <w:pPr>
        <w:keepNext w:val="0"/>
        <w:keepLines w:val="0"/>
        <w:pageBreakBefore w:val="0"/>
        <w:widowControl w:val="0"/>
        <w:tabs>
          <w:tab w:val="left" w:pos="1440"/>
          <w:tab w:val="left" w:pos="3960"/>
        </w:tabs>
        <w:kinsoku/>
        <w:wordWrap/>
        <w:overflowPunct/>
        <w:topLinePunct w:val="0"/>
        <w:bidi w:val="0"/>
        <w:adjustRightInd w:val="0"/>
        <w:snapToGrid w:val="0"/>
        <w:spacing w:line="480" w:lineRule="atLeast"/>
        <w:ind w:firstLine="480" w:firstLineChars="200"/>
        <w:rPr>
          <w:color w:val="auto"/>
          <w:sz w:val="24"/>
        </w:rPr>
      </w:pPr>
      <w:r>
        <w:rPr>
          <w:rFonts w:hint="eastAsia"/>
          <w:color w:val="auto"/>
          <w:sz w:val="24"/>
        </w:rPr>
        <w:t>线盘的轮轴应表面光滑，能满足施工放线要求。</w:t>
      </w:r>
    </w:p>
    <w:p>
      <w:pPr>
        <w:keepNext w:val="0"/>
        <w:keepLines w:val="0"/>
        <w:pageBreakBefore w:val="0"/>
        <w:widowControl w:val="0"/>
        <w:tabs>
          <w:tab w:val="left" w:pos="1440"/>
          <w:tab w:val="left" w:pos="3960"/>
        </w:tabs>
        <w:kinsoku/>
        <w:wordWrap/>
        <w:overflowPunct/>
        <w:topLinePunct w:val="0"/>
        <w:bidi w:val="0"/>
        <w:adjustRightInd w:val="0"/>
        <w:snapToGrid w:val="0"/>
        <w:spacing w:line="480" w:lineRule="atLeast"/>
        <w:ind w:firstLine="480" w:firstLineChars="200"/>
        <w:rPr>
          <w:color w:val="auto"/>
          <w:sz w:val="24"/>
        </w:rPr>
      </w:pPr>
      <w:r>
        <w:rPr>
          <w:rFonts w:hint="eastAsia"/>
          <w:color w:val="auto"/>
          <w:sz w:val="24"/>
        </w:rPr>
        <w:t>电缆盘外包装应采用新的优质木板，对线盘的两侧盘板轴孔的强度应进行加固处理（必须在两侧盘板轴孔间加焊支撑的钢管或圆钢），导线盘外层包装应有能防止导线磨损、碰撞等的措施。使用的包装材料应具有化学稳定性，在户外存放时，也不应腐蚀导线。</w:t>
      </w:r>
    </w:p>
    <w:p>
      <w:pPr>
        <w:keepNext w:val="0"/>
        <w:keepLines w:val="0"/>
        <w:pageBreakBefore w:val="0"/>
        <w:widowControl w:val="0"/>
        <w:tabs>
          <w:tab w:val="left" w:pos="1440"/>
          <w:tab w:val="left" w:pos="3960"/>
        </w:tabs>
        <w:kinsoku/>
        <w:wordWrap/>
        <w:overflowPunct/>
        <w:topLinePunct w:val="0"/>
        <w:bidi w:val="0"/>
        <w:adjustRightInd w:val="0"/>
        <w:snapToGrid w:val="0"/>
        <w:spacing w:line="480" w:lineRule="atLeast"/>
        <w:ind w:firstLine="480" w:firstLineChars="200"/>
        <w:rPr>
          <w:color w:val="auto"/>
          <w:sz w:val="24"/>
        </w:rPr>
      </w:pPr>
      <w:r>
        <w:rPr>
          <w:rFonts w:hint="eastAsia"/>
          <w:color w:val="auto"/>
          <w:sz w:val="24"/>
        </w:rPr>
        <w:t>卷绕成品绞线的线盘具体尺寸由供货商在供货前向施工方提请确认</w:t>
      </w:r>
    </w:p>
    <w:p>
      <w:pPr>
        <w:pStyle w:val="6"/>
        <w:keepNext w:val="0"/>
        <w:keepLines w:val="0"/>
        <w:pageBreakBefore w:val="0"/>
        <w:widowControl w:val="0"/>
        <w:kinsoku/>
        <w:wordWrap/>
        <w:overflowPunct/>
        <w:topLinePunct w:val="0"/>
        <w:bidi w:val="0"/>
        <w:rPr>
          <w:color w:val="auto"/>
        </w:rPr>
      </w:pPr>
      <w:r>
        <w:rPr>
          <w:rFonts w:hint="eastAsia"/>
          <w:color w:val="auto"/>
        </w:rPr>
        <w:t>标志</w:t>
      </w:r>
    </w:p>
    <w:p>
      <w:pPr>
        <w:keepNext w:val="0"/>
        <w:keepLines w:val="0"/>
        <w:pageBreakBefore w:val="0"/>
        <w:widowControl w:val="0"/>
        <w:tabs>
          <w:tab w:val="left" w:pos="1440"/>
          <w:tab w:val="left" w:pos="3960"/>
        </w:tabs>
        <w:kinsoku/>
        <w:wordWrap/>
        <w:overflowPunct/>
        <w:topLinePunct w:val="0"/>
        <w:bidi w:val="0"/>
        <w:adjustRightInd w:val="0"/>
        <w:snapToGrid w:val="0"/>
        <w:spacing w:line="480" w:lineRule="atLeast"/>
        <w:ind w:firstLine="480" w:firstLineChars="200"/>
        <w:rPr>
          <w:color w:val="auto"/>
          <w:sz w:val="24"/>
        </w:rPr>
      </w:pPr>
      <w:r>
        <w:rPr>
          <w:color w:val="auto"/>
          <w:sz w:val="24"/>
        </w:rPr>
        <w:t>1）制造厂名称、制造厂的序列号；</w:t>
      </w:r>
    </w:p>
    <w:p>
      <w:pPr>
        <w:keepNext w:val="0"/>
        <w:keepLines w:val="0"/>
        <w:pageBreakBefore w:val="0"/>
        <w:widowControl w:val="0"/>
        <w:tabs>
          <w:tab w:val="left" w:pos="1440"/>
          <w:tab w:val="left" w:pos="3960"/>
        </w:tabs>
        <w:kinsoku/>
        <w:wordWrap/>
        <w:overflowPunct/>
        <w:topLinePunct w:val="0"/>
        <w:bidi w:val="0"/>
        <w:adjustRightInd w:val="0"/>
        <w:snapToGrid w:val="0"/>
        <w:spacing w:line="480" w:lineRule="atLeast"/>
        <w:ind w:firstLine="480" w:firstLineChars="200"/>
        <w:rPr>
          <w:color w:val="auto"/>
          <w:sz w:val="24"/>
        </w:rPr>
      </w:pPr>
      <w:r>
        <w:rPr>
          <w:color w:val="auto"/>
          <w:sz w:val="24"/>
        </w:rPr>
        <w:t>2）</w:t>
      </w:r>
      <w:r>
        <w:rPr>
          <w:rFonts w:hint="eastAsia"/>
          <w:color w:val="auto"/>
          <w:sz w:val="24"/>
        </w:rPr>
        <w:t>电缆</w:t>
      </w:r>
      <w:r>
        <w:rPr>
          <w:color w:val="auto"/>
          <w:sz w:val="24"/>
        </w:rPr>
        <w:t>型号及规格号；</w:t>
      </w:r>
    </w:p>
    <w:p>
      <w:pPr>
        <w:keepNext w:val="0"/>
        <w:keepLines w:val="0"/>
        <w:pageBreakBefore w:val="0"/>
        <w:widowControl w:val="0"/>
        <w:tabs>
          <w:tab w:val="left" w:pos="1440"/>
          <w:tab w:val="left" w:pos="3960"/>
        </w:tabs>
        <w:kinsoku/>
        <w:wordWrap/>
        <w:overflowPunct/>
        <w:topLinePunct w:val="0"/>
        <w:bidi w:val="0"/>
        <w:adjustRightInd w:val="0"/>
        <w:snapToGrid w:val="0"/>
        <w:spacing w:line="480" w:lineRule="atLeast"/>
        <w:ind w:firstLine="480" w:firstLineChars="200"/>
        <w:rPr>
          <w:color w:val="auto"/>
          <w:sz w:val="24"/>
        </w:rPr>
      </w:pPr>
      <w:r>
        <w:rPr>
          <w:color w:val="auto"/>
          <w:sz w:val="24"/>
        </w:rPr>
        <w:t>3）装运、旋转方向或放线标志；</w:t>
      </w:r>
    </w:p>
    <w:p>
      <w:pPr>
        <w:keepNext w:val="0"/>
        <w:keepLines w:val="0"/>
        <w:pageBreakBefore w:val="0"/>
        <w:widowControl w:val="0"/>
        <w:tabs>
          <w:tab w:val="left" w:pos="1440"/>
          <w:tab w:val="left" w:pos="3960"/>
        </w:tabs>
        <w:kinsoku/>
        <w:wordWrap/>
        <w:overflowPunct/>
        <w:topLinePunct w:val="0"/>
        <w:bidi w:val="0"/>
        <w:adjustRightInd w:val="0"/>
        <w:snapToGrid w:val="0"/>
        <w:spacing w:line="480" w:lineRule="atLeast"/>
        <w:ind w:firstLine="480" w:firstLineChars="200"/>
        <w:rPr>
          <w:color w:val="auto"/>
          <w:sz w:val="24"/>
        </w:rPr>
      </w:pPr>
      <w:r>
        <w:rPr>
          <w:color w:val="auto"/>
          <w:sz w:val="24"/>
        </w:rPr>
        <w:t>4）运输时线盘不能平放的标记；</w:t>
      </w:r>
    </w:p>
    <w:p>
      <w:pPr>
        <w:keepNext w:val="0"/>
        <w:keepLines w:val="0"/>
        <w:pageBreakBefore w:val="0"/>
        <w:widowControl w:val="0"/>
        <w:tabs>
          <w:tab w:val="left" w:pos="1440"/>
          <w:tab w:val="left" w:pos="3960"/>
        </w:tabs>
        <w:kinsoku/>
        <w:wordWrap/>
        <w:overflowPunct/>
        <w:topLinePunct w:val="0"/>
        <w:bidi w:val="0"/>
        <w:adjustRightInd w:val="0"/>
        <w:snapToGrid w:val="0"/>
        <w:spacing w:line="480" w:lineRule="atLeast"/>
        <w:ind w:firstLine="480" w:firstLineChars="200"/>
        <w:rPr>
          <w:color w:val="auto"/>
          <w:sz w:val="24"/>
        </w:rPr>
      </w:pPr>
      <w:r>
        <w:rPr>
          <w:color w:val="auto"/>
          <w:sz w:val="24"/>
        </w:rPr>
        <w:t>5）由外至内每根绞线的长度，m；</w:t>
      </w:r>
    </w:p>
    <w:p>
      <w:pPr>
        <w:keepNext w:val="0"/>
        <w:keepLines w:val="0"/>
        <w:pageBreakBefore w:val="0"/>
        <w:widowControl w:val="0"/>
        <w:tabs>
          <w:tab w:val="left" w:pos="1440"/>
          <w:tab w:val="left" w:pos="3960"/>
        </w:tabs>
        <w:kinsoku/>
        <w:wordWrap/>
        <w:overflowPunct/>
        <w:topLinePunct w:val="0"/>
        <w:bidi w:val="0"/>
        <w:adjustRightInd w:val="0"/>
        <w:snapToGrid w:val="0"/>
        <w:spacing w:line="480" w:lineRule="atLeast"/>
        <w:ind w:firstLine="480" w:firstLineChars="200"/>
        <w:rPr>
          <w:color w:val="auto"/>
          <w:sz w:val="24"/>
        </w:rPr>
      </w:pPr>
      <w:r>
        <w:rPr>
          <w:color w:val="auto"/>
          <w:sz w:val="24"/>
        </w:rPr>
        <w:t>6）毛重及净重，kg；</w:t>
      </w:r>
    </w:p>
    <w:p>
      <w:pPr>
        <w:keepNext w:val="0"/>
        <w:keepLines w:val="0"/>
        <w:pageBreakBefore w:val="0"/>
        <w:widowControl w:val="0"/>
        <w:tabs>
          <w:tab w:val="left" w:pos="1440"/>
          <w:tab w:val="left" w:pos="3960"/>
        </w:tabs>
        <w:kinsoku/>
        <w:wordWrap/>
        <w:overflowPunct/>
        <w:topLinePunct w:val="0"/>
        <w:bidi w:val="0"/>
        <w:adjustRightInd w:val="0"/>
        <w:snapToGrid w:val="0"/>
        <w:spacing w:line="480" w:lineRule="atLeast"/>
        <w:ind w:firstLine="480" w:firstLineChars="200"/>
        <w:rPr>
          <w:color w:val="auto"/>
          <w:sz w:val="24"/>
        </w:rPr>
      </w:pPr>
      <w:r>
        <w:rPr>
          <w:color w:val="auto"/>
          <w:sz w:val="24"/>
        </w:rPr>
        <w:t>7）制造日期：年 月；</w:t>
      </w:r>
    </w:p>
    <w:p>
      <w:pPr>
        <w:keepNext w:val="0"/>
        <w:keepLines w:val="0"/>
        <w:pageBreakBefore w:val="0"/>
        <w:widowControl w:val="0"/>
        <w:tabs>
          <w:tab w:val="left" w:pos="1440"/>
          <w:tab w:val="left" w:pos="3960"/>
        </w:tabs>
        <w:kinsoku/>
        <w:wordWrap/>
        <w:overflowPunct/>
        <w:topLinePunct w:val="0"/>
        <w:bidi w:val="0"/>
        <w:adjustRightInd w:val="0"/>
        <w:snapToGrid w:val="0"/>
        <w:spacing w:line="480" w:lineRule="atLeast"/>
        <w:ind w:firstLine="480" w:firstLineChars="200"/>
        <w:rPr>
          <w:color w:val="auto"/>
          <w:sz w:val="24"/>
        </w:rPr>
      </w:pPr>
      <w:r>
        <w:rPr>
          <w:color w:val="auto"/>
          <w:sz w:val="24"/>
        </w:rPr>
        <w:t>8）执行标准编号。</w:t>
      </w:r>
    </w:p>
    <w:p>
      <w:pPr>
        <w:pStyle w:val="5"/>
        <w:keepNext w:val="0"/>
        <w:keepLines w:val="0"/>
        <w:pageBreakBefore w:val="0"/>
        <w:widowControl w:val="0"/>
        <w:kinsoku/>
        <w:wordWrap/>
        <w:overflowPunct/>
        <w:topLinePunct w:val="0"/>
        <w:bidi w:val="0"/>
        <w:rPr>
          <w:color w:val="auto"/>
        </w:rPr>
      </w:pPr>
      <w:bookmarkStart w:id="76" w:name="_Toc264450280"/>
      <w:bookmarkStart w:id="77" w:name="_Toc264460838"/>
      <w:bookmarkStart w:id="78" w:name="_Toc264380149"/>
      <w:bookmarkStart w:id="79" w:name="_Toc26421"/>
      <w:bookmarkStart w:id="80" w:name="_Toc264454128"/>
      <w:r>
        <w:rPr>
          <w:rFonts w:hint="eastAsia"/>
          <w:color w:val="auto"/>
        </w:rPr>
        <w:t>运输</w:t>
      </w:r>
      <w:bookmarkEnd w:id="76"/>
      <w:bookmarkEnd w:id="77"/>
      <w:bookmarkEnd w:id="78"/>
      <w:bookmarkEnd w:id="79"/>
      <w:bookmarkEnd w:id="80"/>
    </w:p>
    <w:p>
      <w:pPr>
        <w:keepNext w:val="0"/>
        <w:keepLines w:val="0"/>
        <w:pageBreakBefore w:val="0"/>
        <w:widowControl w:val="0"/>
        <w:tabs>
          <w:tab w:val="left" w:pos="1440"/>
          <w:tab w:val="left" w:pos="3960"/>
        </w:tabs>
        <w:kinsoku/>
        <w:wordWrap/>
        <w:overflowPunct/>
        <w:topLinePunct w:val="0"/>
        <w:bidi w:val="0"/>
        <w:adjustRightInd w:val="0"/>
        <w:snapToGrid w:val="0"/>
        <w:spacing w:line="480" w:lineRule="atLeast"/>
        <w:ind w:firstLine="480" w:firstLineChars="200"/>
        <w:rPr>
          <w:color w:val="auto"/>
          <w:sz w:val="24"/>
        </w:rPr>
      </w:pPr>
      <w:r>
        <w:rPr>
          <w:rFonts w:hint="eastAsia"/>
          <w:color w:val="auto"/>
          <w:sz w:val="24"/>
        </w:rPr>
        <w:t>投标方应负责将导、地线运到合同指定的目的地，并保证导、地线在运输过程中不受损坏。</w:t>
      </w:r>
    </w:p>
    <w:p>
      <w:pPr>
        <w:keepNext w:val="0"/>
        <w:keepLines w:val="0"/>
        <w:pageBreakBefore w:val="0"/>
        <w:widowControl w:val="0"/>
        <w:tabs>
          <w:tab w:val="left" w:pos="1440"/>
          <w:tab w:val="left" w:pos="3960"/>
        </w:tabs>
        <w:kinsoku/>
        <w:wordWrap/>
        <w:overflowPunct/>
        <w:topLinePunct w:val="0"/>
        <w:bidi w:val="0"/>
        <w:adjustRightInd w:val="0"/>
        <w:snapToGrid w:val="0"/>
        <w:spacing w:line="480" w:lineRule="atLeast"/>
        <w:ind w:firstLine="480" w:firstLineChars="200"/>
        <w:rPr>
          <w:color w:val="auto"/>
          <w:sz w:val="24"/>
        </w:rPr>
      </w:pPr>
      <w:r>
        <w:rPr>
          <w:rFonts w:hint="eastAsia"/>
          <w:color w:val="auto"/>
          <w:sz w:val="24"/>
        </w:rPr>
        <w:t>在每个线盘的外侧轮缘上，均有标记，以标明在装运期间线盘滚动方向，同时可防止线盘上的缆松散。</w:t>
      </w:r>
    </w:p>
    <w:p>
      <w:pPr>
        <w:keepNext w:val="0"/>
        <w:keepLines w:val="0"/>
        <w:pageBreakBefore w:val="0"/>
        <w:widowControl w:val="0"/>
        <w:tabs>
          <w:tab w:val="left" w:pos="1440"/>
          <w:tab w:val="left" w:pos="3960"/>
        </w:tabs>
        <w:kinsoku/>
        <w:wordWrap/>
        <w:overflowPunct/>
        <w:topLinePunct w:val="0"/>
        <w:bidi w:val="0"/>
        <w:adjustRightInd w:val="0"/>
        <w:snapToGrid w:val="0"/>
        <w:spacing w:line="480" w:lineRule="atLeast"/>
        <w:ind w:firstLine="480" w:firstLineChars="200"/>
        <w:rPr>
          <w:color w:val="auto"/>
          <w:sz w:val="24"/>
        </w:rPr>
      </w:pPr>
      <w:r>
        <w:rPr>
          <w:rFonts w:hint="eastAsia"/>
          <w:color w:val="auto"/>
          <w:sz w:val="24"/>
        </w:rPr>
        <w:t>除合同条款的规定外，货物在装运后24h内，将装运通知单一式五份空邮给招标方。</w:t>
      </w:r>
    </w:p>
    <w:p>
      <w:pPr>
        <w:pStyle w:val="5"/>
        <w:keepNext w:val="0"/>
        <w:keepLines w:val="0"/>
        <w:pageBreakBefore w:val="0"/>
        <w:widowControl w:val="0"/>
        <w:kinsoku/>
        <w:wordWrap/>
        <w:overflowPunct/>
        <w:topLinePunct w:val="0"/>
        <w:bidi w:val="0"/>
        <w:rPr>
          <w:color w:val="auto"/>
        </w:rPr>
      </w:pPr>
      <w:bookmarkStart w:id="81" w:name="_Toc264460839"/>
      <w:bookmarkStart w:id="82" w:name="_Toc264380150"/>
      <w:bookmarkStart w:id="83" w:name="_Toc264454129"/>
      <w:bookmarkStart w:id="84" w:name="_Toc10958"/>
      <w:bookmarkStart w:id="85" w:name="_Toc264450281"/>
      <w:r>
        <w:rPr>
          <w:rFonts w:hint="eastAsia"/>
          <w:color w:val="auto"/>
        </w:rPr>
        <w:t>安装指导</w:t>
      </w:r>
      <w:bookmarkEnd w:id="81"/>
      <w:bookmarkEnd w:id="82"/>
      <w:bookmarkEnd w:id="83"/>
      <w:bookmarkEnd w:id="84"/>
      <w:bookmarkEnd w:id="85"/>
    </w:p>
    <w:p>
      <w:pPr>
        <w:keepNext w:val="0"/>
        <w:keepLines w:val="0"/>
        <w:pageBreakBefore w:val="0"/>
        <w:widowControl w:val="0"/>
        <w:tabs>
          <w:tab w:val="left" w:pos="1440"/>
          <w:tab w:val="left" w:pos="3960"/>
        </w:tabs>
        <w:kinsoku/>
        <w:wordWrap/>
        <w:overflowPunct/>
        <w:topLinePunct w:val="0"/>
        <w:bidi w:val="0"/>
        <w:adjustRightInd w:val="0"/>
        <w:snapToGrid w:val="0"/>
        <w:spacing w:line="480" w:lineRule="atLeast"/>
        <w:ind w:firstLine="480" w:firstLineChars="200"/>
        <w:rPr>
          <w:color w:val="auto"/>
          <w:sz w:val="24"/>
        </w:rPr>
      </w:pPr>
      <w:r>
        <w:rPr>
          <w:rFonts w:hint="eastAsia"/>
          <w:color w:val="auto"/>
          <w:sz w:val="24"/>
        </w:rPr>
        <w:t>投标方在安装和启动时应安排技术人员提供现场安装指导服务，提出技术建议。</w:t>
      </w:r>
    </w:p>
    <w:p>
      <w:pPr>
        <w:pStyle w:val="5"/>
        <w:keepNext w:val="0"/>
        <w:keepLines w:val="0"/>
        <w:pageBreakBefore w:val="0"/>
        <w:widowControl w:val="0"/>
        <w:kinsoku/>
        <w:wordWrap/>
        <w:overflowPunct/>
        <w:topLinePunct w:val="0"/>
        <w:bidi w:val="0"/>
        <w:rPr>
          <w:color w:val="auto"/>
        </w:rPr>
      </w:pPr>
      <w:bookmarkStart w:id="86" w:name="_Toc264450282"/>
      <w:bookmarkStart w:id="87" w:name="_Toc264460840"/>
      <w:bookmarkStart w:id="88" w:name="_Toc264380151"/>
      <w:bookmarkStart w:id="89" w:name="_Toc20901"/>
      <w:bookmarkStart w:id="90" w:name="_Toc264454130"/>
      <w:r>
        <w:rPr>
          <w:rFonts w:hint="eastAsia"/>
          <w:color w:val="auto"/>
        </w:rPr>
        <w:t>质量保证</w:t>
      </w:r>
      <w:bookmarkEnd w:id="86"/>
      <w:bookmarkEnd w:id="87"/>
      <w:bookmarkEnd w:id="88"/>
      <w:bookmarkEnd w:id="89"/>
      <w:bookmarkEnd w:id="90"/>
    </w:p>
    <w:p>
      <w:pPr>
        <w:keepNext w:val="0"/>
        <w:keepLines w:val="0"/>
        <w:pageBreakBefore w:val="0"/>
        <w:widowControl w:val="0"/>
        <w:tabs>
          <w:tab w:val="left" w:pos="1440"/>
          <w:tab w:val="left" w:pos="3960"/>
        </w:tabs>
        <w:kinsoku/>
        <w:wordWrap/>
        <w:overflowPunct/>
        <w:topLinePunct w:val="0"/>
        <w:bidi w:val="0"/>
        <w:adjustRightInd w:val="0"/>
        <w:snapToGrid w:val="0"/>
        <w:spacing w:line="480" w:lineRule="atLeast"/>
        <w:ind w:firstLine="480" w:firstLineChars="200"/>
        <w:rPr>
          <w:color w:val="auto"/>
          <w:sz w:val="24"/>
        </w:rPr>
      </w:pPr>
      <w:r>
        <w:rPr>
          <w:rFonts w:hint="eastAsia"/>
          <w:color w:val="auto"/>
          <w:sz w:val="24"/>
        </w:rPr>
        <w:t>1）全部设备必须是全新的, 持久耐用的,应满足作为一个完整产品所能满足的全部要求。投标方应保证设备在规定的使用条件下运行、并按使用说明书进行安装和维护、预期寿命应不少于30年</w:t>
      </w:r>
      <w:r>
        <w:rPr>
          <w:color w:val="auto"/>
          <w:sz w:val="24"/>
        </w:rPr>
        <w:t>。</w:t>
      </w:r>
    </w:p>
    <w:p>
      <w:pPr>
        <w:keepNext w:val="0"/>
        <w:keepLines w:val="0"/>
        <w:pageBreakBefore w:val="0"/>
        <w:widowControl w:val="0"/>
        <w:tabs>
          <w:tab w:val="left" w:pos="1440"/>
          <w:tab w:val="left" w:pos="3960"/>
        </w:tabs>
        <w:kinsoku/>
        <w:wordWrap/>
        <w:overflowPunct/>
        <w:topLinePunct w:val="0"/>
        <w:bidi w:val="0"/>
        <w:adjustRightInd w:val="0"/>
        <w:snapToGrid w:val="0"/>
        <w:spacing w:line="480" w:lineRule="atLeast"/>
        <w:ind w:firstLine="480" w:firstLineChars="200"/>
        <w:rPr>
          <w:color w:val="auto"/>
          <w:sz w:val="24"/>
        </w:rPr>
      </w:pPr>
      <w:r>
        <w:rPr>
          <w:rFonts w:hint="eastAsia"/>
          <w:color w:val="auto"/>
          <w:sz w:val="24"/>
        </w:rPr>
        <w:t>2）投标方应对其整组设备在到货后提供不少于三年的“三包”质量保证。之后如发生产品损坏，投标方应及时为本组装置提供维修部件，并按最近的投标价提供。</w:t>
      </w:r>
    </w:p>
    <w:p>
      <w:pPr>
        <w:keepNext w:val="0"/>
        <w:keepLines w:val="0"/>
        <w:pageBreakBefore w:val="0"/>
        <w:widowControl w:val="0"/>
        <w:tabs>
          <w:tab w:val="left" w:pos="1440"/>
          <w:tab w:val="left" w:pos="3960"/>
        </w:tabs>
        <w:kinsoku/>
        <w:wordWrap/>
        <w:overflowPunct/>
        <w:topLinePunct w:val="0"/>
        <w:bidi w:val="0"/>
        <w:adjustRightInd w:val="0"/>
        <w:snapToGrid w:val="0"/>
        <w:spacing w:line="480" w:lineRule="atLeast"/>
        <w:ind w:firstLine="480" w:firstLineChars="200"/>
        <w:rPr>
          <w:color w:val="auto"/>
          <w:sz w:val="24"/>
        </w:rPr>
      </w:pPr>
      <w:r>
        <w:rPr>
          <w:rFonts w:hint="eastAsia"/>
          <w:color w:val="auto"/>
          <w:sz w:val="24"/>
        </w:rPr>
        <w:t>3）订购的新型产品除应满足本标准外</w:t>
      </w:r>
      <w:r>
        <w:rPr>
          <w:color w:val="auto"/>
          <w:sz w:val="24"/>
        </w:rPr>
        <w:t xml:space="preserve">, </w:t>
      </w:r>
      <w:r>
        <w:rPr>
          <w:rFonts w:hint="eastAsia"/>
          <w:color w:val="auto"/>
          <w:sz w:val="24"/>
        </w:rPr>
        <w:t>投标方还应提供该产品的鉴定证书。</w:t>
      </w:r>
    </w:p>
    <w:p>
      <w:pPr>
        <w:keepNext w:val="0"/>
        <w:keepLines w:val="0"/>
        <w:pageBreakBefore w:val="0"/>
        <w:widowControl w:val="0"/>
        <w:tabs>
          <w:tab w:val="left" w:pos="1440"/>
          <w:tab w:val="left" w:pos="3960"/>
        </w:tabs>
        <w:kinsoku/>
        <w:wordWrap/>
        <w:overflowPunct/>
        <w:topLinePunct w:val="0"/>
        <w:bidi w:val="0"/>
        <w:adjustRightInd w:val="0"/>
        <w:snapToGrid w:val="0"/>
        <w:spacing w:line="480" w:lineRule="atLeast"/>
        <w:ind w:firstLine="480" w:firstLineChars="200"/>
        <w:rPr>
          <w:color w:val="auto"/>
          <w:sz w:val="24"/>
        </w:rPr>
      </w:pPr>
      <w:r>
        <w:rPr>
          <w:rFonts w:hint="eastAsia"/>
          <w:color w:val="auto"/>
          <w:sz w:val="24"/>
        </w:rPr>
        <w:t>4）投标方应保证制造过程中的所有工艺、材料试验等</w:t>
      </w:r>
      <w:r>
        <w:rPr>
          <w:color w:val="auto"/>
          <w:sz w:val="24"/>
        </w:rPr>
        <w:t>(</w:t>
      </w:r>
      <w:r>
        <w:rPr>
          <w:rFonts w:hint="eastAsia"/>
          <w:color w:val="auto"/>
          <w:sz w:val="24"/>
        </w:rPr>
        <w:t>包括投标方的外购件在内</w:t>
      </w:r>
      <w:r>
        <w:rPr>
          <w:color w:val="auto"/>
          <w:sz w:val="24"/>
        </w:rPr>
        <w:t>)</w:t>
      </w:r>
      <w:r>
        <w:rPr>
          <w:rFonts w:hint="eastAsia"/>
          <w:color w:val="auto"/>
          <w:sz w:val="24"/>
        </w:rPr>
        <w:t>均应符合本标准的规定。若招标方根据运行经验指定投标方提供某种外购零部件</w:t>
      </w:r>
      <w:r>
        <w:rPr>
          <w:color w:val="auto"/>
          <w:sz w:val="24"/>
        </w:rPr>
        <w:t xml:space="preserve">, </w:t>
      </w:r>
      <w:r>
        <w:rPr>
          <w:rFonts w:hint="eastAsia"/>
          <w:color w:val="auto"/>
          <w:sz w:val="24"/>
        </w:rPr>
        <w:t>投标方应积极配合。</w:t>
      </w:r>
    </w:p>
    <w:p>
      <w:pPr>
        <w:keepNext w:val="0"/>
        <w:keepLines w:val="0"/>
        <w:pageBreakBefore w:val="0"/>
        <w:widowControl w:val="0"/>
        <w:tabs>
          <w:tab w:val="left" w:pos="1440"/>
          <w:tab w:val="left" w:pos="3960"/>
        </w:tabs>
        <w:kinsoku/>
        <w:wordWrap/>
        <w:overflowPunct/>
        <w:topLinePunct w:val="0"/>
        <w:bidi w:val="0"/>
        <w:adjustRightInd w:val="0"/>
        <w:snapToGrid w:val="0"/>
        <w:spacing w:line="480" w:lineRule="atLeast"/>
        <w:ind w:firstLine="480" w:firstLineChars="200"/>
        <w:rPr>
          <w:color w:val="auto"/>
          <w:sz w:val="24"/>
        </w:rPr>
      </w:pPr>
      <w:r>
        <w:rPr>
          <w:rFonts w:hint="eastAsia"/>
          <w:color w:val="auto"/>
          <w:sz w:val="24"/>
        </w:rPr>
        <w:t>5）附属及配套设备必须满足有关行业标准的要求</w:t>
      </w:r>
      <w:r>
        <w:rPr>
          <w:color w:val="auto"/>
          <w:sz w:val="24"/>
        </w:rPr>
        <w:t xml:space="preserve">, </w:t>
      </w:r>
      <w:r>
        <w:rPr>
          <w:rFonts w:hint="eastAsia"/>
          <w:color w:val="auto"/>
          <w:sz w:val="24"/>
        </w:rPr>
        <w:t>并提供试验报告和产品合格证。</w:t>
      </w:r>
    </w:p>
    <w:p>
      <w:pPr>
        <w:keepNext w:val="0"/>
        <w:keepLines w:val="0"/>
        <w:pageBreakBefore w:val="0"/>
        <w:widowControl w:val="0"/>
        <w:tabs>
          <w:tab w:val="left" w:pos="1440"/>
          <w:tab w:val="left" w:pos="3960"/>
        </w:tabs>
        <w:kinsoku/>
        <w:wordWrap/>
        <w:overflowPunct/>
        <w:topLinePunct w:val="0"/>
        <w:bidi w:val="0"/>
        <w:adjustRightInd w:val="0"/>
        <w:snapToGrid w:val="0"/>
        <w:spacing w:line="480" w:lineRule="atLeast"/>
        <w:ind w:firstLine="480" w:firstLineChars="200"/>
        <w:rPr>
          <w:rFonts w:hint="eastAsia" w:hAnsi="宋体"/>
          <w:color w:val="auto"/>
          <w:sz w:val="24"/>
        </w:rPr>
      </w:pPr>
      <w:r>
        <w:rPr>
          <w:rFonts w:hint="eastAsia"/>
          <w:color w:val="auto"/>
          <w:sz w:val="24"/>
        </w:rPr>
        <w:t>6）投标方应有遵守本标准中各条款和工作项目的</w:t>
      </w:r>
      <w:r>
        <w:rPr>
          <w:color w:val="auto"/>
          <w:sz w:val="24"/>
        </w:rPr>
        <w:t>ISO900</w:t>
      </w:r>
      <w:r>
        <w:rPr>
          <w:rFonts w:hint="eastAsia"/>
          <w:color w:val="auto"/>
          <w:sz w:val="24"/>
        </w:rPr>
        <w:t>0-</w:t>
      </w:r>
      <w:r>
        <w:rPr>
          <w:color w:val="auto"/>
          <w:sz w:val="24"/>
        </w:rPr>
        <w:t>GB/T1900</w:t>
      </w:r>
      <w:r>
        <w:rPr>
          <w:rFonts w:hint="eastAsia"/>
          <w:color w:val="auto"/>
          <w:sz w:val="24"/>
        </w:rPr>
        <w:t>0质量保证体系</w:t>
      </w:r>
      <w:r>
        <w:rPr>
          <w:color w:val="auto"/>
          <w:sz w:val="24"/>
        </w:rPr>
        <w:t xml:space="preserve">, </w:t>
      </w:r>
      <w:r>
        <w:rPr>
          <w:rFonts w:hint="eastAsia"/>
          <w:color w:val="auto"/>
          <w:sz w:val="24"/>
        </w:rPr>
        <w:t>该质量保证体系已经通过国家认证并在正常运转。</w:t>
      </w:r>
    </w:p>
    <w:sectPr>
      <w:headerReference r:id="rId10" w:type="default"/>
      <w:footerReference r:id="rId11" w:type="default"/>
      <w:pgSz w:w="11906" w:h="16838"/>
      <w:pgMar w:top="1417" w:right="1417" w:bottom="1417" w:left="1417"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AFF" w:usb1="C0007841"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SimSun-Identity-H">
    <w:altName w:val="宋体"/>
    <w:panose1 w:val="00000000000000000000"/>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pPr>
    <w:r>
      <w:fldChar w:fldCharType="begin"/>
    </w:r>
    <w:r>
      <w:instrText xml:space="preserve"> PAGE   \* MERGEFORMAT </w:instrText>
    </w:r>
    <w:r>
      <w:fldChar w:fldCharType="separate"/>
    </w:r>
    <w:r>
      <w:rPr>
        <w:lang w:val="zh-CN"/>
      </w:rPr>
      <w:t>2</w:t>
    </w:r>
    <w:r>
      <w:fldChar w:fldCharType="end"/>
    </w:r>
  </w:p>
  <w:p>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framePr w:wrap="around" w:vAnchor="page" w:hAnchor="page" w:xAlign="right" w:yAlign="center"/>
      <w:rPr>
        <w:rStyle w:val="22"/>
      </w:rPr>
    </w:pPr>
    <w:r>
      <w:fldChar w:fldCharType="begin"/>
    </w:r>
    <w:r>
      <w:rPr>
        <w:rStyle w:val="22"/>
      </w:rPr>
      <w:instrText xml:space="preserve">PAGE  </w:instrText>
    </w:r>
    <w:r>
      <w:fldChar w:fldCharType="separate"/>
    </w:r>
    <w:r>
      <w:rPr>
        <w:rStyle w:val="22"/>
      </w:rPr>
      <w:t>I</w:t>
    </w:r>
    <w:r>
      <w:fldChar w:fldCharType="end"/>
    </w:r>
  </w:p>
  <w:p>
    <w:pPr>
      <w:pStyle w:val="34"/>
      <w:ind w:right="360"/>
      <w:rPr>
        <w:rStyle w:val="2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ind w:firstLine="360"/>
      <w:rPr>
        <w:rStyle w:val="2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ind w:firstLine="360"/>
      <w:rPr>
        <w:rStyle w:val="22"/>
      </w:rPr>
    </w:pPr>
    <w:r>
      <w:fldChar w:fldCharType="begin"/>
    </w:r>
    <w:r>
      <w:rPr>
        <w:rStyle w:val="22"/>
      </w:rPr>
      <w:instrText xml:space="preserve">PAGE  </w:instrText>
    </w:r>
    <w:r>
      <w:fldChar w:fldCharType="separate"/>
    </w:r>
    <w:r>
      <w:rPr>
        <w:rStyle w:val="22"/>
      </w:rPr>
      <w:t>51</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jc w:val="both"/>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ind w:right="105" w:firstLine="420"/>
      <w:rPr>
        <w:rFonts w:hint="eastAsi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jc w:val="both"/>
      <w:rPr>
        <w:rStyle w:val="22"/>
        <w:rFonts w:hint="default" w:cstheme="minorBidi"/>
        <w:kern w:val="2"/>
        <w:szCs w:val="18"/>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39322D5"/>
    <w:multiLevelType w:val="multilevel"/>
    <w:tmpl w:val="C39322D5"/>
    <w:lvl w:ilvl="0" w:tentative="0">
      <w:start w:val="1"/>
      <w:numFmt w:val="decimal"/>
      <w:pStyle w:val="4"/>
      <w:suff w:val="space"/>
      <w:lvlText w:val="%1."/>
      <w:lvlJc w:val="left"/>
      <w:pPr>
        <w:tabs>
          <w:tab w:val="left" w:pos="0"/>
        </w:tabs>
        <w:ind w:left="432" w:hanging="432"/>
      </w:pPr>
      <w:rPr>
        <w:rFonts w:hint="default" w:ascii="宋体" w:hAnsi="宋体" w:eastAsia="宋体" w:cs="宋体"/>
      </w:rPr>
    </w:lvl>
    <w:lvl w:ilvl="1" w:tentative="0">
      <w:start w:val="1"/>
      <w:numFmt w:val="decimal"/>
      <w:pStyle w:val="5"/>
      <w:suff w:val="space"/>
      <w:lvlText w:val="%1.%2"/>
      <w:lvlJc w:val="left"/>
      <w:pPr>
        <w:tabs>
          <w:tab w:val="left" w:pos="0"/>
        </w:tabs>
        <w:ind w:left="0" w:leftChars="0" w:firstLine="0" w:firstLineChars="0"/>
      </w:pPr>
      <w:rPr>
        <w:rFonts w:hint="default" w:ascii="宋体" w:hAnsi="宋体" w:eastAsia="宋体" w:cs="宋体"/>
      </w:rPr>
    </w:lvl>
    <w:lvl w:ilvl="2" w:tentative="0">
      <w:start w:val="1"/>
      <w:numFmt w:val="decimal"/>
      <w:pStyle w:val="6"/>
      <w:suff w:val="space"/>
      <w:lvlText w:val="%1.%2.%3"/>
      <w:lvlJc w:val="left"/>
      <w:pPr>
        <w:tabs>
          <w:tab w:val="left" w:pos="0"/>
        </w:tabs>
        <w:ind w:left="0" w:leftChars="0" w:firstLine="0" w:firstLineChars="0"/>
      </w:pPr>
      <w:rPr>
        <w:rFonts w:hint="default" w:ascii="宋体" w:hAnsi="宋体" w:eastAsia="宋体" w:cs="宋体"/>
      </w:rPr>
    </w:lvl>
    <w:lvl w:ilvl="3" w:tentative="0">
      <w:start w:val="1"/>
      <w:numFmt w:val="decimal"/>
      <w:pStyle w:val="7"/>
      <w:suff w:val="space"/>
      <w:lvlText w:val="%1.%2.%3.%4"/>
      <w:lvlJc w:val="left"/>
      <w:pPr>
        <w:tabs>
          <w:tab w:val="left" w:pos="0"/>
        </w:tabs>
        <w:ind w:left="0" w:leftChars="0" w:firstLine="0" w:firstLineChars="0"/>
      </w:pPr>
      <w:rPr>
        <w:rFonts w:hint="default" w:ascii="宋体" w:hAnsi="宋体" w:eastAsia="宋体" w:cs="宋体"/>
      </w:rPr>
    </w:lvl>
    <w:lvl w:ilvl="4" w:tentative="0">
      <w:start w:val="1"/>
      <w:numFmt w:val="decimal"/>
      <w:pStyle w:val="8"/>
      <w:suff w:val="space"/>
      <w:lvlText w:val="%1.%2.%3.%4.%5"/>
      <w:lvlJc w:val="left"/>
      <w:pPr>
        <w:tabs>
          <w:tab w:val="left" w:pos="420"/>
        </w:tabs>
        <w:ind w:left="1008" w:hanging="1008"/>
      </w:pPr>
      <w:rPr>
        <w:rFonts w:hint="default" w:ascii="宋体" w:hAnsi="宋体" w:eastAsia="宋体" w:cs="宋体"/>
      </w:rPr>
    </w:lvl>
    <w:lvl w:ilvl="5" w:tentative="0">
      <w:start w:val="1"/>
      <w:numFmt w:val="decimal"/>
      <w:pStyle w:val="9"/>
      <w:lvlText w:val="%1.%2.%3.%4.%5.%6"/>
      <w:lvlJc w:val="left"/>
      <w:pPr>
        <w:ind w:left="1151" w:hanging="1151"/>
      </w:pPr>
      <w:rPr>
        <w:rFonts w:hint="default" w:ascii="宋体" w:hAnsi="宋体" w:eastAsia="宋体" w:cs="宋体"/>
      </w:rPr>
    </w:lvl>
    <w:lvl w:ilvl="6" w:tentative="0">
      <w:start w:val="1"/>
      <w:numFmt w:val="decimal"/>
      <w:pStyle w:val="10"/>
      <w:lvlText w:val="%1.%2.%3.%4.%5.%6.%7."/>
      <w:lvlJc w:val="left"/>
      <w:pPr>
        <w:ind w:left="1296" w:hanging="1296"/>
      </w:pPr>
      <w:rPr>
        <w:rFonts w:hint="default"/>
      </w:rPr>
    </w:lvl>
    <w:lvl w:ilvl="7" w:tentative="0">
      <w:start w:val="1"/>
      <w:numFmt w:val="decimal"/>
      <w:pStyle w:val="11"/>
      <w:lvlText w:val="%1.%2.%3.%4.%5.%6.%7.%8."/>
      <w:lvlJc w:val="left"/>
      <w:pPr>
        <w:ind w:left="1440" w:hanging="1440"/>
      </w:pPr>
      <w:rPr>
        <w:rFonts w:hint="default"/>
      </w:rPr>
    </w:lvl>
    <w:lvl w:ilvl="8" w:tentative="0">
      <w:start w:val="1"/>
      <w:numFmt w:val="decimal"/>
      <w:pStyle w:val="12"/>
      <w:lvlText w:val="%1.%2.%3.%4.%5.%6.%7.%8.%9."/>
      <w:lvlJc w:val="left"/>
      <w:pPr>
        <w:ind w:left="1583" w:hanging="1583"/>
      </w:pPr>
      <w:rPr>
        <w:rFonts w:hint="default"/>
      </w:rPr>
    </w:lvl>
  </w:abstractNum>
  <w:abstractNum w:abstractNumId="1">
    <w:nsid w:val="3D2C765F"/>
    <w:multiLevelType w:val="multilevel"/>
    <w:tmpl w:val="3D2C765F"/>
    <w:lvl w:ilvl="0" w:tentative="0">
      <w:start w:val="4"/>
      <w:numFmt w:val="decimal"/>
      <w:pStyle w:val="41"/>
      <w:lvlText w:val="%1"/>
      <w:lvlJc w:val="left"/>
      <w:pPr>
        <w:ind w:left="480" w:hanging="480"/>
      </w:pPr>
      <w:rPr>
        <w:rFonts w:hint="default"/>
      </w:rPr>
    </w:lvl>
    <w:lvl w:ilvl="1" w:tentative="0">
      <w:start w:val="6"/>
      <w:numFmt w:val="decimal"/>
      <w:lvlText w:val="%1.%2"/>
      <w:lvlJc w:val="left"/>
      <w:pPr>
        <w:ind w:left="720" w:hanging="480"/>
      </w:pPr>
      <w:rPr>
        <w:rFonts w:hint="default"/>
      </w:rPr>
    </w:lvl>
    <w:lvl w:ilvl="2" w:tentative="0">
      <w:start w:val="1"/>
      <w:numFmt w:val="decimal"/>
      <w:lvlText w:val="%1.%2.%3"/>
      <w:lvlJc w:val="left"/>
      <w:pPr>
        <w:ind w:left="1200" w:hanging="720"/>
      </w:pPr>
      <w:rPr>
        <w:rFonts w:hint="default"/>
      </w:rPr>
    </w:lvl>
    <w:lvl w:ilvl="3" w:tentative="0">
      <w:start w:val="1"/>
      <w:numFmt w:val="decimal"/>
      <w:lvlText w:val="%1.%2.%3.%4"/>
      <w:lvlJc w:val="left"/>
      <w:pPr>
        <w:ind w:left="1440" w:hanging="720"/>
      </w:pPr>
      <w:rPr>
        <w:rFonts w:hint="default"/>
      </w:rPr>
    </w:lvl>
    <w:lvl w:ilvl="4" w:tentative="0">
      <w:start w:val="1"/>
      <w:numFmt w:val="decimal"/>
      <w:lvlText w:val="%1.%2.%3.%4.%5"/>
      <w:lvlJc w:val="left"/>
      <w:pPr>
        <w:ind w:left="2040" w:hanging="1080"/>
      </w:pPr>
      <w:rPr>
        <w:rFonts w:hint="default"/>
      </w:rPr>
    </w:lvl>
    <w:lvl w:ilvl="5" w:tentative="0">
      <w:start w:val="1"/>
      <w:numFmt w:val="decimal"/>
      <w:lvlText w:val="%1.%2.%3.%4.%5.%6"/>
      <w:lvlJc w:val="left"/>
      <w:pPr>
        <w:ind w:left="2280" w:hanging="1080"/>
      </w:pPr>
      <w:rPr>
        <w:rFonts w:hint="default"/>
      </w:rPr>
    </w:lvl>
    <w:lvl w:ilvl="6" w:tentative="0">
      <w:start w:val="1"/>
      <w:numFmt w:val="decimal"/>
      <w:lvlText w:val="%1.%2.%3.%4.%5.%6.%7"/>
      <w:lvlJc w:val="left"/>
      <w:pPr>
        <w:ind w:left="2880" w:hanging="1440"/>
      </w:pPr>
      <w:rPr>
        <w:rFonts w:hint="default"/>
      </w:rPr>
    </w:lvl>
    <w:lvl w:ilvl="7" w:tentative="0">
      <w:start w:val="1"/>
      <w:numFmt w:val="decimal"/>
      <w:lvlText w:val="%1.%2.%3.%4.%5.%6.%7.%8"/>
      <w:lvlJc w:val="left"/>
      <w:pPr>
        <w:ind w:left="3120" w:hanging="1440"/>
      </w:pPr>
      <w:rPr>
        <w:rFonts w:hint="default"/>
      </w:rPr>
    </w:lvl>
    <w:lvl w:ilvl="8" w:tentative="0">
      <w:start w:val="1"/>
      <w:numFmt w:val="decimal"/>
      <w:lvlText w:val="%1.%2.%3.%4.%5.%6.%7.%8.%9"/>
      <w:lvlJc w:val="left"/>
      <w:pPr>
        <w:ind w:left="3720" w:hanging="1800"/>
      </w:pPr>
      <w:rPr>
        <w:rFonts w:hint="default"/>
      </w:rPr>
    </w:lvl>
  </w:abstractNum>
  <w:abstractNum w:abstractNumId="2">
    <w:nsid w:val="4EA438E5"/>
    <w:multiLevelType w:val="multilevel"/>
    <w:tmpl w:val="4EA438E5"/>
    <w:lvl w:ilvl="0" w:tentative="0">
      <w:start w:val="1"/>
      <w:numFmt w:val="decimal"/>
      <w:pStyle w:val="38"/>
      <w:lvlText w:val="%1）"/>
      <w:lvlJc w:val="left"/>
      <w:pPr>
        <w:ind w:left="1155" w:hanging="420"/>
      </w:pPr>
      <w:rPr>
        <w:rFonts w:hint="default" w:ascii="Times New Roman" w:hAnsi="Times New Roman" w:eastAsia="宋体"/>
        <w:sz w:val="21"/>
      </w:rPr>
    </w:lvl>
    <w:lvl w:ilvl="1" w:tentative="0">
      <w:start w:val="1"/>
      <w:numFmt w:val="lowerLetter"/>
      <w:lvlText w:val="%2)"/>
      <w:lvlJc w:val="left"/>
      <w:pPr>
        <w:ind w:left="1560" w:hanging="420"/>
      </w:pPr>
    </w:lvl>
    <w:lvl w:ilvl="2" w:tentative="0">
      <w:start w:val="1"/>
      <w:numFmt w:val="lowerRoman"/>
      <w:lvlText w:val="%3."/>
      <w:lvlJc w:val="right"/>
      <w:pPr>
        <w:ind w:left="1980" w:hanging="420"/>
      </w:pPr>
    </w:lvl>
    <w:lvl w:ilvl="3" w:tentative="0">
      <w:start w:val="1"/>
      <w:numFmt w:val="decimal"/>
      <w:lvlText w:val="%4."/>
      <w:lvlJc w:val="left"/>
      <w:pPr>
        <w:ind w:left="2400" w:hanging="420"/>
      </w:pPr>
    </w:lvl>
    <w:lvl w:ilvl="4" w:tentative="0">
      <w:start w:val="1"/>
      <w:numFmt w:val="lowerLetter"/>
      <w:lvlText w:val="%5)"/>
      <w:lvlJc w:val="left"/>
      <w:pPr>
        <w:ind w:left="2820" w:hanging="420"/>
      </w:pPr>
    </w:lvl>
    <w:lvl w:ilvl="5" w:tentative="0">
      <w:start w:val="1"/>
      <w:numFmt w:val="lowerRoman"/>
      <w:lvlText w:val="%6."/>
      <w:lvlJc w:val="right"/>
      <w:pPr>
        <w:ind w:left="3240" w:hanging="420"/>
      </w:pPr>
    </w:lvl>
    <w:lvl w:ilvl="6" w:tentative="0">
      <w:start w:val="1"/>
      <w:numFmt w:val="decimal"/>
      <w:lvlText w:val="%7."/>
      <w:lvlJc w:val="left"/>
      <w:pPr>
        <w:ind w:left="3660" w:hanging="420"/>
      </w:pPr>
    </w:lvl>
    <w:lvl w:ilvl="7" w:tentative="0">
      <w:start w:val="1"/>
      <w:numFmt w:val="lowerLetter"/>
      <w:lvlText w:val="%8)"/>
      <w:lvlJc w:val="left"/>
      <w:pPr>
        <w:ind w:left="4080" w:hanging="420"/>
      </w:pPr>
    </w:lvl>
    <w:lvl w:ilvl="8" w:tentative="0">
      <w:start w:val="1"/>
      <w:numFmt w:val="lowerRoman"/>
      <w:lvlText w:val="%9."/>
      <w:lvlJc w:val="right"/>
      <w:pPr>
        <w:ind w:left="4500" w:hanging="420"/>
      </w:pPr>
    </w:lvl>
  </w:abstractNum>
  <w:abstractNum w:abstractNumId="3">
    <w:nsid w:val="6B0B434B"/>
    <w:multiLevelType w:val="multilevel"/>
    <w:tmpl w:val="6B0B434B"/>
    <w:lvl w:ilvl="0" w:tentative="0">
      <w:start w:val="1"/>
      <w:numFmt w:val="lowerLetter"/>
      <w:pStyle w:val="28"/>
      <w:suff w:val="space"/>
      <w:lvlText w:val="%1）"/>
      <w:lvlJc w:val="left"/>
      <w:pPr>
        <w:tabs>
          <w:tab w:val="left" w:pos="539"/>
        </w:tabs>
        <w:ind w:left="0" w:leftChars="0" w:firstLine="540" w:firstLineChars="0"/>
      </w:pPr>
      <w:rPr>
        <w:rFonts w:hint="default"/>
        <w:color w:val="000000"/>
      </w:rPr>
    </w:lvl>
    <w:lvl w:ilvl="1" w:tentative="0">
      <w:start w:val="1"/>
      <w:numFmt w:val="lowerLetter"/>
      <w:lvlText w:val="%2)"/>
      <w:lvlJc w:val="left"/>
      <w:pPr>
        <w:ind w:left="1275" w:hanging="420"/>
      </w:pPr>
    </w:lvl>
    <w:lvl w:ilvl="2" w:tentative="0">
      <w:start w:val="10"/>
      <w:numFmt w:val="decimal"/>
      <w:lvlText w:val="%3"/>
      <w:lvlJc w:val="left"/>
      <w:pPr>
        <w:tabs>
          <w:tab w:val="left" w:pos="1725"/>
        </w:tabs>
        <w:ind w:left="1725" w:hanging="450"/>
      </w:pPr>
      <w:rPr>
        <w:rFonts w:hint="default"/>
      </w:rPr>
    </w:lvl>
    <w:lvl w:ilvl="3" w:tentative="0">
      <w:start w:val="1"/>
      <w:numFmt w:val="decimal"/>
      <w:lvlText w:val="%4."/>
      <w:lvlJc w:val="left"/>
      <w:pPr>
        <w:ind w:left="2115" w:hanging="420"/>
      </w:pPr>
    </w:lvl>
    <w:lvl w:ilvl="4" w:tentative="0">
      <w:start w:val="1"/>
      <w:numFmt w:val="lowerLetter"/>
      <w:lvlText w:val="%5)"/>
      <w:lvlJc w:val="left"/>
      <w:pPr>
        <w:ind w:left="2535" w:hanging="420"/>
      </w:pPr>
    </w:lvl>
    <w:lvl w:ilvl="5" w:tentative="0">
      <w:start w:val="1"/>
      <w:numFmt w:val="lowerRoman"/>
      <w:lvlText w:val="%6."/>
      <w:lvlJc w:val="right"/>
      <w:pPr>
        <w:ind w:left="2955" w:hanging="420"/>
      </w:pPr>
    </w:lvl>
    <w:lvl w:ilvl="6" w:tentative="0">
      <w:start w:val="1"/>
      <w:numFmt w:val="decimal"/>
      <w:lvlText w:val="%7."/>
      <w:lvlJc w:val="left"/>
      <w:pPr>
        <w:ind w:left="3375" w:hanging="420"/>
      </w:pPr>
    </w:lvl>
    <w:lvl w:ilvl="7" w:tentative="0">
      <w:start w:val="1"/>
      <w:numFmt w:val="lowerLetter"/>
      <w:lvlText w:val="%8)"/>
      <w:lvlJc w:val="left"/>
      <w:pPr>
        <w:ind w:left="3795" w:hanging="420"/>
      </w:pPr>
    </w:lvl>
    <w:lvl w:ilvl="8" w:tentative="0">
      <w:start w:val="1"/>
      <w:numFmt w:val="lowerRoman"/>
      <w:lvlText w:val="%9."/>
      <w:lvlJc w:val="right"/>
      <w:pPr>
        <w:ind w:left="4215" w:hanging="42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liN2VjNjY4NDBhMTVlMDdlZTdhMjYwZTRlMzZlZGQifQ=="/>
  </w:docVars>
  <w:rsids>
    <w:rsidRoot w:val="432732AB"/>
    <w:rsid w:val="009069FD"/>
    <w:rsid w:val="02F361E7"/>
    <w:rsid w:val="082038E6"/>
    <w:rsid w:val="0AA95014"/>
    <w:rsid w:val="0B854A02"/>
    <w:rsid w:val="0B9730BE"/>
    <w:rsid w:val="0E8D17B1"/>
    <w:rsid w:val="1282606E"/>
    <w:rsid w:val="1AAE2B7F"/>
    <w:rsid w:val="1D633558"/>
    <w:rsid w:val="26E62C07"/>
    <w:rsid w:val="28965015"/>
    <w:rsid w:val="312A5AFC"/>
    <w:rsid w:val="31913B38"/>
    <w:rsid w:val="34413FF7"/>
    <w:rsid w:val="380F3701"/>
    <w:rsid w:val="3A305C0C"/>
    <w:rsid w:val="3AB83D1C"/>
    <w:rsid w:val="3BB038C4"/>
    <w:rsid w:val="3D124E77"/>
    <w:rsid w:val="3E3F6B1A"/>
    <w:rsid w:val="409E3FCC"/>
    <w:rsid w:val="41085B9A"/>
    <w:rsid w:val="432732AB"/>
    <w:rsid w:val="44844CCF"/>
    <w:rsid w:val="450720B2"/>
    <w:rsid w:val="468E7D79"/>
    <w:rsid w:val="4BFC4E12"/>
    <w:rsid w:val="4E10505D"/>
    <w:rsid w:val="508A5BB2"/>
    <w:rsid w:val="57801914"/>
    <w:rsid w:val="596A1C5F"/>
    <w:rsid w:val="5E4A169C"/>
    <w:rsid w:val="5FB024E4"/>
    <w:rsid w:val="66461232"/>
    <w:rsid w:val="6C7415AE"/>
    <w:rsid w:val="738642C8"/>
    <w:rsid w:val="769E5DCD"/>
    <w:rsid w:val="778E1BE3"/>
    <w:rsid w:val="7A82184D"/>
    <w:rsid w:val="7C79117F"/>
    <w:rsid w:val="7D5012C4"/>
    <w:rsid w:val="7E0C09F5"/>
    <w:rsid w:val="7E595FD9"/>
    <w:rsid w:val="7FFB7F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4"/>
      <w:szCs w:val="24"/>
      <w:lang w:val="en-US" w:eastAsia="zh-CN" w:bidi="ar-SA"/>
    </w:rPr>
  </w:style>
  <w:style w:type="paragraph" w:styleId="4">
    <w:name w:val="heading 1"/>
    <w:basedOn w:val="1"/>
    <w:next w:val="1"/>
    <w:qFormat/>
    <w:uiPriority w:val="0"/>
    <w:pPr>
      <w:keepNext/>
      <w:keepLines/>
      <w:numPr>
        <w:ilvl w:val="0"/>
        <w:numId w:val="1"/>
      </w:numPr>
      <w:tabs>
        <w:tab w:val="left" w:pos="420"/>
        <w:tab w:val="clear" w:pos="0"/>
      </w:tabs>
      <w:adjustRightInd w:val="0"/>
      <w:snapToGrid w:val="0"/>
      <w:spacing w:before="100" w:beforeLines="0" w:after="100" w:afterLines="0" w:line="360" w:lineRule="auto"/>
      <w:ind w:left="432" w:hanging="432" w:firstLineChars="0"/>
      <w:outlineLvl w:val="0"/>
    </w:pPr>
    <w:rPr>
      <w:rFonts w:eastAsia="黑体"/>
      <w:b/>
      <w:bCs/>
      <w:kern w:val="44"/>
      <w:sz w:val="24"/>
      <w:szCs w:val="44"/>
    </w:rPr>
  </w:style>
  <w:style w:type="paragraph" w:styleId="5">
    <w:name w:val="heading 2"/>
    <w:basedOn w:val="1"/>
    <w:next w:val="1"/>
    <w:link w:val="26"/>
    <w:qFormat/>
    <w:uiPriority w:val="0"/>
    <w:pPr>
      <w:keepNext/>
      <w:keepLines/>
      <w:numPr>
        <w:ilvl w:val="1"/>
        <w:numId w:val="1"/>
      </w:numPr>
      <w:tabs>
        <w:tab w:val="left" w:pos="420"/>
        <w:tab w:val="clear" w:pos="0"/>
      </w:tabs>
      <w:adjustRightInd w:val="0"/>
      <w:snapToGrid w:val="0"/>
      <w:spacing w:before="160" w:beforeLines="0" w:afterLines="0" w:line="360" w:lineRule="auto"/>
      <w:ind w:left="0" w:firstLine="482" w:firstLineChars="200"/>
      <w:jc w:val="left"/>
      <w:textAlignment w:val="baseline"/>
      <w:outlineLvl w:val="1"/>
    </w:pPr>
    <w:rPr>
      <w:kern w:val="0"/>
      <w:szCs w:val="20"/>
    </w:rPr>
  </w:style>
  <w:style w:type="paragraph" w:styleId="6">
    <w:name w:val="heading 3"/>
    <w:basedOn w:val="1"/>
    <w:next w:val="1"/>
    <w:link w:val="23"/>
    <w:unhideWhenUsed/>
    <w:qFormat/>
    <w:uiPriority w:val="0"/>
    <w:pPr>
      <w:keepNext/>
      <w:keepLines/>
      <w:numPr>
        <w:ilvl w:val="2"/>
        <w:numId w:val="1"/>
      </w:numPr>
      <w:adjustRightInd w:val="0"/>
      <w:snapToGrid w:val="0"/>
      <w:spacing w:before="160" w:beforeLines="0" w:beforeAutospacing="0" w:afterLines="0" w:afterAutospacing="0" w:line="360" w:lineRule="auto"/>
      <w:ind w:left="0" w:firstLine="482" w:firstLineChars="200"/>
      <w:jc w:val="left"/>
      <w:outlineLvl w:val="2"/>
    </w:pPr>
    <w:rPr>
      <w:sz w:val="24"/>
    </w:rPr>
  </w:style>
  <w:style w:type="paragraph" w:styleId="7">
    <w:name w:val="heading 4"/>
    <w:basedOn w:val="1"/>
    <w:next w:val="1"/>
    <w:link w:val="24"/>
    <w:unhideWhenUsed/>
    <w:qFormat/>
    <w:uiPriority w:val="0"/>
    <w:pPr>
      <w:keepNext/>
      <w:keepLines/>
      <w:numPr>
        <w:ilvl w:val="3"/>
        <w:numId w:val="1"/>
      </w:numPr>
      <w:tabs>
        <w:tab w:val="left" w:pos="420"/>
        <w:tab w:val="clear" w:pos="0"/>
      </w:tabs>
      <w:adjustRightInd w:val="0"/>
      <w:snapToGrid w:val="0"/>
      <w:spacing w:before="160" w:beforeLines="0" w:beforeAutospacing="0" w:afterLines="0" w:afterAutospacing="0" w:line="360" w:lineRule="auto"/>
      <w:ind w:left="0" w:firstLine="482" w:firstLineChars="200"/>
      <w:jc w:val="left"/>
      <w:outlineLvl w:val="3"/>
    </w:pPr>
    <w:rPr>
      <w:rFonts w:ascii="Arial" w:hAnsi="Arial"/>
      <w:sz w:val="24"/>
    </w:rPr>
  </w:style>
  <w:style w:type="paragraph" w:styleId="8">
    <w:name w:val="heading 5"/>
    <w:basedOn w:val="1"/>
    <w:next w:val="1"/>
    <w:link w:val="25"/>
    <w:unhideWhenUsed/>
    <w:qFormat/>
    <w:uiPriority w:val="0"/>
    <w:pPr>
      <w:keepNext/>
      <w:keepLines/>
      <w:numPr>
        <w:ilvl w:val="4"/>
        <w:numId w:val="1"/>
      </w:numPr>
      <w:adjustRightInd w:val="0"/>
      <w:snapToGrid w:val="0"/>
      <w:spacing w:before="160" w:beforeLines="0" w:beforeAutospacing="0" w:afterLines="0" w:afterAutospacing="0" w:line="360" w:lineRule="auto"/>
      <w:ind w:left="0" w:firstLine="482" w:firstLineChars="200"/>
      <w:jc w:val="left"/>
      <w:outlineLvl w:val="4"/>
    </w:pPr>
    <w:rPr>
      <w:sz w:val="24"/>
    </w:rPr>
  </w:style>
  <w:style w:type="paragraph" w:styleId="9">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10">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11">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2">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1">
    <w:name w:val="Default Paragraph Font"/>
    <w:semiHidden/>
    <w:qFormat/>
    <w:uiPriority w:val="0"/>
  </w:style>
  <w:style w:type="table" w:default="1" w:styleId="20">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next w:val="1"/>
    <w:qFormat/>
    <w:uiPriority w:val="0"/>
    <w:pPr>
      <w:spacing w:before="240" w:after="60"/>
      <w:jc w:val="center"/>
      <w:outlineLvl w:val="0"/>
    </w:pPr>
    <w:rPr>
      <w:rFonts w:ascii="Cambria" w:hAnsi="Cambria" w:eastAsia="宋体"/>
      <w:b/>
      <w:bCs/>
      <w:sz w:val="32"/>
      <w:szCs w:val="32"/>
    </w:rPr>
  </w:style>
  <w:style w:type="paragraph" w:styleId="13">
    <w:name w:val="Date"/>
    <w:basedOn w:val="1"/>
    <w:next w:val="1"/>
    <w:qFormat/>
    <w:uiPriority w:val="0"/>
    <w:pPr>
      <w:adjustRightInd w:val="0"/>
      <w:spacing w:line="312" w:lineRule="atLeast"/>
      <w:textAlignment w:val="baseline"/>
    </w:pPr>
    <w:rPr>
      <w:rFonts w:ascii="宋体"/>
      <w:kern w:val="0"/>
      <w:sz w:val="28"/>
      <w:szCs w:val="20"/>
    </w:rPr>
  </w:style>
  <w:style w:type="paragraph" w:styleId="14">
    <w:name w:val="footer"/>
    <w:basedOn w:val="1"/>
    <w:qFormat/>
    <w:uiPriority w:val="0"/>
    <w:pPr>
      <w:tabs>
        <w:tab w:val="center" w:pos="4153"/>
        <w:tab w:val="right" w:pos="8306"/>
      </w:tabs>
      <w:snapToGrid w:val="0"/>
      <w:ind w:right="210" w:rightChars="100"/>
      <w:jc w:val="right"/>
    </w:pPr>
    <w:rPr>
      <w:sz w:val="18"/>
      <w:szCs w:val="18"/>
    </w:rPr>
  </w:style>
  <w:style w:type="paragraph" w:styleId="15">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6">
    <w:name w:val="toc 1"/>
    <w:basedOn w:val="1"/>
    <w:next w:val="1"/>
    <w:qFormat/>
    <w:uiPriority w:val="0"/>
  </w:style>
  <w:style w:type="paragraph" w:styleId="17">
    <w:name w:val="toc 2"/>
    <w:basedOn w:val="1"/>
    <w:next w:val="1"/>
    <w:qFormat/>
    <w:uiPriority w:val="0"/>
    <w:pPr>
      <w:ind w:left="420" w:leftChars="200"/>
    </w:pPr>
  </w:style>
  <w:style w:type="paragraph" w:styleId="18">
    <w:name w:val="Normal (Web)"/>
    <w:basedOn w:val="1"/>
    <w:qFormat/>
    <w:uiPriority w:val="99"/>
    <w:pPr>
      <w:widowControl/>
      <w:adjustRightInd/>
      <w:spacing w:before="100" w:beforeAutospacing="1" w:after="100" w:afterAutospacing="1" w:line="240" w:lineRule="auto"/>
      <w:jc w:val="left"/>
      <w:textAlignment w:val="auto"/>
    </w:pPr>
    <w:rPr>
      <w:rFonts w:ascii="宋体" w:hAnsi="宋体"/>
      <w:sz w:val="24"/>
      <w:szCs w:val="24"/>
    </w:rPr>
  </w:style>
  <w:style w:type="paragraph" w:styleId="19">
    <w:name w:val="Body Text First Indent"/>
    <w:basedOn w:val="2"/>
    <w:qFormat/>
    <w:uiPriority w:val="0"/>
    <w:pPr>
      <w:ind w:firstLine="420" w:firstLineChars="100"/>
    </w:pPr>
    <w:rPr>
      <w:rFonts w:ascii="Times New Roman" w:hAnsi="Times New Roman"/>
    </w:rPr>
  </w:style>
  <w:style w:type="character" w:styleId="22">
    <w:name w:val="page number"/>
    <w:basedOn w:val="21"/>
    <w:qFormat/>
    <w:uiPriority w:val="0"/>
    <w:rPr>
      <w:rFonts w:ascii="Times New Roman" w:hAnsi="Times New Roman" w:eastAsia="宋体"/>
      <w:sz w:val="18"/>
    </w:rPr>
  </w:style>
  <w:style w:type="character" w:customStyle="1" w:styleId="23">
    <w:name w:val="标题 3 Char"/>
    <w:link w:val="6"/>
    <w:qFormat/>
    <w:uiPriority w:val="0"/>
    <w:rPr>
      <w:rFonts w:eastAsia="宋体"/>
      <w:sz w:val="24"/>
    </w:rPr>
  </w:style>
  <w:style w:type="character" w:customStyle="1" w:styleId="24">
    <w:name w:val="标题 4 Char"/>
    <w:link w:val="7"/>
    <w:qFormat/>
    <w:uiPriority w:val="0"/>
    <w:rPr>
      <w:rFonts w:ascii="Arial" w:hAnsi="Arial" w:eastAsia="宋体"/>
      <w:sz w:val="24"/>
    </w:rPr>
  </w:style>
  <w:style w:type="character" w:customStyle="1" w:styleId="25">
    <w:name w:val="标题 5 Char"/>
    <w:link w:val="8"/>
    <w:qFormat/>
    <w:uiPriority w:val="0"/>
    <w:rPr>
      <w:sz w:val="24"/>
    </w:rPr>
  </w:style>
  <w:style w:type="character" w:customStyle="1" w:styleId="26">
    <w:name w:val="标题 2 Char"/>
    <w:link w:val="5"/>
    <w:qFormat/>
    <w:uiPriority w:val="0"/>
    <w:rPr>
      <w:rFonts w:eastAsia="宋体"/>
      <w:kern w:val="0"/>
      <w:sz w:val="24"/>
      <w:szCs w:val="20"/>
    </w:rPr>
  </w:style>
  <w:style w:type="paragraph" w:customStyle="1" w:styleId="27">
    <w:name w:val="样式1"/>
    <w:basedOn w:val="1"/>
    <w:qFormat/>
    <w:uiPriority w:val="0"/>
    <w:pPr>
      <w:spacing w:line="300" w:lineRule="auto"/>
    </w:pPr>
  </w:style>
  <w:style w:type="paragraph" w:customStyle="1" w:styleId="28">
    <w:name w:val="正文(编号)"/>
    <w:basedOn w:val="29"/>
    <w:qFormat/>
    <w:uiPriority w:val="0"/>
    <w:pPr>
      <w:widowControl/>
      <w:numPr>
        <w:ilvl w:val="0"/>
        <w:numId w:val="2"/>
      </w:numPr>
      <w:tabs>
        <w:tab w:val="left" w:pos="540"/>
        <w:tab w:val="clear" w:pos="539"/>
      </w:tabs>
      <w:ind w:left="0" w:firstLine="540"/>
      <w:jc w:val="left"/>
      <w:outlineLvl w:val="5"/>
    </w:pPr>
    <w:rPr>
      <w:szCs w:val="22"/>
    </w:rPr>
  </w:style>
  <w:style w:type="paragraph" w:customStyle="1" w:styleId="29">
    <w:name w:val="无缩进正文"/>
    <w:qFormat/>
    <w:uiPriority w:val="0"/>
    <w:rPr>
      <w:rFonts w:ascii="Times New Roman" w:hAnsi="Times New Roman" w:eastAsia="宋体" w:cs="Times New Roman"/>
      <w:kern w:val="2"/>
      <w:sz w:val="21"/>
      <w:szCs w:val="22"/>
      <w:lang w:val="en-US" w:eastAsia="zh-CN" w:bidi="ar-SA"/>
    </w:rPr>
  </w:style>
  <w:style w:type="paragraph" w:customStyle="1" w:styleId="30">
    <w:name w:val="封面正文"/>
    <w:qFormat/>
    <w:uiPriority w:val="0"/>
    <w:pPr>
      <w:jc w:val="both"/>
    </w:pPr>
    <w:rPr>
      <w:rFonts w:ascii="Times New Roman" w:hAnsi="Times New Roman" w:eastAsia="宋体" w:cs="Times New Roman"/>
      <w:lang w:val="en-US" w:eastAsia="zh-CN" w:bidi="ar-SA"/>
    </w:rPr>
  </w:style>
  <w:style w:type="paragraph" w:customStyle="1" w:styleId="31">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32">
    <w:name w:val="标准书眉_偶数页"/>
    <w:basedOn w:val="31"/>
    <w:next w:val="1"/>
    <w:qFormat/>
    <w:uiPriority w:val="0"/>
    <w:pPr>
      <w:jc w:val="left"/>
    </w:pPr>
  </w:style>
  <w:style w:type="paragraph" w:customStyle="1" w:styleId="33">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34">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35">
    <w:name w:val="WPSOffice手动目录 1"/>
    <w:qFormat/>
    <w:uiPriority w:val="0"/>
    <w:pPr>
      <w:ind w:leftChars="0"/>
    </w:pPr>
    <w:rPr>
      <w:rFonts w:asciiTheme="minorHAnsi" w:hAnsiTheme="minorHAnsi" w:eastAsiaTheme="minorEastAsia" w:cstheme="minorBidi"/>
      <w:sz w:val="20"/>
      <w:szCs w:val="20"/>
    </w:rPr>
  </w:style>
  <w:style w:type="paragraph" w:customStyle="1" w:styleId="36">
    <w:name w:val="WPSOffice手动目录 2"/>
    <w:qFormat/>
    <w:uiPriority w:val="0"/>
    <w:pPr>
      <w:ind w:leftChars="200"/>
    </w:pPr>
    <w:rPr>
      <w:rFonts w:asciiTheme="minorHAnsi" w:hAnsiTheme="minorHAnsi" w:eastAsiaTheme="minorEastAsia" w:cstheme="minorBidi"/>
      <w:sz w:val="20"/>
      <w:szCs w:val="20"/>
    </w:rPr>
  </w:style>
  <w:style w:type="paragraph" w:customStyle="1" w:styleId="37">
    <w:name w:val="正文(编号) 正文"/>
    <w:basedOn w:val="28"/>
    <w:qFormat/>
    <w:uiPriority w:val="0"/>
    <w:pPr>
      <w:numPr>
        <w:ilvl w:val="0"/>
        <w:numId w:val="0"/>
      </w:numPr>
      <w:tabs>
        <w:tab w:val="left" w:pos="539"/>
        <w:tab w:val="clear" w:pos="540"/>
      </w:tabs>
      <w:ind w:left="350" w:leftChars="350"/>
      <w:outlineLvl w:val="9"/>
    </w:pPr>
  </w:style>
  <w:style w:type="paragraph" w:customStyle="1" w:styleId="38">
    <w:name w:val="正文(编号)小项"/>
    <w:basedOn w:val="1"/>
    <w:qFormat/>
    <w:uiPriority w:val="0"/>
    <w:pPr>
      <w:widowControl/>
      <w:numPr>
        <w:ilvl w:val="0"/>
        <w:numId w:val="3"/>
      </w:numPr>
      <w:adjustRightInd/>
      <w:spacing w:line="240" w:lineRule="auto"/>
      <w:jc w:val="left"/>
      <w:textAlignment w:val="auto"/>
      <w:outlineLvl w:val="6"/>
    </w:pPr>
    <w:rPr>
      <w:kern w:val="2"/>
      <w:szCs w:val="22"/>
    </w:rPr>
  </w:style>
  <w:style w:type="paragraph" w:customStyle="1" w:styleId="39">
    <w:name w:val="正文注释"/>
    <w:basedOn w:val="1"/>
    <w:next w:val="1"/>
    <w:qFormat/>
    <w:uiPriority w:val="0"/>
    <w:pPr>
      <w:widowControl/>
      <w:adjustRightInd/>
      <w:spacing w:line="240" w:lineRule="auto"/>
      <w:ind w:left="400" w:leftChars="200" w:hanging="200" w:hangingChars="200"/>
      <w:jc w:val="left"/>
      <w:textAlignment w:val="auto"/>
    </w:pPr>
    <w:rPr>
      <w:spacing w:val="8"/>
      <w:kern w:val="2"/>
      <w:sz w:val="18"/>
      <w:szCs w:val="21"/>
    </w:rPr>
  </w:style>
  <w:style w:type="paragraph" w:styleId="40">
    <w:name w:val="List Paragraph"/>
    <w:basedOn w:val="1"/>
    <w:qFormat/>
    <w:uiPriority w:val="34"/>
    <w:pPr>
      <w:ind w:firstLine="420" w:firstLineChars="200"/>
    </w:pPr>
  </w:style>
  <w:style w:type="paragraph" w:customStyle="1" w:styleId="41">
    <w:name w:val="正文表标题"/>
    <w:next w:val="1"/>
    <w:qFormat/>
    <w:uiPriority w:val="0"/>
    <w:pPr>
      <w:numPr>
        <w:ilvl w:val="0"/>
        <w:numId w:val="4"/>
      </w:numPr>
      <w:jc w:val="center"/>
    </w:pPr>
    <w:rPr>
      <w:rFonts w:ascii="黑体" w:hAnsi="Times New Roman" w:eastAsia="黑体" w:cs="Times New Roman"/>
      <w:b/>
      <w:sz w:val="21"/>
      <w:lang w:val="en-US" w:eastAsia="zh-CN" w:bidi="ar-SA"/>
    </w:rPr>
  </w:style>
  <w:style w:type="paragraph" w:customStyle="1" w:styleId="4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43">
    <w:name w:val="段"/>
    <w:qFormat/>
    <w:uiPriority w:val="0"/>
    <w:pPr>
      <w:autoSpaceDE w:val="0"/>
      <w:autoSpaceDN w:val="0"/>
      <w:ind w:firstLine="420" w:firstLineChars="200"/>
      <w:jc w:val="both"/>
    </w:pPr>
    <w:rPr>
      <w:rFonts w:ascii="宋体" w:hAnsi="Times New Roman" w:eastAsia="宋体" w:cs="Times New Roman"/>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73</Pages>
  <Words>41927</Words>
  <Characters>43896</Characters>
  <Lines>0</Lines>
  <Paragraphs>0</Paragraphs>
  <TotalTime>0</TotalTime>
  <ScaleCrop>false</ScaleCrop>
  <LinksUpToDate>false</LinksUpToDate>
  <CharactersWithSpaces>49927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2023-04-25T03:42:00Z</dcterms:created>
  <dc:creator>WPS_1659022272</dc:creator>
  <cp:lastModifiedBy>M</cp:lastModifiedBy>
  <dcterms:modified xsi:type="dcterms:W3CDTF">2024-09-26T10:20:24Z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DE0228F4988044B5A217267AAD3643B0_11</vt:lpwstr>
  </property>
</Properties>
</file>