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eastAsia="zh-CN"/>
        </w:rPr>
      </w:pPr>
      <w:r>
        <w:rPr>
          <w:rFonts w:hint="eastAsia"/>
          <w:b/>
          <w:bCs/>
          <w:sz w:val="28"/>
          <w:szCs w:val="28"/>
          <w:lang w:eastAsia="zh-CN"/>
        </w:rPr>
        <w:t>开关</w:t>
      </w:r>
      <w:bookmarkStart w:id="5" w:name="_GoBack"/>
      <w:bookmarkEnd w:id="5"/>
      <w:r>
        <w:rPr>
          <w:rFonts w:hint="eastAsia"/>
          <w:b/>
          <w:bCs/>
          <w:sz w:val="28"/>
          <w:szCs w:val="28"/>
          <w:lang w:eastAsia="zh-CN"/>
        </w:rPr>
        <w:t>柜一体化集控装置项目测试技术规范书</w:t>
      </w:r>
    </w:p>
    <w:p/>
    <w:p>
      <w:pPr>
        <w:pStyle w:val="7"/>
        <w:spacing w:before="312"/>
        <w:outlineLvl w:val="0"/>
        <w:rPr>
          <w:rFonts w:ascii="黑体" w:hAnsi="黑体" w:eastAsia="黑体" w:cs="黑体"/>
          <w:sz w:val="28"/>
          <w:szCs w:val="28"/>
        </w:rPr>
      </w:pPr>
      <w:bookmarkStart w:id="0" w:name="_Toc16459"/>
      <w:r>
        <w:rPr>
          <w:rFonts w:hint="eastAsia" w:ascii="黑体" w:hAnsi="黑体" w:eastAsia="黑体" w:cs="黑体"/>
          <w:sz w:val="28"/>
          <w:szCs w:val="28"/>
        </w:rPr>
        <w:t>1  标的概况</w:t>
      </w:r>
      <w:bookmarkEnd w:id="0"/>
      <w:bookmarkStart w:id="1" w:name="_Toc7301"/>
      <w:bookmarkStart w:id="2" w:name="_Toc17049"/>
    </w:p>
    <w:p>
      <w:pPr>
        <w:adjustRightInd w:val="0"/>
        <w:snapToGrid w:val="0"/>
        <w:spacing w:line="360" w:lineRule="auto"/>
        <w:outlineLvl w:val="0"/>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rPr>
        <w:t>标的名称：</w:t>
      </w:r>
      <w:bookmarkEnd w:id="1"/>
      <w:bookmarkEnd w:id="2"/>
      <w:r>
        <w:rPr>
          <w:rFonts w:hint="eastAsia"/>
          <w:b/>
          <w:bCs/>
          <w:sz w:val="28"/>
          <w:szCs w:val="28"/>
          <w:lang w:eastAsia="zh-CN"/>
        </w:rPr>
        <w:t>开关柜一体化集控装置项目</w:t>
      </w:r>
    </w:p>
    <w:p>
      <w:pPr>
        <w:adjustRightInd w:val="0"/>
        <w:snapToGrid w:val="0"/>
        <w:spacing w:line="360" w:lineRule="auto"/>
        <w:outlineLvl w:val="0"/>
        <w:rPr>
          <w:rFonts w:hint="eastAsia" w:asciiTheme="minorEastAsia" w:hAnsiTheme="minorEastAsia" w:eastAsiaTheme="minorEastAsia" w:cstheme="minorEastAsia"/>
          <w:color w:val="000000"/>
          <w:sz w:val="24"/>
          <w:lang w:eastAsia="zh-CN"/>
        </w:rPr>
      </w:pPr>
      <w:bookmarkStart w:id="3" w:name="_Toc22746"/>
      <w:bookmarkStart w:id="4" w:name="_Toc30787"/>
      <w:r>
        <w:rPr>
          <w:rFonts w:hint="eastAsia" w:asciiTheme="minorEastAsia" w:hAnsiTheme="minorEastAsia" w:eastAsiaTheme="minorEastAsia" w:cstheme="minorEastAsia"/>
          <w:color w:val="000000"/>
          <w:sz w:val="24"/>
        </w:rPr>
        <w:t>实施计划名称：</w:t>
      </w:r>
      <w:bookmarkEnd w:id="3"/>
      <w:bookmarkEnd w:id="4"/>
      <w:r>
        <w:rPr>
          <w:rFonts w:hint="eastAsia"/>
          <w:b/>
          <w:bCs/>
          <w:sz w:val="28"/>
          <w:szCs w:val="28"/>
          <w:lang w:eastAsia="zh-CN"/>
        </w:rPr>
        <w:t>开关柜一体化集控装置项目</w:t>
      </w:r>
    </w:p>
    <w:p>
      <w:pPr>
        <w:pStyle w:val="7"/>
        <w:spacing w:before="312"/>
        <w:outlineLvl w:val="0"/>
        <w:rPr>
          <w:rFonts w:hint="eastAsia" w:ascii="黑体" w:hAnsi="黑体" w:eastAsia="黑体" w:cs="黑体"/>
          <w:sz w:val="28"/>
          <w:szCs w:val="28"/>
          <w:lang w:eastAsia="zh-CN"/>
        </w:rPr>
      </w:pPr>
      <w:r>
        <w:rPr>
          <w:rFonts w:hint="eastAsia" w:ascii="黑体" w:hAnsi="黑体" w:eastAsia="黑体" w:cs="黑体"/>
          <w:sz w:val="28"/>
          <w:szCs w:val="28"/>
          <w:lang w:val="en-US" w:eastAsia="zh-CN"/>
        </w:rPr>
        <w:t>2</w:t>
      </w:r>
      <w:r>
        <w:rPr>
          <w:rFonts w:hint="eastAsia" w:ascii="黑体" w:hAnsi="黑体" w:eastAsia="黑体" w:cs="黑体"/>
          <w:sz w:val="28"/>
          <w:szCs w:val="28"/>
        </w:rPr>
        <w:t xml:space="preserve"> 标的</w:t>
      </w:r>
      <w:r>
        <w:rPr>
          <w:rFonts w:hint="eastAsia" w:ascii="黑体" w:hAnsi="黑体" w:eastAsia="黑体" w:cs="黑体"/>
          <w:sz w:val="28"/>
          <w:szCs w:val="28"/>
          <w:lang w:eastAsia="zh-CN"/>
        </w:rPr>
        <w:t>说明</w:t>
      </w:r>
    </w:p>
    <w:p>
      <w:pPr>
        <w:pStyle w:val="8"/>
        <w:numPr>
          <w:ilvl w:val="0"/>
          <w:numId w:val="0"/>
        </w:numPr>
        <w:spacing w:afterLines="50" w:line="240" w:lineRule="auto"/>
        <w:rPr>
          <w:rFonts w:hint="eastAsia" w:ascii="宋体" w:hAnsi="宋体" w:eastAsiaTheme="minorEastAsia" w:cstheme="minorBidi"/>
          <w:kern w:val="2"/>
          <w:sz w:val="24"/>
          <w:szCs w:val="24"/>
          <w:lang w:val="en-US" w:eastAsia="zh-CN" w:bidi="ar-SA"/>
        </w:rPr>
      </w:pPr>
      <w:r>
        <w:rPr>
          <w:rFonts w:hint="eastAsia" w:ascii="宋体" w:hAnsi="宋体" w:eastAsiaTheme="minorEastAsia" w:cstheme="minorBidi"/>
          <w:kern w:val="2"/>
          <w:sz w:val="24"/>
          <w:szCs w:val="24"/>
          <w:lang w:val="en-US" w:eastAsia="zh-CN" w:bidi="ar-SA"/>
        </w:rPr>
        <w:t>本项目</w:t>
      </w:r>
      <w:r>
        <w:rPr>
          <w:rFonts w:hint="eastAsia" w:ascii="宋体" w:hAnsi="宋体" w:cstheme="minorBidi"/>
          <w:kern w:val="2"/>
          <w:sz w:val="24"/>
          <w:szCs w:val="24"/>
          <w:lang w:val="en-US" w:eastAsia="zh-CN" w:bidi="ar-SA"/>
        </w:rPr>
        <w:t>要求按提供的材料和图纸进行产品加工，在安装加工实施</w:t>
      </w:r>
      <w:r>
        <w:rPr>
          <w:rFonts w:hint="eastAsia" w:ascii="宋体" w:hAnsi="宋体" w:eastAsiaTheme="minorEastAsia" w:cstheme="minorBidi"/>
          <w:kern w:val="2"/>
          <w:sz w:val="24"/>
          <w:szCs w:val="24"/>
          <w:lang w:val="en-US" w:eastAsia="zh-CN" w:bidi="ar-SA"/>
        </w:rPr>
        <w:t>后</w:t>
      </w:r>
      <w:r>
        <w:rPr>
          <w:rFonts w:hint="eastAsia" w:ascii="宋体" w:hAnsi="宋体" w:cstheme="minorBidi"/>
          <w:kern w:val="2"/>
          <w:sz w:val="24"/>
          <w:szCs w:val="24"/>
          <w:lang w:val="en-US" w:eastAsia="zh-CN" w:bidi="ar-SA"/>
        </w:rPr>
        <w:t>要求</w:t>
      </w:r>
      <w:r>
        <w:rPr>
          <w:rFonts w:hint="eastAsia" w:ascii="宋体" w:hAnsi="宋体" w:eastAsiaTheme="minorEastAsia" w:cstheme="minorBidi"/>
          <w:kern w:val="2"/>
          <w:sz w:val="24"/>
          <w:szCs w:val="24"/>
          <w:lang w:val="en-US" w:eastAsia="zh-CN" w:bidi="ar-SA"/>
        </w:rPr>
        <w:t>首先</w:t>
      </w:r>
      <w:r>
        <w:rPr>
          <w:rFonts w:hint="eastAsia" w:ascii="宋体" w:hAnsi="宋体" w:cstheme="minorBidi"/>
          <w:kern w:val="2"/>
          <w:sz w:val="24"/>
          <w:szCs w:val="24"/>
          <w:lang w:val="en-US" w:eastAsia="zh-CN" w:bidi="ar-SA"/>
        </w:rPr>
        <w:t>能</w:t>
      </w:r>
      <w:r>
        <w:rPr>
          <w:rFonts w:hint="eastAsia" w:ascii="宋体" w:hAnsi="宋体" w:eastAsiaTheme="minorEastAsia" w:cstheme="minorBidi"/>
          <w:kern w:val="2"/>
          <w:sz w:val="24"/>
          <w:szCs w:val="24"/>
          <w:lang w:val="en-US" w:eastAsia="zh-CN" w:bidi="ar-SA"/>
        </w:rPr>
        <w:t>解决以往传统的方式，使其有精致的科技感，操作简单，人机工程优秀。</w:t>
      </w:r>
    </w:p>
    <w:p>
      <w:pPr>
        <w:pStyle w:val="9"/>
        <w:ind w:left="0" w:leftChars="0" w:firstLine="480" w:firstLineChars="200"/>
        <w:rPr>
          <w:rFonts w:hint="eastAsia" w:ascii="宋体" w:hAnsi="宋体" w:eastAsiaTheme="minorEastAsia" w:cstheme="minorBidi"/>
          <w:kern w:val="2"/>
          <w:sz w:val="24"/>
          <w:szCs w:val="24"/>
          <w:highlight w:val="none"/>
          <w:lang w:val="en-US" w:eastAsia="zh-CN" w:bidi="ar-SA"/>
        </w:rPr>
      </w:pPr>
      <w:r>
        <w:rPr>
          <w:rFonts w:hint="eastAsia" w:ascii="宋体" w:hAnsi="宋体" w:eastAsia="宋体" w:cs="宋体"/>
          <w:sz w:val="24"/>
          <w:szCs w:val="24"/>
          <w:lang w:val="en-US" w:eastAsia="zh-CN"/>
        </w:rPr>
        <w:t>原</w:t>
      </w:r>
      <w:r>
        <w:rPr>
          <w:rFonts w:hint="eastAsia" w:ascii="宋体" w:hAnsi="宋体" w:eastAsia="宋体" w:cs="宋体"/>
          <w:sz w:val="24"/>
          <w:szCs w:val="24"/>
        </w:rPr>
        <w:t>有的开关柜在面板上设有仪表、继保、</w:t>
      </w:r>
      <w:r>
        <w:rPr>
          <w:rFonts w:hint="eastAsia" w:ascii="宋体" w:hAnsi="宋体" w:eastAsia="宋体" w:cs="宋体"/>
          <w:sz w:val="24"/>
          <w:szCs w:val="24"/>
          <w:lang w:val="en-US" w:eastAsia="zh-CN"/>
        </w:rPr>
        <w:t>远方就地和合分闸</w:t>
      </w:r>
      <w:r>
        <w:rPr>
          <w:rFonts w:hint="eastAsia" w:ascii="宋体" w:hAnsi="宋体" w:eastAsia="宋体" w:cs="宋体"/>
          <w:sz w:val="24"/>
          <w:szCs w:val="24"/>
        </w:rPr>
        <w:t>转换开关、压板、带电显示器、温湿度控制器、指示灯等多个显示和控制界面，由于现有的中置开关柜没有统一的标准，每个厂家的器件均不兼容，所以从开关柜面板到低压箱的端子排与合分闸控制回路必须进行独立的电气设计和接线工作，这是一个十分庞大的工作，不仅需要消耗大量的电线电缆，同时对接线操作人员的专业性和细致性要求非常高，对后期的线路校对也提出了非常高的要求</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装置</w:t>
      </w:r>
      <w:r>
        <w:rPr>
          <w:rFonts w:hint="eastAsia" w:ascii="宋体" w:hAnsi="宋体" w:eastAsia="宋体" w:cs="宋体"/>
          <w:sz w:val="24"/>
          <w:szCs w:val="24"/>
          <w:highlight w:val="none"/>
        </w:rPr>
        <w:t>上远方就地</w:t>
      </w:r>
      <w:r>
        <w:rPr>
          <w:rFonts w:hint="eastAsia" w:ascii="宋体" w:hAnsi="宋体" w:eastAsia="宋体" w:cs="宋体"/>
          <w:sz w:val="24"/>
          <w:szCs w:val="24"/>
          <w:highlight w:val="none"/>
          <w:lang w:val="en-US" w:eastAsia="zh-CN"/>
        </w:rPr>
        <w:t>与合闸分闸两个</w:t>
      </w:r>
      <w:r>
        <w:rPr>
          <w:rFonts w:hint="eastAsia" w:ascii="宋体" w:hAnsi="宋体" w:eastAsia="宋体" w:cs="宋体"/>
          <w:sz w:val="24"/>
          <w:szCs w:val="24"/>
          <w:highlight w:val="none"/>
        </w:rPr>
        <w:t>转换开关，</w:t>
      </w:r>
      <w:r>
        <w:rPr>
          <w:rFonts w:hint="eastAsia" w:ascii="宋体" w:hAnsi="宋体" w:eastAsia="宋体" w:cs="宋体"/>
          <w:sz w:val="24"/>
          <w:szCs w:val="24"/>
          <w:highlight w:val="none"/>
          <w:lang w:val="en-US" w:eastAsia="zh-CN"/>
        </w:rPr>
        <w:t>形状一样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占用空间，成本也增加。升级后</w:t>
      </w:r>
      <w:r>
        <w:rPr>
          <w:rFonts w:hint="eastAsia" w:ascii="宋体" w:hAnsi="宋体" w:eastAsia="宋体" w:cs="宋体"/>
          <w:sz w:val="24"/>
          <w:szCs w:val="24"/>
          <w:highlight w:val="none"/>
        </w:rPr>
        <w:t>把远方就地转换开关功能直接并入合分闸转换开关里面(一</w:t>
      </w:r>
      <w:r>
        <w:rPr>
          <w:rFonts w:hint="eastAsia" w:ascii="宋体" w:hAnsi="宋体" w:eastAsia="宋体" w:cs="宋体"/>
          <w:sz w:val="24"/>
          <w:szCs w:val="24"/>
          <w:highlight w:val="none"/>
          <w:lang w:val="en-US" w:eastAsia="zh-CN"/>
        </w:rPr>
        <w:t>个</w:t>
      </w:r>
      <w:r>
        <w:rPr>
          <w:rFonts w:hint="eastAsia" w:ascii="宋体" w:hAnsi="宋体" w:eastAsia="宋体" w:cs="宋体"/>
          <w:sz w:val="24"/>
          <w:szCs w:val="24"/>
          <w:highlight w:val="none"/>
        </w:rPr>
        <w:t>转换开关实现远方就地及合分闸功能，</w:t>
      </w:r>
      <w:r>
        <w:rPr>
          <w:rFonts w:hint="eastAsia" w:ascii="宋体" w:hAnsi="宋体" w:eastAsia="宋体" w:cs="宋体"/>
          <w:sz w:val="24"/>
          <w:szCs w:val="24"/>
          <w:highlight w:val="none"/>
          <w:lang w:val="en-US" w:eastAsia="zh-CN"/>
        </w:rPr>
        <w:t>这样</w:t>
      </w:r>
      <w:r>
        <w:rPr>
          <w:rFonts w:hint="eastAsia" w:ascii="宋体" w:hAnsi="宋体" w:eastAsia="宋体" w:cs="宋体"/>
          <w:sz w:val="24"/>
          <w:szCs w:val="24"/>
          <w:highlight w:val="none"/>
        </w:rPr>
        <w:t>节约成本与空间)。目的在于提供一种大大节省接线工作量及成本，包括提高接线正确率的开关柜一体化集控装置。</w:t>
      </w:r>
      <w:r>
        <w:rPr>
          <w:rFonts w:hint="eastAsia" w:ascii="宋体" w:hAnsi="宋体" w:eastAsia="宋体" w:cs="宋体"/>
          <w:sz w:val="24"/>
          <w:szCs w:val="24"/>
          <w:highlight w:val="none"/>
          <w:lang w:val="en-US" w:eastAsia="zh-CN"/>
        </w:rPr>
        <w:t>把现有两种功能的两个</w:t>
      </w:r>
      <w:r>
        <w:rPr>
          <w:rFonts w:hint="eastAsia" w:ascii="宋体" w:hAnsi="宋体" w:eastAsia="宋体" w:cs="宋体"/>
          <w:sz w:val="24"/>
          <w:szCs w:val="24"/>
          <w:highlight w:val="none"/>
        </w:rPr>
        <w:t>转换开关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用一个转换开关来实现两种功能。</w:t>
      </w:r>
      <w:r>
        <w:rPr>
          <w:rFonts w:hint="eastAsia" w:ascii="宋体" w:hAnsi="宋体" w:eastAsiaTheme="minorEastAsia" w:cstheme="minorBidi"/>
          <w:kern w:val="2"/>
          <w:sz w:val="24"/>
          <w:szCs w:val="24"/>
          <w:highlight w:val="none"/>
          <w:lang w:val="en-US" w:eastAsia="zh-CN" w:bidi="ar-SA"/>
        </w:rPr>
        <w:t xml:space="preserve"> </w:t>
      </w:r>
    </w:p>
    <w:p>
      <w:pPr>
        <w:pStyle w:val="9"/>
        <w:ind w:left="0" w:leftChars="0" w:firstLine="480" w:firstLineChars="200"/>
        <w:rPr>
          <w:rFonts w:hint="eastAsia" w:asciiTheme="minorEastAsia" w:hAnsiTheme="minorEastAsia" w:eastAsiaTheme="minorEastAsia" w:cstheme="minorEastAsia"/>
          <w:color w:val="000000"/>
          <w:sz w:val="24"/>
          <w:lang w:eastAsia="zh-CN"/>
        </w:rPr>
      </w:pPr>
      <w:r>
        <w:rPr>
          <w:rFonts w:hint="eastAsia" w:ascii="宋体" w:hAnsi="宋体" w:eastAsiaTheme="minorEastAsia" w:cstheme="minorBidi"/>
          <w:kern w:val="2"/>
          <w:sz w:val="24"/>
          <w:szCs w:val="24"/>
          <w:lang w:val="en-US" w:eastAsia="zh-CN" w:bidi="ar-SA"/>
        </w:rPr>
        <w:t xml:space="preserve">   </w:t>
      </w:r>
      <w:r>
        <w:rPr>
          <w:rFonts w:hint="eastAsia" w:asciiTheme="minorEastAsia" w:hAnsiTheme="minorEastAsia" w:eastAsiaTheme="minorEastAsia" w:cstheme="minorEastAsia"/>
          <w:color w:val="000000"/>
          <w:sz w:val="24"/>
          <w:lang w:eastAsia="zh-CN"/>
        </w:rPr>
        <w:t xml:space="preserve">                                                         </w:t>
      </w:r>
    </w:p>
    <w:p>
      <w:pPr>
        <w:adjustRightInd w:val="0"/>
        <w:snapToGrid w:val="0"/>
        <w:spacing w:line="360" w:lineRule="auto"/>
        <w:outlineLvl w:val="0"/>
        <w:rPr>
          <w:rFonts w:hint="eastAsia" w:ascii="黑体" w:hAnsi="黑体" w:eastAsia="黑体" w:cs="黑体"/>
          <w:sz w:val="28"/>
          <w:szCs w:val="28"/>
        </w:rPr>
      </w:pPr>
      <w:r>
        <w:rPr>
          <w:rFonts w:hint="eastAsia" w:ascii="黑体" w:hAnsi="黑体" w:eastAsia="黑体" w:cs="黑体"/>
          <w:sz w:val="28"/>
          <w:szCs w:val="28"/>
          <w:lang w:val="en-US" w:eastAsia="zh-CN"/>
        </w:rPr>
        <w:t xml:space="preserve">3 </w:t>
      </w:r>
      <w:r>
        <w:rPr>
          <w:rFonts w:hint="eastAsia" w:ascii="黑体" w:hAnsi="黑体" w:eastAsia="黑体" w:cs="黑体"/>
          <w:sz w:val="28"/>
          <w:szCs w:val="28"/>
        </w:rPr>
        <w:t>项目要求</w:t>
      </w:r>
    </w:p>
    <w:p>
      <w:pPr>
        <w:jc w:val="left"/>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要求通过以下测试项目并给出相应费用和测试结果</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楷体" w:hAnsi="楷体" w:eastAsia="楷体" w:cs="楷体"/>
                <w:b/>
                <w:bCs/>
                <w:i w:val="0"/>
                <w:iCs w:val="0"/>
                <w:color w:val="000000"/>
                <w:kern w:val="0"/>
                <w:sz w:val="24"/>
                <w:szCs w:val="24"/>
                <w:u w:val="none"/>
                <w:lang w:val="en-US" w:eastAsia="zh-CN" w:bidi="ar"/>
              </w:rPr>
              <w:t>序号</w:t>
            </w:r>
          </w:p>
        </w:tc>
        <w:tc>
          <w:tcPr>
            <w:tcW w:w="2130" w:type="dxa"/>
            <w:vAlign w:val="center"/>
          </w:tcPr>
          <w:p>
            <w:pPr>
              <w:keepNext w:val="0"/>
              <w:keepLines w:val="0"/>
              <w:widowControl/>
              <w:suppressLineNumbers w:val="0"/>
              <w:jc w:val="center"/>
              <w:textAlignment w:val="center"/>
              <w:rPr>
                <w:vertAlign w:val="baseline"/>
              </w:rPr>
            </w:pPr>
            <w:r>
              <w:rPr>
                <w:rFonts w:hint="eastAsia" w:ascii="楷体" w:hAnsi="楷体" w:eastAsia="楷体" w:cs="楷体"/>
                <w:b/>
                <w:bCs/>
                <w:i w:val="0"/>
                <w:iCs w:val="0"/>
                <w:color w:val="000000"/>
                <w:kern w:val="0"/>
                <w:sz w:val="24"/>
                <w:szCs w:val="24"/>
                <w:u w:val="none"/>
                <w:lang w:val="en-US" w:eastAsia="zh-CN" w:bidi="ar"/>
              </w:rPr>
              <w:t>检测项目名称</w:t>
            </w:r>
          </w:p>
        </w:tc>
        <w:tc>
          <w:tcPr>
            <w:tcW w:w="2131" w:type="dxa"/>
            <w:vAlign w:val="center"/>
          </w:tcPr>
          <w:p>
            <w:pPr>
              <w:keepNext w:val="0"/>
              <w:keepLines w:val="0"/>
              <w:widowControl/>
              <w:suppressLineNumbers w:val="0"/>
              <w:jc w:val="center"/>
              <w:textAlignment w:val="center"/>
              <w:rPr>
                <w:vertAlign w:val="baseline"/>
              </w:rPr>
            </w:pPr>
            <w:r>
              <w:rPr>
                <w:rFonts w:hint="eastAsia" w:ascii="楷体" w:hAnsi="楷体" w:eastAsia="楷体" w:cs="楷体"/>
                <w:b/>
                <w:bCs/>
                <w:i w:val="0"/>
                <w:iCs w:val="0"/>
                <w:color w:val="000000"/>
                <w:kern w:val="0"/>
                <w:sz w:val="24"/>
                <w:szCs w:val="24"/>
                <w:u w:val="none"/>
                <w:lang w:val="en-US" w:eastAsia="zh-CN" w:bidi="ar"/>
              </w:rPr>
              <w:t>序号</w:t>
            </w:r>
          </w:p>
        </w:tc>
        <w:tc>
          <w:tcPr>
            <w:tcW w:w="2131" w:type="dxa"/>
            <w:vAlign w:val="center"/>
          </w:tcPr>
          <w:p>
            <w:pPr>
              <w:keepNext w:val="0"/>
              <w:keepLines w:val="0"/>
              <w:widowControl/>
              <w:suppressLineNumbers w:val="0"/>
              <w:jc w:val="center"/>
              <w:textAlignment w:val="center"/>
              <w:rPr>
                <w:vertAlign w:val="baseline"/>
              </w:rPr>
            </w:pPr>
            <w:r>
              <w:rPr>
                <w:rFonts w:hint="eastAsia" w:ascii="楷体" w:hAnsi="楷体" w:eastAsia="楷体" w:cs="楷体"/>
                <w:b/>
                <w:bCs/>
                <w:i w:val="0"/>
                <w:iCs w:val="0"/>
                <w:color w:val="000000"/>
                <w:kern w:val="0"/>
                <w:sz w:val="24"/>
                <w:szCs w:val="24"/>
                <w:u w:val="none"/>
                <w:lang w:val="en-US" w:eastAsia="zh-CN" w:bidi="ar"/>
              </w:rPr>
              <w:t>检测项目名称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522" w:type="dxa"/>
            <w:gridSpan w:val="4"/>
            <w:vAlign w:val="center"/>
          </w:tcPr>
          <w:p>
            <w:pPr>
              <w:keepNext w:val="0"/>
              <w:keepLines w:val="0"/>
              <w:widowControl/>
              <w:suppressLineNumbers w:val="0"/>
              <w:jc w:val="left"/>
              <w:textAlignment w:val="center"/>
              <w:rPr>
                <w:vertAlign w:val="baseline"/>
              </w:rPr>
            </w:pPr>
            <w:r>
              <w:rPr>
                <w:rFonts w:hint="eastAsia" w:ascii="楷体" w:hAnsi="楷体" w:eastAsia="楷体" w:cs="楷体"/>
                <w:b/>
                <w:bCs/>
                <w:i w:val="0"/>
                <w:iCs w:val="0"/>
                <w:color w:val="000000"/>
                <w:kern w:val="0"/>
                <w:sz w:val="26"/>
                <w:szCs w:val="26"/>
                <w:u w:val="none"/>
                <w:lang w:val="en-US" w:eastAsia="zh-CN" w:bidi="ar"/>
              </w:rPr>
              <w:t>电气性能及安全检测项目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1</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结构及外观检查</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9</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振动响应检验(不超过1h)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2</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基本性能检验（包含动态模拟指示功能、带电显示和闭锁功能、温湿度监控功能等）</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10</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振动耐久检验(不超过1h)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3</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绝缘电阻检验</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11</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冲击响应检验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4</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介质强度检验</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12</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冲击耐久检验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5</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冲击电压检验</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13</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碰撞检验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6</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低温检验（2小时）</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14</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恒定湿热检验(48小时)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7</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高温检验（2小时）</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15</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交变湿热检验(48小时)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8</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辅助激励量变化对性能的影响检验（AC220V±15%）</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16</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外壳防护等级检验（室内及遮蔽场所为IP31，户外为IP55）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522" w:type="dxa"/>
            <w:gridSpan w:val="4"/>
            <w:vAlign w:val="center"/>
          </w:tcPr>
          <w:p>
            <w:pPr>
              <w:keepNext w:val="0"/>
              <w:keepLines w:val="0"/>
              <w:widowControl/>
              <w:suppressLineNumbers w:val="0"/>
              <w:jc w:val="left"/>
              <w:textAlignment w:val="center"/>
              <w:rPr>
                <w:vertAlign w:val="baseline"/>
              </w:rPr>
            </w:pPr>
            <w:r>
              <w:rPr>
                <w:rFonts w:hint="eastAsia" w:ascii="楷体" w:hAnsi="楷体" w:eastAsia="楷体" w:cs="楷体"/>
                <w:b/>
                <w:bCs/>
                <w:i w:val="0"/>
                <w:iCs w:val="0"/>
                <w:color w:val="000000"/>
                <w:kern w:val="0"/>
                <w:sz w:val="26"/>
                <w:szCs w:val="26"/>
                <w:u w:val="none"/>
                <w:lang w:val="en-US" w:eastAsia="zh-CN" w:bidi="ar"/>
              </w:rPr>
              <w:t>EMC检测项目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1</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静电放电抗扰度检验</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6</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工频磁场抗扰度检验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2</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射频电磁场辐射抗扰度检验</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7</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脉冲磁场抗扰度检验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3</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电快速瞬变脉冲群抗扰度检验</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8</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阻尼振荡磁场抗扰度检验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4</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浪涌（冲击）抗扰度检验</w:t>
            </w:r>
          </w:p>
        </w:tc>
        <w:tc>
          <w:tcPr>
            <w:tcW w:w="2131"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9</w:t>
            </w:r>
          </w:p>
        </w:tc>
        <w:tc>
          <w:tcPr>
            <w:tcW w:w="2131"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电压暂降、短时中断抗扰度检验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30" w:type="dxa"/>
            <w:vAlign w:val="center"/>
          </w:tcPr>
          <w:p>
            <w:pPr>
              <w:keepNext w:val="0"/>
              <w:keepLines w:val="0"/>
              <w:widowControl/>
              <w:suppressLineNumbers w:val="0"/>
              <w:jc w:val="center"/>
              <w:textAlignment w:val="center"/>
              <w:rPr>
                <w:vertAlign w:val="baseline"/>
              </w:rPr>
            </w:pPr>
            <w:r>
              <w:rPr>
                <w:rFonts w:hint="eastAsia" w:ascii="宋体" w:hAnsi="宋体" w:eastAsia="宋体" w:cs="宋体"/>
                <w:i w:val="0"/>
                <w:iCs w:val="0"/>
                <w:color w:val="000000"/>
                <w:kern w:val="0"/>
                <w:sz w:val="21"/>
                <w:szCs w:val="21"/>
                <w:u w:val="none"/>
                <w:lang w:val="en-US" w:eastAsia="zh-CN" w:bidi="ar"/>
              </w:rPr>
              <w:t>5</w:t>
            </w:r>
          </w:p>
        </w:tc>
        <w:tc>
          <w:tcPr>
            <w:tcW w:w="2130" w:type="dxa"/>
            <w:vAlign w:val="center"/>
          </w:tcPr>
          <w:p>
            <w:pPr>
              <w:keepNext w:val="0"/>
              <w:keepLines w:val="0"/>
              <w:widowControl/>
              <w:suppressLineNumbers w:val="0"/>
              <w:jc w:val="both"/>
              <w:textAlignment w:val="center"/>
              <w:rPr>
                <w:vertAlign w:val="baseline"/>
              </w:rPr>
            </w:pPr>
            <w:r>
              <w:rPr>
                <w:rFonts w:hint="eastAsia" w:ascii="宋体" w:hAnsi="宋体" w:eastAsia="宋体" w:cs="宋体"/>
                <w:i w:val="0"/>
                <w:iCs w:val="0"/>
                <w:color w:val="000000"/>
                <w:kern w:val="0"/>
                <w:sz w:val="21"/>
                <w:szCs w:val="21"/>
                <w:u w:val="none"/>
                <w:lang w:val="en-US" w:eastAsia="zh-CN" w:bidi="ar"/>
              </w:rPr>
              <w:t>射频场感应的传导骚扰抗扰度检验</w:t>
            </w:r>
          </w:p>
        </w:tc>
        <w:tc>
          <w:tcPr>
            <w:tcW w:w="2131" w:type="dxa"/>
            <w:vAlign w:val="center"/>
          </w:tcPr>
          <w:p>
            <w:pPr>
              <w:jc w:val="center"/>
              <w:rPr>
                <w:vertAlign w:val="baseline"/>
              </w:rPr>
            </w:pPr>
          </w:p>
        </w:tc>
        <w:tc>
          <w:tcPr>
            <w:tcW w:w="2131" w:type="dxa"/>
            <w:vAlign w:val="center"/>
          </w:tcPr>
          <w:p>
            <w:pPr>
              <w:jc w:val="both"/>
              <w:rPr>
                <w:vertAlign w:val="baseline"/>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BB2F9C"/>
    <w:multiLevelType w:val="multilevel"/>
    <w:tmpl w:val="25BB2F9C"/>
    <w:lvl w:ilvl="0" w:tentative="0">
      <w:start w:val="1"/>
      <w:numFmt w:val="bullet"/>
      <w:pStyle w:val="8"/>
      <w:lvlText w:val=""/>
      <w:lvlJc w:val="left"/>
      <w:pPr>
        <w:tabs>
          <w:tab w:val="left" w:pos="704"/>
        </w:tabs>
        <w:ind w:left="704" w:hanging="420"/>
      </w:pPr>
      <w:rPr>
        <w:rFonts w:hint="default" w:ascii="Wingdings" w:hAnsi="Wingdings"/>
      </w:rPr>
    </w:lvl>
    <w:lvl w:ilvl="1" w:tentative="0">
      <w:start w:val="1"/>
      <w:numFmt w:val="bullet"/>
      <w:lvlText w:val=""/>
      <w:lvlJc w:val="left"/>
      <w:pPr>
        <w:tabs>
          <w:tab w:val="left" w:pos="1124"/>
        </w:tabs>
        <w:ind w:left="1124" w:hanging="420"/>
      </w:pPr>
      <w:rPr>
        <w:rFonts w:hint="default" w:ascii="Wingdings" w:hAnsi="Wingdings"/>
      </w:rPr>
    </w:lvl>
    <w:lvl w:ilvl="2" w:tentative="0">
      <w:start w:val="1"/>
      <w:numFmt w:val="bullet"/>
      <w:lvlText w:val=""/>
      <w:lvlJc w:val="left"/>
      <w:pPr>
        <w:tabs>
          <w:tab w:val="left" w:pos="1544"/>
        </w:tabs>
        <w:ind w:left="1544" w:hanging="420"/>
      </w:pPr>
      <w:rPr>
        <w:rFonts w:hint="default" w:ascii="Wingdings" w:hAnsi="Wingdings"/>
      </w:rPr>
    </w:lvl>
    <w:lvl w:ilvl="3" w:tentative="0">
      <w:start w:val="1"/>
      <w:numFmt w:val="bullet"/>
      <w:lvlText w:val=""/>
      <w:lvlJc w:val="left"/>
      <w:pPr>
        <w:tabs>
          <w:tab w:val="left" w:pos="1964"/>
        </w:tabs>
        <w:ind w:left="1964" w:hanging="420"/>
      </w:pPr>
      <w:rPr>
        <w:rFonts w:hint="default" w:ascii="Wingdings" w:hAnsi="Wingdings"/>
      </w:rPr>
    </w:lvl>
    <w:lvl w:ilvl="4" w:tentative="0">
      <w:start w:val="1"/>
      <w:numFmt w:val="bullet"/>
      <w:lvlText w:val=""/>
      <w:lvlJc w:val="left"/>
      <w:pPr>
        <w:tabs>
          <w:tab w:val="left" w:pos="2384"/>
        </w:tabs>
        <w:ind w:left="2384" w:hanging="420"/>
      </w:pPr>
      <w:rPr>
        <w:rFonts w:hint="default" w:ascii="Wingdings" w:hAnsi="Wingdings"/>
      </w:rPr>
    </w:lvl>
    <w:lvl w:ilvl="5" w:tentative="0">
      <w:start w:val="1"/>
      <w:numFmt w:val="bullet"/>
      <w:lvlText w:val=""/>
      <w:lvlJc w:val="left"/>
      <w:pPr>
        <w:tabs>
          <w:tab w:val="left" w:pos="2804"/>
        </w:tabs>
        <w:ind w:left="2804" w:hanging="420"/>
      </w:pPr>
      <w:rPr>
        <w:rFonts w:hint="default" w:ascii="Wingdings" w:hAnsi="Wingdings"/>
      </w:rPr>
    </w:lvl>
    <w:lvl w:ilvl="6" w:tentative="0">
      <w:start w:val="1"/>
      <w:numFmt w:val="bullet"/>
      <w:lvlText w:val=""/>
      <w:lvlJc w:val="left"/>
      <w:pPr>
        <w:tabs>
          <w:tab w:val="left" w:pos="3224"/>
        </w:tabs>
        <w:ind w:left="3224" w:hanging="420"/>
      </w:pPr>
      <w:rPr>
        <w:rFonts w:hint="default" w:ascii="Wingdings" w:hAnsi="Wingdings"/>
      </w:rPr>
    </w:lvl>
    <w:lvl w:ilvl="7" w:tentative="0">
      <w:start w:val="1"/>
      <w:numFmt w:val="bullet"/>
      <w:lvlText w:val=""/>
      <w:lvlJc w:val="left"/>
      <w:pPr>
        <w:tabs>
          <w:tab w:val="left" w:pos="3644"/>
        </w:tabs>
        <w:ind w:left="3644" w:hanging="420"/>
      </w:pPr>
      <w:rPr>
        <w:rFonts w:hint="default" w:ascii="Wingdings" w:hAnsi="Wingdings"/>
      </w:rPr>
    </w:lvl>
    <w:lvl w:ilvl="8" w:tentative="0">
      <w:start w:val="1"/>
      <w:numFmt w:val="bullet"/>
      <w:lvlText w:val=""/>
      <w:lvlJc w:val="left"/>
      <w:pPr>
        <w:tabs>
          <w:tab w:val="left" w:pos="4064"/>
        </w:tabs>
        <w:ind w:left="4064"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8446AF"/>
    <w:rsid w:val="009C2776"/>
    <w:rsid w:val="023061BE"/>
    <w:rsid w:val="04186D76"/>
    <w:rsid w:val="05A3426E"/>
    <w:rsid w:val="079638F3"/>
    <w:rsid w:val="085E00E3"/>
    <w:rsid w:val="092D7140"/>
    <w:rsid w:val="0B1E7ECE"/>
    <w:rsid w:val="0B21000A"/>
    <w:rsid w:val="0CD05112"/>
    <w:rsid w:val="0D740CF6"/>
    <w:rsid w:val="0E9F70CA"/>
    <w:rsid w:val="0F335C15"/>
    <w:rsid w:val="11100675"/>
    <w:rsid w:val="11475E73"/>
    <w:rsid w:val="11982BB8"/>
    <w:rsid w:val="128735AD"/>
    <w:rsid w:val="13101EF3"/>
    <w:rsid w:val="15DB0BA9"/>
    <w:rsid w:val="167005E1"/>
    <w:rsid w:val="16C528C6"/>
    <w:rsid w:val="188D4BCF"/>
    <w:rsid w:val="1B2E3D6F"/>
    <w:rsid w:val="1C47052E"/>
    <w:rsid w:val="1C8D2752"/>
    <w:rsid w:val="1EA65760"/>
    <w:rsid w:val="1F8446AF"/>
    <w:rsid w:val="231B3734"/>
    <w:rsid w:val="24111DAF"/>
    <w:rsid w:val="243059A8"/>
    <w:rsid w:val="255335C0"/>
    <w:rsid w:val="26106C33"/>
    <w:rsid w:val="26CB58A5"/>
    <w:rsid w:val="26E25687"/>
    <w:rsid w:val="299C0059"/>
    <w:rsid w:val="2EE84DDA"/>
    <w:rsid w:val="33715963"/>
    <w:rsid w:val="339C1454"/>
    <w:rsid w:val="35663BF3"/>
    <w:rsid w:val="389D6C90"/>
    <w:rsid w:val="39585A08"/>
    <w:rsid w:val="39633127"/>
    <w:rsid w:val="39C9658A"/>
    <w:rsid w:val="3C805E50"/>
    <w:rsid w:val="3D6C3156"/>
    <w:rsid w:val="3DD84FA0"/>
    <w:rsid w:val="3E960014"/>
    <w:rsid w:val="3FDF037E"/>
    <w:rsid w:val="4123347E"/>
    <w:rsid w:val="44706FA7"/>
    <w:rsid w:val="44721195"/>
    <w:rsid w:val="473E20CE"/>
    <w:rsid w:val="476E594E"/>
    <w:rsid w:val="49353174"/>
    <w:rsid w:val="4BD82B5A"/>
    <w:rsid w:val="4C543456"/>
    <w:rsid w:val="4E8F3AFC"/>
    <w:rsid w:val="50880E38"/>
    <w:rsid w:val="556C639E"/>
    <w:rsid w:val="562339E7"/>
    <w:rsid w:val="56531B13"/>
    <w:rsid w:val="56A65B62"/>
    <w:rsid w:val="57C16EB5"/>
    <w:rsid w:val="59140B50"/>
    <w:rsid w:val="5C977C52"/>
    <w:rsid w:val="5D741066"/>
    <w:rsid w:val="5F2008C9"/>
    <w:rsid w:val="61147792"/>
    <w:rsid w:val="617D0A70"/>
    <w:rsid w:val="67B05C70"/>
    <w:rsid w:val="6C4F5FBC"/>
    <w:rsid w:val="6D9E01A5"/>
    <w:rsid w:val="6E925A45"/>
    <w:rsid w:val="6EC74D61"/>
    <w:rsid w:val="6F5C2017"/>
    <w:rsid w:val="71791435"/>
    <w:rsid w:val="71B016DF"/>
    <w:rsid w:val="71E87650"/>
    <w:rsid w:val="727C5F07"/>
    <w:rsid w:val="72AB71D8"/>
    <w:rsid w:val="73C17BAE"/>
    <w:rsid w:val="74136CB7"/>
    <w:rsid w:val="747E5409"/>
    <w:rsid w:val="74987262"/>
    <w:rsid w:val="7785751E"/>
    <w:rsid w:val="78F85BFA"/>
    <w:rsid w:val="79984EEF"/>
    <w:rsid w:val="7AB82C79"/>
    <w:rsid w:val="7BAB536A"/>
    <w:rsid w:val="7BB4225B"/>
    <w:rsid w:val="7D5B3F24"/>
    <w:rsid w:val="7E194F67"/>
    <w:rsid w:val="7ECD6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index 8"/>
    <w:basedOn w:val="1"/>
    <w:next w:val="1"/>
    <w:semiHidden/>
    <w:qFormat/>
    <w:uiPriority w:val="0"/>
    <w:pPr>
      <w:ind w:left="1680" w:hanging="210"/>
      <w:jc w:val="left"/>
    </w:pPr>
    <w:rPr>
      <w:sz w:val="20"/>
    </w:rPr>
  </w:style>
  <w:style w:type="paragraph" w:styleId="3">
    <w:name w:val="Normal Indent"/>
    <w:basedOn w:val="1"/>
    <w:unhideWhenUsed/>
    <w:qFormat/>
    <w:uiPriority w:val="99"/>
    <w:pPr>
      <w:ind w:firstLine="420" w:firstLineChars="200"/>
    </w:p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一标题"/>
    <w:qFormat/>
    <w:uiPriority w:val="0"/>
    <w:pPr>
      <w:spacing w:before="100" w:beforeLines="100" w:line="360" w:lineRule="auto"/>
    </w:pPr>
    <w:rPr>
      <w:rFonts w:ascii="宋体" w:hAnsi="宋体" w:eastAsia="宋体" w:cs="Times New Roman"/>
      <w:b/>
      <w:sz w:val="24"/>
      <w:lang w:val="en-US" w:eastAsia="zh-CN" w:bidi="ar-SA"/>
    </w:rPr>
  </w:style>
  <w:style w:type="paragraph" w:customStyle="1" w:styleId="8">
    <w:name w:val="1"/>
    <w:basedOn w:val="1"/>
    <w:next w:val="3"/>
    <w:qFormat/>
    <w:uiPriority w:val="0"/>
    <w:pPr>
      <w:numPr>
        <w:ilvl w:val="0"/>
        <w:numId w:val="1"/>
      </w:numPr>
      <w:spacing w:line="360" w:lineRule="auto"/>
      <w:ind w:left="200" w:leftChars="200" w:firstLine="0"/>
    </w:pPr>
    <w:rPr>
      <w:rFonts w:ascii="Times New Roman" w:hAnsi="Times New Roman"/>
      <w:sz w:val="24"/>
      <w:szCs w:val="20"/>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2024-08-12T09:21:00Z</dcterms:created>
  <dc:creator>0A85EC667BEA48718615066AF7EF9586</dc:creator>
  <cp:lastModifiedBy>张泽彬</cp:lastModifiedBy>
  <dcterms:modified xsi:type="dcterms:W3CDTF">2024-09-27T08:52:44Z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19F2668DD09E4BCDB517A907F1676A02</vt:lpwstr>
  </property>
</Properties>
</file>