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Times New Roman" w:hAnsi="Times New Roman" w:cs="Times New Roman"/>
          <w:color w:val="auto"/>
          <w:sz w:val="44"/>
          <w:szCs w:val="44"/>
          <w:lang w:val="en-US" w:eastAsia="zh-CN"/>
        </w:rPr>
      </w:pPr>
      <w:r>
        <w:rPr>
          <w:rFonts w:hint="default" w:ascii="Times New Roman" w:hAnsi="Times New Roman" w:cs="Times New Roman"/>
          <w:color w:val="auto"/>
          <w:sz w:val="44"/>
          <w:szCs w:val="44"/>
          <w:lang w:val="en-US" w:eastAsia="zh-CN"/>
        </w:rPr>
        <w:t>百色局</w:t>
      </w:r>
      <w:r>
        <w:rPr>
          <w:rFonts w:hint="eastAsia" w:ascii="Times New Roman" w:hAnsi="Times New Roman" w:cs="Times New Roman"/>
          <w:color w:val="auto"/>
          <w:sz w:val="44"/>
          <w:szCs w:val="44"/>
          <w:lang w:val="en-US" w:eastAsia="zh-CN"/>
        </w:rPr>
        <w:t>零星采购项目技术要求附件</w:t>
      </w:r>
    </w:p>
    <w:p>
      <w:pPr>
        <w:pStyle w:val="2"/>
        <w:ind w:left="0" w:leftChars="0" w:firstLine="0" w:firstLineChars="0"/>
        <w:jc w:val="left"/>
        <w:rPr>
          <w:rFonts w:hint="default"/>
          <w:color w:val="auto"/>
          <w:spacing w:val="-28"/>
          <w:lang w:val="en-US" w:eastAsia="zh-CN"/>
        </w:rPr>
      </w:pPr>
      <w:r>
        <w:rPr>
          <w:rFonts w:hint="eastAsia" w:ascii="Times New Roman" w:hAnsi="Times New Roman" w:cs="Times New Roman"/>
          <w:color w:val="auto"/>
          <w:spacing w:val="-28"/>
          <w:sz w:val="44"/>
          <w:szCs w:val="44"/>
          <w:lang w:val="en-US" w:eastAsia="zh-CN"/>
        </w:rPr>
        <w:t>（一种塔架地基深部形变综合监测装置研制项目）</w:t>
      </w:r>
    </w:p>
    <w:p>
      <w:pPr>
        <w:numPr>
          <w:ilvl w:val="0"/>
          <w:numId w:val="1"/>
        </w:numPr>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资格要求</w:t>
      </w:r>
    </w:p>
    <w:tbl>
      <w:tblPr>
        <w:tblStyle w:val="7"/>
        <w:tblW w:w="86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16"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highlight w:val="none"/>
                <w:u w:val="none"/>
                <w:lang w:val="en-US" w:eastAsia="zh-CN" w:bidi="ar-SA"/>
              </w:rPr>
            </w:pPr>
            <w:r>
              <w:rPr>
                <w:rFonts w:hint="eastAsia" w:asciiTheme="minorEastAsia" w:hAnsiTheme="minorEastAsia" w:eastAsiaTheme="minorEastAsia" w:cstheme="minorEastAsia"/>
                <w:i w:val="0"/>
                <w:iCs w:val="0"/>
                <w:color w:val="auto"/>
                <w:sz w:val="28"/>
                <w:szCs w:val="28"/>
                <w:highlight w:val="none"/>
                <w:u w:val="none"/>
                <w:lang w:eastAsia="zh-CN"/>
              </w:rPr>
              <w:t>资格</w:t>
            </w:r>
            <w:r>
              <w:rPr>
                <w:rFonts w:hint="eastAsia" w:asciiTheme="minorEastAsia" w:hAnsiTheme="minorEastAsia" w:cstheme="minorEastAsia"/>
                <w:i w:val="0"/>
                <w:iCs w:val="0"/>
                <w:color w:val="auto"/>
                <w:sz w:val="28"/>
                <w:szCs w:val="28"/>
                <w:highlight w:val="none"/>
                <w:u w:val="none"/>
                <w:lang w:eastAsia="zh-CN"/>
              </w:rPr>
              <w:t>资质</w:t>
            </w:r>
            <w:r>
              <w:rPr>
                <w:rFonts w:hint="eastAsia" w:asciiTheme="minorEastAsia" w:hAnsiTheme="minorEastAsia" w:eastAsiaTheme="minorEastAsia" w:cstheme="minorEastAsia"/>
                <w:i w:val="0"/>
                <w:iCs w:val="0"/>
                <w:color w:val="auto"/>
                <w:sz w:val="28"/>
                <w:szCs w:val="28"/>
                <w:highlight w:val="none"/>
                <w:u w:val="none"/>
                <w:lang w:eastAsia="zh-CN"/>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1.资质要求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1、</w:t>
            </w:r>
            <w:r>
              <w:rPr>
                <w:rFonts w:hint="eastAsia" w:asciiTheme="minorEastAsia" w:hAnsiTheme="minorEastAsia" w:eastAsiaTheme="minorEastAsia" w:cstheme="minorEastAsia"/>
                <w:color w:val="auto"/>
                <w:sz w:val="24"/>
                <w:szCs w:val="24"/>
                <w:vertAlign w:val="baseline"/>
                <w:lang w:val="en-US" w:eastAsia="zh-CN"/>
              </w:rPr>
              <w:t>中华人民共和国境内注册</w:t>
            </w:r>
            <w:r>
              <w:rPr>
                <w:rFonts w:hint="eastAsia" w:asciiTheme="minorEastAsia" w:hAnsiTheme="minorEastAsia" w:cstheme="minorEastAsia"/>
                <w:color w:val="auto"/>
                <w:sz w:val="24"/>
                <w:szCs w:val="24"/>
                <w:vertAlign w:val="baseline"/>
                <w:lang w:val="en-US" w:eastAsia="zh-CN"/>
              </w:rPr>
              <w:t>合法运作</w:t>
            </w:r>
            <w:r>
              <w:rPr>
                <w:rFonts w:hint="eastAsia" w:asciiTheme="minorEastAsia" w:hAnsiTheme="minorEastAsia" w:eastAsiaTheme="minorEastAsia" w:cstheme="minorEastAsia"/>
                <w:color w:val="auto"/>
                <w:sz w:val="24"/>
                <w:szCs w:val="24"/>
                <w:vertAlign w:val="baseline"/>
                <w:lang w:val="en-US" w:eastAsia="zh-CN"/>
              </w:rPr>
              <w:t>的法人</w:t>
            </w:r>
            <w:r>
              <w:rPr>
                <w:rFonts w:hint="eastAsia" w:asciiTheme="minorEastAsia" w:hAnsiTheme="minorEastAsia" w:cstheme="minorEastAsia"/>
                <w:color w:val="auto"/>
                <w:sz w:val="24"/>
                <w:szCs w:val="24"/>
                <w:vertAlign w:val="baseline"/>
                <w:lang w:val="en-US" w:eastAsia="zh-CN"/>
              </w:rPr>
              <w:t>或具有法人授权的其他组织，具有独立承担民事责任的能力、独立承担施工项目的能力和独立履约合同的能力。</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2、投标方如有诚信和廉洁方面的不良记录，不接受其报价。3、投标方在被南方电网公司或超高压输电公司或百色局暂停或取消投标资格期间，不接受其报价。</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4、不接受联合体报价。</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5、投标方单位负责人为同一人或者存在控股、管理关系的不同单位，不得同时参加同一项目报价。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2.业绩要求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3.其他要求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交付物满足产品技术指标。</w:t>
            </w:r>
            <w:bookmarkStart w:id="3" w:name="_GoBack"/>
            <w:bookmarkEnd w:id="3"/>
          </w:p>
        </w:tc>
      </w:tr>
    </w:tbl>
    <w:p>
      <w:pPr>
        <w:numPr>
          <w:ilvl w:val="0"/>
          <w:numId w:val="1"/>
        </w:numPr>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商务要求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u w:val="none"/>
                <w:lang w:val="en-US" w:eastAsia="zh-CN" w:bidi="ar-SA"/>
              </w:rPr>
            </w:pPr>
            <w:r>
              <w:rPr>
                <w:rFonts w:hint="eastAsia" w:asciiTheme="minorEastAsia" w:hAnsiTheme="minorEastAsia" w:eastAsiaTheme="minorEastAsia" w:cstheme="minorEastAsia"/>
                <w:i w:val="0"/>
                <w:iCs w:val="0"/>
                <w:color w:val="auto"/>
                <w:sz w:val="28"/>
                <w:szCs w:val="28"/>
                <w:u w:val="none"/>
                <w:lang w:eastAsia="zh-CN"/>
              </w:rPr>
              <w:t>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1.服务要求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应成立项目研发组，并提供项目研发组机构组成表。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2.服务地址</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项目研发阶段不做限制，成果交付试用应在百色局所辖线路范围内开展。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3.服务期限要求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2024年1</w:t>
            </w:r>
            <w:r>
              <w:rPr>
                <w:rFonts w:hint="eastAsia" w:asciiTheme="minorEastAsia" w:hAnsiTheme="minorEastAsia" w:cstheme="minorEastAsia"/>
                <w:color w:val="auto"/>
                <w:sz w:val="24"/>
                <w:szCs w:val="24"/>
                <w:vertAlign w:val="baseline"/>
                <w:lang w:val="en-US" w:eastAsia="zh-CN"/>
              </w:rPr>
              <w:t>1</w:t>
            </w:r>
            <w:r>
              <w:rPr>
                <w:rFonts w:hint="eastAsia" w:asciiTheme="minorEastAsia" w:hAnsiTheme="minorEastAsia" w:eastAsiaTheme="minorEastAsia" w:cstheme="minorEastAsia"/>
                <w:color w:val="auto"/>
                <w:sz w:val="24"/>
                <w:szCs w:val="24"/>
                <w:vertAlign w:val="baseline"/>
                <w:lang w:val="en-US" w:eastAsia="zh-CN"/>
              </w:rPr>
              <w:t>月31日</w:t>
            </w:r>
            <w:r>
              <w:rPr>
                <w:rFonts w:hint="eastAsia" w:asciiTheme="minorEastAsia" w:hAnsiTheme="minorEastAsia" w:cstheme="minorEastAsia"/>
                <w:color w:val="auto"/>
                <w:sz w:val="24"/>
                <w:szCs w:val="24"/>
                <w:vertAlign w:val="baseline"/>
                <w:lang w:val="en-US" w:eastAsia="zh-CN"/>
              </w:rPr>
              <w:t>前</w:t>
            </w:r>
            <w:r>
              <w:rPr>
                <w:rFonts w:hint="eastAsia" w:asciiTheme="minorEastAsia" w:hAnsiTheme="minorEastAsia" w:eastAsia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4.服务人员要求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5.发票要求（如有）</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需提供符合规定税率的全额发票。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6.结算及支付条件</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项目研制</w:t>
            </w:r>
            <w:r>
              <w:rPr>
                <w:rFonts w:hint="eastAsia" w:asciiTheme="minorEastAsia" w:hAnsiTheme="minorEastAsia" w:eastAsiaTheme="minorEastAsia" w:cstheme="minorEastAsia"/>
                <w:color w:val="auto"/>
                <w:sz w:val="24"/>
                <w:szCs w:val="24"/>
                <w:vertAlign w:val="baseline"/>
                <w:lang w:val="en-US" w:eastAsia="zh-CN"/>
              </w:rPr>
              <w:t>服务</w:t>
            </w:r>
            <w:r>
              <w:rPr>
                <w:rFonts w:hint="eastAsia" w:asciiTheme="minorEastAsia" w:hAnsiTheme="minorEastAsia" w:cstheme="minorEastAsia"/>
                <w:color w:val="auto"/>
                <w:sz w:val="24"/>
                <w:szCs w:val="24"/>
                <w:vertAlign w:val="baseline"/>
                <w:lang w:val="en-US" w:eastAsia="zh-CN"/>
              </w:rPr>
              <w:t>完成</w:t>
            </w:r>
            <w:r>
              <w:rPr>
                <w:rFonts w:hint="eastAsia" w:asciiTheme="minorEastAsia" w:hAnsiTheme="minorEastAsia" w:eastAsiaTheme="minorEastAsia" w:cstheme="minorEastAsia"/>
                <w:color w:val="auto"/>
                <w:sz w:val="24"/>
                <w:szCs w:val="24"/>
                <w:vertAlign w:val="baseline"/>
                <w:lang w:val="en-US" w:eastAsia="zh-CN"/>
              </w:rPr>
              <w:t>且验收通过后，</w:t>
            </w:r>
            <w:r>
              <w:rPr>
                <w:rFonts w:hint="eastAsia" w:asciiTheme="minorEastAsia" w:hAnsiTheme="minorEastAsia" w:cstheme="minorEastAsia"/>
                <w:color w:val="auto"/>
                <w:sz w:val="24"/>
                <w:szCs w:val="24"/>
                <w:vertAlign w:val="baseline"/>
                <w:lang w:val="en-US" w:eastAsia="zh-CN"/>
              </w:rPr>
              <w:t>投标方向招标方提供全额发票，招标方</w:t>
            </w:r>
            <w:r>
              <w:rPr>
                <w:rFonts w:hint="eastAsia" w:asciiTheme="minorEastAsia" w:hAnsiTheme="minorEastAsia" w:eastAsiaTheme="minorEastAsia" w:cstheme="minorEastAsia"/>
                <w:color w:val="auto"/>
                <w:sz w:val="24"/>
                <w:szCs w:val="24"/>
                <w:vertAlign w:val="baseline"/>
                <w:lang w:val="en-US" w:eastAsia="zh-CN"/>
              </w:rPr>
              <w:t>收到全额发票后，60日内一次性支付</w:t>
            </w:r>
            <w:r>
              <w:rPr>
                <w:rFonts w:hint="eastAsia" w:asciiTheme="minorEastAsia" w:hAnsiTheme="minorEastAsia" w:cstheme="minorEastAsia"/>
                <w:color w:val="auto"/>
                <w:sz w:val="24"/>
                <w:szCs w:val="24"/>
                <w:vertAlign w:val="baseline"/>
                <w:lang w:val="en-US" w:eastAsia="zh-CN"/>
              </w:rPr>
              <w:t>全部费用。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7.服务方式要求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项</w:t>
            </w:r>
            <w:r>
              <w:rPr>
                <w:rFonts w:hint="eastAsia" w:asciiTheme="minorEastAsia" w:hAnsiTheme="minorEastAsia" w:cstheme="minorEastAsia"/>
                <w:color w:val="auto"/>
                <w:sz w:val="24"/>
                <w:szCs w:val="24"/>
                <w:vertAlign w:val="baseline"/>
                <w:lang w:eastAsia="zh-CN"/>
              </w:rPr>
              <w:t>投标方自行确定项目研发、测试地点，项目成果试用、交付、验收在</w:t>
            </w:r>
            <w:r>
              <w:rPr>
                <w:rFonts w:hint="eastAsia" w:asciiTheme="minorEastAsia" w:hAnsiTheme="minorEastAsia" w:eastAsiaTheme="minorEastAsia" w:cstheme="minorEastAsia"/>
                <w:color w:val="auto"/>
                <w:sz w:val="24"/>
                <w:szCs w:val="24"/>
                <w:vertAlign w:val="baseline"/>
                <w:lang w:eastAsia="zh-CN"/>
              </w:rPr>
              <w:t>广西百色市</w:t>
            </w:r>
            <w:r>
              <w:rPr>
                <w:rFonts w:hint="eastAsia" w:asciiTheme="minorEastAsia" w:hAnsiTheme="minorEastAsia" w:cstheme="minorEastAsia"/>
                <w:color w:val="auto"/>
                <w:sz w:val="24"/>
                <w:szCs w:val="24"/>
                <w:vertAlign w:val="baseline"/>
                <w:lang w:val="en-US" w:eastAsia="zh-CN"/>
              </w:rPr>
              <w:t>百色局办公大楼</w:t>
            </w:r>
            <w:r>
              <w:rPr>
                <w:rFonts w:hint="eastAsia" w:asciiTheme="minorEastAsia" w:hAnsiTheme="minorEastAsia" w:eastAsiaTheme="minorEastAsia" w:cstheme="minorEastAsia"/>
                <w:color w:val="auto"/>
                <w:sz w:val="24"/>
                <w:szCs w:val="24"/>
                <w:vertAlign w:val="baseli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8.售后服务</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本项目售后服务期限为一年，售后服务期限内应提供免费维修服务。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val="en-US" w:eastAsia="zh-CN"/>
              </w:rPr>
              <w:t>9</w:t>
            </w:r>
            <w:r>
              <w:rPr>
                <w:rFonts w:hint="eastAsia" w:asciiTheme="minorEastAsia" w:hAnsiTheme="minorEastAsia" w:eastAsiaTheme="minorEastAsia" w:cstheme="minorEastAsia"/>
                <w:b/>
                <w:bCs/>
                <w:color w:val="auto"/>
                <w:sz w:val="24"/>
                <w:szCs w:val="24"/>
                <w:vertAlign w:val="baseline"/>
                <w:lang w:eastAsia="zh-CN"/>
              </w:rPr>
              <w:t>.其它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cstheme="minorEastAsia"/>
                <w:color w:val="auto"/>
                <w:sz w:val="24"/>
                <w:szCs w:val="24"/>
                <w:vertAlign w:val="baseline"/>
                <w:lang w:val="en-US" w:eastAsia="zh-CN"/>
              </w:rPr>
              <w:t>①、</w:t>
            </w:r>
            <w:r>
              <w:rPr>
                <w:rFonts w:hint="eastAsia" w:asciiTheme="minorEastAsia" w:hAnsiTheme="minorEastAsia" w:eastAsiaTheme="minorEastAsia" w:cstheme="minorEastAsia"/>
                <w:color w:val="auto"/>
                <w:sz w:val="24"/>
                <w:szCs w:val="24"/>
                <w:vertAlign w:val="baseline"/>
                <w:lang w:val="en-US" w:eastAsia="zh-CN"/>
              </w:rPr>
              <w:t>报价包含所需全部费用</w:t>
            </w:r>
            <w:r>
              <w:rPr>
                <w:rFonts w:hint="eastAsia" w:asciiTheme="minorEastAsia" w:hAnsiTheme="minorEastAsia" w:cstheme="minorEastAsia"/>
                <w:color w:val="auto"/>
                <w:sz w:val="24"/>
                <w:szCs w:val="24"/>
                <w:vertAlign w:val="baseline"/>
                <w:lang w:val="en-US" w:eastAsia="zh-CN"/>
              </w:rPr>
              <w:t>；②、交付的塔架地基深部形变综合监测装置不得使用美光公司产品。</w:t>
            </w:r>
          </w:p>
        </w:tc>
      </w:tr>
    </w:tbl>
    <w:p>
      <w:pPr>
        <w:numPr>
          <w:ilvl w:val="0"/>
          <w:numId w:val="1"/>
        </w:numPr>
        <w:ind w:left="0" w:leftChars="0" w:firstLine="0" w:firstLineChars="0"/>
        <w:jc w:val="both"/>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bCs/>
          <w:color w:val="auto"/>
          <w:kern w:val="44"/>
          <w:sz w:val="30"/>
          <w:szCs w:val="30"/>
          <w:highlight w:val="none"/>
          <w:lang w:val="en-US" w:eastAsia="zh-CN" w:bidi="ar-SA"/>
        </w:rPr>
        <w:t>技术要求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u w:val="none"/>
                <w:lang w:val="en-US" w:eastAsia="zh-CN" w:bidi="ar-SA"/>
              </w:rPr>
            </w:pPr>
            <w:r>
              <w:rPr>
                <w:rFonts w:hint="eastAsia" w:asciiTheme="minorEastAsia" w:hAnsiTheme="minorEastAsia" w:eastAsiaTheme="minorEastAsia" w:cstheme="minorEastAsia"/>
                <w:i w:val="0"/>
                <w:iCs w:val="0"/>
                <w:color w:val="auto"/>
                <w:sz w:val="28"/>
                <w:szCs w:val="28"/>
                <w:u w:val="none"/>
                <w:lang w:eastAsia="zh-CN"/>
              </w:rPr>
              <w:t>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1.技术服务内容（含工作量）</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一、1.技术服务内容（含工作量）：</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①、开展多轴倾斜传感器技术研究，设计符合输电塔架地基倾斜监测单元；开展MEMS微振传感器的应用研究，设计符合输电塔架地基监测微振动监测单元；开展高精度电子罗盘应用研究，设计井下定向单元；开展最新集成电路以及信号通信技术研究，设计井下多传感器数据处理模块；开展井下结构及密封工艺研究，设计小尺寸封装探头以及扶正结构。</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②、塔架地基深部形变综合监测装置探头直径不大于50mm，长度不大于1.2m，密封适应安装深度不小于50m（密封耐压大于0.5MPa），适应于绝大部分钻孔（如Ф56～Ф72mm测斜钻孔）安装。</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③、主要技术指标：</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双轴倾斜仪分辨力：0.01°@±30°；</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三轴MEMS加速度计：80dB@0.1-20Hz；</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电子罗盘：±3°@360°；</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外形尺寸：≯φ50mm×L1.2m；</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最大安装深度：不小于50m。</w:t>
            </w:r>
          </w:p>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④、交付塔架地基深部形变综合监测装置1套。</w:t>
            </w:r>
          </w:p>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⑤、交付塔架地基深部形变综合监测装置技术研究报告1份。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2.涉及服务的相关仪器设备型号规格</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cstheme="minorEastAsia"/>
                <w:b/>
                <w:bCs/>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3.技术服务质量要求及验收标准</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①、塔架地基深部形变综合监测装置，能够精准识别监测地基深部的数据，并通过百色局组成的验收小组验收。</w:t>
            </w:r>
          </w:p>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②、塔架地基深部形变综合监测装置技术研究报告，需通过百色局组成的验收小组验收。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4.其它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p>
        </w:tc>
      </w:tr>
    </w:tbl>
    <w:p>
      <w:pPr>
        <w:numPr>
          <w:ilvl w:val="0"/>
          <w:numId w:val="1"/>
        </w:numPr>
        <w:ind w:left="0" w:leftChars="0" w:firstLine="0" w:firstLineChars="0"/>
        <w:jc w:val="both"/>
        <w:rPr>
          <w:rFonts w:hint="eastAsia" w:asciiTheme="minorEastAsia" w:hAnsiTheme="minorEastAsia" w:eastAsiaTheme="minorEastAsia" w:cstheme="minorEastAsia"/>
          <w:b/>
          <w:bCs/>
          <w:color w:val="auto"/>
          <w:kern w:val="44"/>
          <w:sz w:val="30"/>
          <w:szCs w:val="30"/>
          <w:highlight w:val="none"/>
          <w:lang w:val="en-US" w:eastAsia="zh-CN" w:bidi="ar-SA"/>
        </w:rPr>
      </w:pPr>
      <w:bookmarkStart w:id="0" w:name="_Toc432171539"/>
      <w:bookmarkStart w:id="1" w:name="_Toc351322324"/>
      <w:bookmarkStart w:id="2" w:name="_Toc350159239"/>
      <w:r>
        <w:rPr>
          <w:rFonts w:hint="eastAsia" w:asciiTheme="minorEastAsia" w:hAnsiTheme="minorEastAsia" w:eastAsiaTheme="minorEastAsia" w:cstheme="minorEastAsia"/>
          <w:b/>
          <w:bCs/>
          <w:color w:val="auto"/>
          <w:kern w:val="44"/>
          <w:sz w:val="30"/>
          <w:szCs w:val="30"/>
          <w:highlight w:val="none"/>
          <w:lang w:val="en-US" w:eastAsia="zh-CN" w:bidi="ar-SA"/>
        </w:rPr>
        <w:t>工作内容及数量</w:t>
      </w:r>
    </w:p>
    <w:tbl>
      <w:tblPr>
        <w:tblStyle w:val="7"/>
        <w:tblW w:w="85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6"/>
        <w:gridCol w:w="1620"/>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56"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bCs w:val="0"/>
                <w:color w:val="auto"/>
                <w:szCs w:val="21"/>
                <w:highlight w:val="none"/>
                <w:lang w:val="en-US" w:eastAsia="zh-CN"/>
              </w:rPr>
              <w:t>采购工作内容</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kern w:val="2"/>
                <w:sz w:val="21"/>
                <w:szCs w:val="21"/>
                <w:highlight w:val="none"/>
                <w:lang w:val="en-US" w:eastAsia="zh-CN" w:bidi="ar-SA"/>
              </w:rPr>
            </w:pPr>
            <w:r>
              <w:rPr>
                <w:rFonts w:hint="eastAsia" w:asciiTheme="minorEastAsia" w:hAnsiTheme="minorEastAsia" w:eastAsiaTheme="minorEastAsia" w:cstheme="minorEastAsia"/>
                <w:b/>
                <w:bCs w:val="0"/>
                <w:color w:val="auto"/>
                <w:szCs w:val="21"/>
                <w:highlight w:val="none"/>
                <w:lang w:eastAsia="zh-CN"/>
              </w:rPr>
              <w:t>单位</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szCs w:val="21"/>
                <w:highlight w:val="none"/>
                <w:lang w:eastAsia="zh-CN"/>
              </w:rPr>
            </w:pPr>
            <w:r>
              <w:rPr>
                <w:rFonts w:hint="eastAsia" w:asciiTheme="minorEastAsia" w:hAnsiTheme="minorEastAsia" w:eastAsiaTheme="minorEastAsia" w:cstheme="minorEastAsia"/>
                <w:b/>
                <w:bCs w:val="0"/>
                <w:color w:val="auto"/>
                <w:szCs w:val="21"/>
                <w:highlight w:val="no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6" w:type="dxa"/>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eastAsiaTheme="minorEastAsia" w:cstheme="minorEastAsia"/>
                <w:color w:val="auto"/>
                <w:vertAlign w:val="baseline"/>
                <w:lang w:eastAsia="zh-CN"/>
              </w:rPr>
              <w:t>对一种塔架地基深部形变综合监测装置</w:t>
            </w:r>
            <w:r>
              <w:rPr>
                <w:rFonts w:hint="eastAsia" w:asciiTheme="minorEastAsia" w:hAnsiTheme="minorEastAsia" w:cstheme="minorEastAsia"/>
                <w:color w:val="auto"/>
                <w:vertAlign w:val="baseline"/>
                <w:lang w:eastAsia="zh-CN"/>
              </w:rPr>
              <w:t>开展研究</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cstheme="minorEastAsia"/>
                <w:i w:val="0"/>
                <w:iCs w:val="0"/>
                <w:color w:val="auto"/>
                <w:kern w:val="0"/>
                <w:sz w:val="22"/>
                <w:szCs w:val="22"/>
                <w:highlight w:val="none"/>
                <w:u w:val="none"/>
                <w:lang w:val="en-US" w:eastAsia="zh-CN" w:bidi="ar"/>
              </w:rPr>
              <w:t>项</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bookmarkEnd w:id="0"/>
      <w:bookmarkEnd w:id="1"/>
      <w:bookmarkEnd w:id="2"/>
    </w:tbl>
    <w:p>
      <w:pPr>
        <w:numPr>
          <w:ilvl w:val="0"/>
          <w:numId w:val="1"/>
        </w:numPr>
        <w:ind w:left="0" w:leftChars="0" w:firstLine="0" w:firstLineChars="0"/>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需提交的证明文件</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0" w:firstLineChars="200"/>
        <w:textAlignment w:val="auto"/>
        <w:rPr>
          <w:rFonts w:hint="eastAsia" w:asciiTheme="minorEastAsia" w:hAnsiTheme="minorEastAsia" w:eastAsiaTheme="minorEastAsia" w:cstheme="minorEastAsia"/>
          <w:b w:val="0"/>
          <w:bCs w:val="0"/>
          <w:color w:val="auto"/>
          <w:kern w:val="44"/>
          <w:sz w:val="28"/>
          <w:szCs w:val="28"/>
          <w:highlight w:val="none"/>
          <w:lang w:val="en-US" w:eastAsia="zh-CN" w:bidi="ar-SA"/>
        </w:rPr>
      </w:pPr>
      <w:r>
        <w:rPr>
          <w:rFonts w:hint="eastAsia" w:asciiTheme="minorEastAsia" w:hAnsiTheme="minorEastAsia" w:cstheme="minorEastAsia"/>
          <w:b w:val="0"/>
          <w:bCs w:val="0"/>
          <w:color w:val="auto"/>
          <w:kern w:val="44"/>
          <w:sz w:val="28"/>
          <w:szCs w:val="28"/>
          <w:highlight w:val="none"/>
          <w:lang w:val="en-US" w:eastAsia="zh-CN" w:bidi="ar-SA"/>
        </w:rPr>
        <w:t>无。</w:t>
      </w:r>
    </w:p>
    <w:p>
      <w:pPr>
        <w:pStyle w:val="2"/>
        <w:rPr>
          <w:rFonts w:hint="eastAsia" w:asciiTheme="minorEastAsia" w:hAnsiTheme="minorEastAsia" w:eastAsiaTheme="minorEastAsia" w:cstheme="minorEastAsia"/>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PMingLiU">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79DC7"/>
    <w:multiLevelType w:val="singleLevel"/>
    <w:tmpl w:val="DCA79DC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3F6211"/>
    <w:rsid w:val="01501235"/>
    <w:rsid w:val="016940D8"/>
    <w:rsid w:val="01820F90"/>
    <w:rsid w:val="01AA77A2"/>
    <w:rsid w:val="01F21044"/>
    <w:rsid w:val="01F4352D"/>
    <w:rsid w:val="02060639"/>
    <w:rsid w:val="022B7242"/>
    <w:rsid w:val="02352299"/>
    <w:rsid w:val="02393A60"/>
    <w:rsid w:val="02397997"/>
    <w:rsid w:val="02881A4F"/>
    <w:rsid w:val="02E842EC"/>
    <w:rsid w:val="02F7359E"/>
    <w:rsid w:val="0331503A"/>
    <w:rsid w:val="034B1EE2"/>
    <w:rsid w:val="03811C00"/>
    <w:rsid w:val="03AC6308"/>
    <w:rsid w:val="03B72AE1"/>
    <w:rsid w:val="04087C5B"/>
    <w:rsid w:val="040F3B52"/>
    <w:rsid w:val="04135126"/>
    <w:rsid w:val="044E557D"/>
    <w:rsid w:val="04827C67"/>
    <w:rsid w:val="04862A9E"/>
    <w:rsid w:val="04B70EB3"/>
    <w:rsid w:val="054669C7"/>
    <w:rsid w:val="05796A56"/>
    <w:rsid w:val="058468CE"/>
    <w:rsid w:val="059F10A0"/>
    <w:rsid w:val="05A41843"/>
    <w:rsid w:val="060A120F"/>
    <w:rsid w:val="061311DF"/>
    <w:rsid w:val="061458DF"/>
    <w:rsid w:val="061958D7"/>
    <w:rsid w:val="061E030F"/>
    <w:rsid w:val="06836CF3"/>
    <w:rsid w:val="06970A6E"/>
    <w:rsid w:val="06A12946"/>
    <w:rsid w:val="06A35579"/>
    <w:rsid w:val="074269CD"/>
    <w:rsid w:val="076127A5"/>
    <w:rsid w:val="07756F80"/>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CFC67E8"/>
    <w:rsid w:val="0D307151"/>
    <w:rsid w:val="0D3B2462"/>
    <w:rsid w:val="0DB6219C"/>
    <w:rsid w:val="0DC13D8A"/>
    <w:rsid w:val="0DF07BDA"/>
    <w:rsid w:val="0DFD2816"/>
    <w:rsid w:val="0E71136B"/>
    <w:rsid w:val="0E8B2745"/>
    <w:rsid w:val="0E9B4DDB"/>
    <w:rsid w:val="0EA565F4"/>
    <w:rsid w:val="0ECE09DE"/>
    <w:rsid w:val="0F334549"/>
    <w:rsid w:val="0F3801C8"/>
    <w:rsid w:val="0F405AD2"/>
    <w:rsid w:val="0F7200FC"/>
    <w:rsid w:val="0F9E41A6"/>
    <w:rsid w:val="0FE713A1"/>
    <w:rsid w:val="0FEF5E29"/>
    <w:rsid w:val="0FF33B0A"/>
    <w:rsid w:val="1031515E"/>
    <w:rsid w:val="10690B09"/>
    <w:rsid w:val="10C114BF"/>
    <w:rsid w:val="10E64CA7"/>
    <w:rsid w:val="10E84774"/>
    <w:rsid w:val="10EC11DB"/>
    <w:rsid w:val="112E24A5"/>
    <w:rsid w:val="11C56820"/>
    <w:rsid w:val="12100284"/>
    <w:rsid w:val="122F23AB"/>
    <w:rsid w:val="128C2CAA"/>
    <w:rsid w:val="12AA1604"/>
    <w:rsid w:val="12C15A54"/>
    <w:rsid w:val="13122EB9"/>
    <w:rsid w:val="131B7BE0"/>
    <w:rsid w:val="132C4F88"/>
    <w:rsid w:val="13AC3248"/>
    <w:rsid w:val="13C85393"/>
    <w:rsid w:val="13D17E3E"/>
    <w:rsid w:val="13E63CB1"/>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423839"/>
    <w:rsid w:val="185138C0"/>
    <w:rsid w:val="189F058B"/>
    <w:rsid w:val="18D97540"/>
    <w:rsid w:val="19297752"/>
    <w:rsid w:val="196F285C"/>
    <w:rsid w:val="19761FB7"/>
    <w:rsid w:val="198829AE"/>
    <w:rsid w:val="19CD3FB4"/>
    <w:rsid w:val="19D94077"/>
    <w:rsid w:val="19F14852"/>
    <w:rsid w:val="1A061791"/>
    <w:rsid w:val="1A2A76BA"/>
    <w:rsid w:val="1A816311"/>
    <w:rsid w:val="1AF2575E"/>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47482F"/>
    <w:rsid w:val="23480721"/>
    <w:rsid w:val="23832A6A"/>
    <w:rsid w:val="239C519E"/>
    <w:rsid w:val="23AC6110"/>
    <w:rsid w:val="23B3680B"/>
    <w:rsid w:val="24453519"/>
    <w:rsid w:val="24806DED"/>
    <w:rsid w:val="249E1E21"/>
    <w:rsid w:val="24CF2183"/>
    <w:rsid w:val="24D6375F"/>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4C14C0"/>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2F0E"/>
    <w:rsid w:val="2D1D4246"/>
    <w:rsid w:val="2D3F144E"/>
    <w:rsid w:val="2DA57572"/>
    <w:rsid w:val="2DAB7387"/>
    <w:rsid w:val="2E317F75"/>
    <w:rsid w:val="2E434F68"/>
    <w:rsid w:val="2E4D78B3"/>
    <w:rsid w:val="2E725AC4"/>
    <w:rsid w:val="2EAB14E3"/>
    <w:rsid w:val="2F1828EE"/>
    <w:rsid w:val="2F4239BC"/>
    <w:rsid w:val="2F4D79F2"/>
    <w:rsid w:val="2F680110"/>
    <w:rsid w:val="2F722747"/>
    <w:rsid w:val="2F991EEF"/>
    <w:rsid w:val="2FA36714"/>
    <w:rsid w:val="2FAD1162"/>
    <w:rsid w:val="2FC87DCD"/>
    <w:rsid w:val="2FEB6C42"/>
    <w:rsid w:val="2FF07082"/>
    <w:rsid w:val="300A0067"/>
    <w:rsid w:val="30332135"/>
    <w:rsid w:val="30361AAA"/>
    <w:rsid w:val="30565E76"/>
    <w:rsid w:val="307D2B14"/>
    <w:rsid w:val="30D31F6A"/>
    <w:rsid w:val="31093D82"/>
    <w:rsid w:val="31101DA9"/>
    <w:rsid w:val="313A078D"/>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4A65BE"/>
    <w:rsid w:val="34615900"/>
    <w:rsid w:val="346F74D1"/>
    <w:rsid w:val="34816FDA"/>
    <w:rsid w:val="34B90705"/>
    <w:rsid w:val="34C944EE"/>
    <w:rsid w:val="34C97625"/>
    <w:rsid w:val="34CE1084"/>
    <w:rsid w:val="35152B4C"/>
    <w:rsid w:val="35190544"/>
    <w:rsid w:val="352B4FC9"/>
    <w:rsid w:val="355A4482"/>
    <w:rsid w:val="35671DF5"/>
    <w:rsid w:val="3569739E"/>
    <w:rsid w:val="35724EE4"/>
    <w:rsid w:val="359A6D64"/>
    <w:rsid w:val="35D660DF"/>
    <w:rsid w:val="36015C68"/>
    <w:rsid w:val="362F4F13"/>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D81748"/>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840267"/>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9A6309"/>
    <w:rsid w:val="40AC1636"/>
    <w:rsid w:val="40DB5779"/>
    <w:rsid w:val="40FA288E"/>
    <w:rsid w:val="412F09B5"/>
    <w:rsid w:val="412F4FFD"/>
    <w:rsid w:val="41385BD0"/>
    <w:rsid w:val="414A69FE"/>
    <w:rsid w:val="41843CE9"/>
    <w:rsid w:val="41937963"/>
    <w:rsid w:val="41E325EE"/>
    <w:rsid w:val="41F65DD1"/>
    <w:rsid w:val="4204222F"/>
    <w:rsid w:val="420A0C4E"/>
    <w:rsid w:val="42403984"/>
    <w:rsid w:val="426F4ABD"/>
    <w:rsid w:val="428803B3"/>
    <w:rsid w:val="4299523A"/>
    <w:rsid w:val="42B238D5"/>
    <w:rsid w:val="43234FA2"/>
    <w:rsid w:val="432C7DFD"/>
    <w:rsid w:val="43316976"/>
    <w:rsid w:val="433E7DCE"/>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4A7ED0"/>
    <w:rsid w:val="4B7D4971"/>
    <w:rsid w:val="4B826675"/>
    <w:rsid w:val="4BEC3E0D"/>
    <w:rsid w:val="4BF807E1"/>
    <w:rsid w:val="4C251CDA"/>
    <w:rsid w:val="4C2C7B7A"/>
    <w:rsid w:val="4C323AA7"/>
    <w:rsid w:val="4C766778"/>
    <w:rsid w:val="4CB23F8C"/>
    <w:rsid w:val="4CD94DBF"/>
    <w:rsid w:val="4CF60DEA"/>
    <w:rsid w:val="4D044C05"/>
    <w:rsid w:val="4D0E689A"/>
    <w:rsid w:val="4D8A7289"/>
    <w:rsid w:val="4D9608B3"/>
    <w:rsid w:val="4DB0441E"/>
    <w:rsid w:val="4DB709F4"/>
    <w:rsid w:val="4DC05441"/>
    <w:rsid w:val="4DDE0CC1"/>
    <w:rsid w:val="4DE41885"/>
    <w:rsid w:val="4E3A6050"/>
    <w:rsid w:val="4E592EF2"/>
    <w:rsid w:val="4E5E1A12"/>
    <w:rsid w:val="4E606CDA"/>
    <w:rsid w:val="4E87356F"/>
    <w:rsid w:val="4E8B22EB"/>
    <w:rsid w:val="4E967676"/>
    <w:rsid w:val="4F0172D3"/>
    <w:rsid w:val="4F20710F"/>
    <w:rsid w:val="4F4E3E05"/>
    <w:rsid w:val="4F913918"/>
    <w:rsid w:val="4FD8420E"/>
    <w:rsid w:val="4FE8616E"/>
    <w:rsid w:val="4FEE09FE"/>
    <w:rsid w:val="501C7A34"/>
    <w:rsid w:val="503C1750"/>
    <w:rsid w:val="5053496D"/>
    <w:rsid w:val="5087011D"/>
    <w:rsid w:val="508E49E6"/>
    <w:rsid w:val="509515D3"/>
    <w:rsid w:val="50C73EFD"/>
    <w:rsid w:val="50FC442C"/>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DA0710"/>
    <w:rsid w:val="56FF22FB"/>
    <w:rsid w:val="570B22D5"/>
    <w:rsid w:val="570D54AE"/>
    <w:rsid w:val="574915F0"/>
    <w:rsid w:val="576C7199"/>
    <w:rsid w:val="57A91C76"/>
    <w:rsid w:val="57AA529B"/>
    <w:rsid w:val="58020D87"/>
    <w:rsid w:val="58294434"/>
    <w:rsid w:val="582E7A3E"/>
    <w:rsid w:val="583379D8"/>
    <w:rsid w:val="5844757E"/>
    <w:rsid w:val="586D32DF"/>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3710B2"/>
    <w:rsid w:val="5B413693"/>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B6304"/>
    <w:rsid w:val="5D3C3C86"/>
    <w:rsid w:val="5D466002"/>
    <w:rsid w:val="5D5C2DBD"/>
    <w:rsid w:val="5D84726F"/>
    <w:rsid w:val="5D8D5040"/>
    <w:rsid w:val="5DB12C6D"/>
    <w:rsid w:val="5DF86089"/>
    <w:rsid w:val="5E570355"/>
    <w:rsid w:val="5E654A3F"/>
    <w:rsid w:val="5E68070E"/>
    <w:rsid w:val="5E6A305B"/>
    <w:rsid w:val="5E701944"/>
    <w:rsid w:val="5E833B80"/>
    <w:rsid w:val="5EBA09EF"/>
    <w:rsid w:val="5ECC3544"/>
    <w:rsid w:val="5F0955F5"/>
    <w:rsid w:val="5F0E4D1D"/>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1615891"/>
    <w:rsid w:val="618A53C3"/>
    <w:rsid w:val="61E360F6"/>
    <w:rsid w:val="62137AD9"/>
    <w:rsid w:val="62260CC7"/>
    <w:rsid w:val="62A551E6"/>
    <w:rsid w:val="62E16AB1"/>
    <w:rsid w:val="639107B4"/>
    <w:rsid w:val="63C441CF"/>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AE1D98"/>
    <w:rsid w:val="68CA3EF1"/>
    <w:rsid w:val="693938FE"/>
    <w:rsid w:val="693C7828"/>
    <w:rsid w:val="69466F3B"/>
    <w:rsid w:val="69652A6D"/>
    <w:rsid w:val="698452BC"/>
    <w:rsid w:val="69A61B16"/>
    <w:rsid w:val="69C4214F"/>
    <w:rsid w:val="69F4652A"/>
    <w:rsid w:val="69F721E8"/>
    <w:rsid w:val="6A275063"/>
    <w:rsid w:val="6A462967"/>
    <w:rsid w:val="6A511BEE"/>
    <w:rsid w:val="6A7F671B"/>
    <w:rsid w:val="6AA3550E"/>
    <w:rsid w:val="6AFF7D85"/>
    <w:rsid w:val="6B110B94"/>
    <w:rsid w:val="6B1235AB"/>
    <w:rsid w:val="6B136E8C"/>
    <w:rsid w:val="6B2B6686"/>
    <w:rsid w:val="6B2C7DD1"/>
    <w:rsid w:val="6B77670B"/>
    <w:rsid w:val="6BDE7D3B"/>
    <w:rsid w:val="6BF5227B"/>
    <w:rsid w:val="6C0001A5"/>
    <w:rsid w:val="6C7478F0"/>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0A330D"/>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B04223"/>
    <w:rsid w:val="70E36DDC"/>
    <w:rsid w:val="71444B25"/>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AE0496"/>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627ECC"/>
    <w:rsid w:val="7D660184"/>
    <w:rsid w:val="7D803F37"/>
    <w:rsid w:val="7D8E1AFA"/>
    <w:rsid w:val="7D9635FC"/>
    <w:rsid w:val="7DBC3E68"/>
    <w:rsid w:val="7E7B2E05"/>
    <w:rsid w:val="7E92054B"/>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 w:type="paragraph" w:styleId="1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6B23264895E8437C8B89163019A43A68</cp:lastModifiedBy>
  <dcterms:modified xsi:type="dcterms:W3CDTF">2024-09-13T07:26:20Z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2A0F7FD190864ABF8EDAD2BBE6EFDFC9</vt:lpwstr>
  </property>
</Properties>
</file>