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jc w:val="center"/>
        <w:rPr>
          <w:rFonts w:ascii="黑体" w:eastAsia="黑体"/>
          <w:sz w:val="32"/>
          <w:szCs w:val="32"/>
        </w:rPr>
      </w:pPr>
    </w:p>
    <w:p>
      <w:pPr>
        <w:ind w:firstLine="640"/>
        <w:jc w:val="center"/>
        <w:rPr>
          <w:rFonts w:ascii="黑体" w:eastAsia="黑体"/>
          <w:sz w:val="32"/>
          <w:szCs w:val="32"/>
        </w:rPr>
      </w:pPr>
    </w:p>
    <w:p>
      <w:pPr>
        <w:ind w:left="0" w:leftChars="0" w:firstLine="0" w:firstLineChars="0"/>
        <w:jc w:val="center"/>
        <w:rPr>
          <w:rFonts w:ascii="黑体" w:eastAsia="黑体"/>
          <w:b/>
          <w:bCs/>
          <w:sz w:val="44"/>
          <w:szCs w:val="44"/>
        </w:rPr>
      </w:pPr>
      <w:r>
        <w:rPr>
          <w:rFonts w:hint="eastAsia" w:ascii="黑体" w:eastAsia="黑体"/>
          <w:b/>
          <w:bCs/>
          <w:sz w:val="44"/>
          <w:szCs w:val="44"/>
          <w:lang w:val="en-US" w:eastAsia="zh-CN"/>
        </w:rPr>
        <w:t>站内管道光缆走向三维展示工具（测试）技术协议</w:t>
      </w: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640"/>
        <w:jc w:val="center"/>
        <w:rPr>
          <w:rFonts w:ascii="黑体" w:eastAsia="黑体"/>
          <w:sz w:val="32"/>
          <w:szCs w:val="32"/>
        </w:rPr>
      </w:pPr>
    </w:p>
    <w:p>
      <w:pPr>
        <w:ind w:firstLine="0" w:firstLineChars="0"/>
        <w:rPr>
          <w:rFonts w:ascii="黑体" w:eastAsia="黑体"/>
          <w:sz w:val="32"/>
          <w:szCs w:val="32"/>
        </w:rPr>
      </w:pPr>
    </w:p>
    <w:p>
      <w:pPr>
        <w:ind w:firstLine="0" w:firstLineChars="0"/>
        <w:jc w:val="center"/>
        <w:rPr>
          <w:rFonts w:ascii="宋体" w:hAnsi="宋体" w:cs="宋体"/>
          <w:szCs w:val="32"/>
        </w:rPr>
      </w:pPr>
      <w:r>
        <w:rPr>
          <w:rFonts w:hint="eastAsia" w:ascii="黑体" w:eastAsia="黑体"/>
          <w:sz w:val="32"/>
          <w:szCs w:val="32"/>
        </w:rPr>
        <w:t>广东电网责任有限公司云浮供电局</w:t>
      </w:r>
    </w:p>
    <w:p>
      <w:pPr>
        <w:ind w:firstLine="480"/>
        <w:rPr>
          <w:rFonts w:ascii="宋体" w:hAnsi="宋体" w:cs="宋体"/>
          <w:szCs w:val="32"/>
        </w:rPr>
      </w:pPr>
    </w:p>
    <w:p>
      <w:pPr>
        <w:ind w:firstLine="480"/>
        <w:rPr>
          <w:rFonts w:ascii="宋体" w:hAnsi="宋体" w:cs="宋体"/>
          <w:szCs w:val="32"/>
        </w:rPr>
      </w:pPr>
    </w:p>
    <w:p>
      <w:pPr>
        <w:ind w:firstLine="480"/>
        <w:rPr>
          <w:rFonts w:ascii="宋体" w:hAnsi="宋体" w:cs="宋体"/>
          <w:szCs w:val="32"/>
        </w:rPr>
      </w:pPr>
    </w:p>
    <w:p>
      <w:pPr>
        <w:ind w:firstLine="480"/>
        <w:rPr>
          <w:rFonts w:ascii="宋体" w:hAnsi="宋体" w:cs="宋体"/>
          <w:szCs w:val="32"/>
        </w:rPr>
      </w:pPr>
    </w:p>
    <w:p>
      <w:pPr>
        <w:ind w:firstLine="480"/>
        <w:rPr>
          <w:rFonts w:ascii="宋体" w:hAnsi="宋体" w:cs="宋体"/>
          <w:szCs w:val="32"/>
        </w:rPr>
      </w:pPr>
    </w:p>
    <w:p>
      <w:pPr>
        <w:widowControl/>
        <w:spacing w:line="240" w:lineRule="auto"/>
        <w:ind w:firstLine="0" w:firstLineChars="0"/>
        <w:jc w:val="left"/>
        <w:rPr>
          <w:rFonts w:ascii="宋体" w:hAnsi="宋体" w:cs="宋体"/>
          <w:szCs w:val="32"/>
        </w:rPr>
      </w:pPr>
      <w:r>
        <w:rPr>
          <w:rFonts w:ascii="宋体" w:hAnsi="宋体" w:cs="宋体"/>
          <w:szCs w:val="32"/>
        </w:rPr>
        <w:br w:type="page"/>
      </w:r>
    </w:p>
    <w:p>
      <w:pPr>
        <w:numPr>
          <w:ilvl w:val="0"/>
          <w:numId w:val="1"/>
        </w:numPr>
        <w:ind w:firstLine="200" w:firstLineChars="0"/>
        <w:outlineLvl w:val="0"/>
        <w:rPr>
          <w:b/>
          <w:bCs/>
          <w:kern w:val="24"/>
          <w:sz w:val="32"/>
          <w:szCs w:val="32"/>
        </w:rPr>
      </w:pPr>
      <w:bookmarkStart w:id="0" w:name="_Toc110257734"/>
      <w:bookmarkStart w:id="1" w:name="_Toc110256920"/>
      <w:r>
        <w:rPr>
          <w:rFonts w:hint="eastAsia"/>
          <w:b/>
          <w:bCs/>
          <w:kern w:val="24"/>
          <w:sz w:val="32"/>
          <w:szCs w:val="32"/>
        </w:rPr>
        <w:t>遵循的规范与标准</w:t>
      </w:r>
      <w:bookmarkEnd w:id="0"/>
      <w:bookmarkEnd w:id="1"/>
    </w:p>
    <w:p>
      <w:pPr>
        <w:ind w:firstLine="480"/>
        <w:rPr>
          <w:rFonts w:hint="eastAsia" w:eastAsia="宋体"/>
          <w:lang w:eastAsia="zh-CN"/>
        </w:rPr>
      </w:pPr>
      <w:r>
        <w:t>在开展本</w:t>
      </w:r>
      <w:r>
        <w:rPr>
          <w:rFonts w:hint="eastAsia"/>
        </w:rPr>
        <w:t>项目的</w:t>
      </w:r>
      <w:r>
        <w:t>测试</w:t>
      </w:r>
      <w:r>
        <w:rPr>
          <w:rFonts w:hint="eastAsia"/>
        </w:rPr>
        <w:t>工作过程中，应遵循以下规范及标准，并按“1.</w:t>
      </w:r>
      <w:r>
        <w:t>1、</w:t>
      </w:r>
      <w:r>
        <w:rPr>
          <w:rFonts w:hint="eastAsia"/>
        </w:rPr>
        <w:t>测试有关法规”、“1.2、信息系统有关技术标准、规范”执行</w:t>
      </w:r>
      <w:r>
        <w:rPr>
          <w:rFonts w:hint="eastAsia"/>
          <w:lang w:eastAsia="zh-CN"/>
        </w:rPr>
        <w:t>。</w:t>
      </w:r>
    </w:p>
    <w:p>
      <w:pPr>
        <w:pStyle w:val="24"/>
        <w:numPr>
          <w:ilvl w:val="0"/>
          <w:numId w:val="2"/>
        </w:numPr>
        <w:ind w:firstLineChars="0"/>
        <w:jc w:val="left"/>
        <w:rPr>
          <w:rFonts w:ascii="宋体" w:hAnsi="宋体"/>
          <w:color w:val="000000"/>
        </w:rPr>
      </w:pPr>
      <w:r>
        <w:rPr>
          <w:rFonts w:hint="eastAsia" w:ascii="宋体" w:hAnsi="宋体"/>
          <w:color w:val="000000"/>
        </w:rPr>
        <w:t>《南方电网IT主流设备安全基线技术规范》</w:t>
      </w:r>
    </w:p>
    <w:p>
      <w:pPr>
        <w:pStyle w:val="24"/>
        <w:numPr>
          <w:ilvl w:val="0"/>
          <w:numId w:val="2"/>
        </w:numPr>
        <w:ind w:firstLineChars="0"/>
        <w:jc w:val="left"/>
        <w:rPr>
          <w:rFonts w:ascii="宋体" w:hAnsi="宋体"/>
          <w:color w:val="000000"/>
        </w:rPr>
      </w:pPr>
      <w:r>
        <w:rPr>
          <w:rFonts w:hint="eastAsia" w:ascii="宋体" w:hAnsi="宋体"/>
          <w:color w:val="000000"/>
        </w:rPr>
        <w:t>《南方电网管理信息系统入网安全测评技术规范》(征求意见稿)</w:t>
      </w:r>
    </w:p>
    <w:p>
      <w:pPr>
        <w:pStyle w:val="2"/>
        <w:rPr>
          <w:b/>
          <w:sz w:val="28"/>
          <w:szCs w:val="28"/>
        </w:rPr>
      </w:pPr>
      <w:bookmarkStart w:id="2" w:name="_Toc110257735"/>
      <w:bookmarkStart w:id="3" w:name="_Toc110256921"/>
      <w:r>
        <w:rPr>
          <w:b/>
          <w:sz w:val="28"/>
          <w:szCs w:val="28"/>
        </w:rPr>
        <w:t>测试</w:t>
      </w:r>
      <w:r>
        <w:rPr>
          <w:rFonts w:hint="eastAsia"/>
          <w:b/>
          <w:sz w:val="28"/>
          <w:szCs w:val="28"/>
        </w:rPr>
        <w:t>有关法规</w:t>
      </w:r>
      <w:bookmarkEnd w:id="2"/>
      <w:bookmarkEnd w:id="3"/>
    </w:p>
    <w:p>
      <w:pPr>
        <w:numPr>
          <w:ilvl w:val="0"/>
          <w:numId w:val="3"/>
        </w:numPr>
        <w:ind w:firstLineChars="0"/>
      </w:pPr>
      <w:r>
        <w:rPr>
          <w:rFonts w:hint="eastAsia"/>
        </w:rPr>
        <w:t>《中华人民共和国合同法》</w:t>
      </w:r>
    </w:p>
    <w:p>
      <w:pPr>
        <w:numPr>
          <w:ilvl w:val="0"/>
          <w:numId w:val="3"/>
        </w:numPr>
        <w:ind w:firstLineChars="0"/>
      </w:pPr>
      <w:r>
        <w:rPr>
          <w:rFonts w:hint="eastAsia"/>
        </w:rPr>
        <w:t>《中华人民共和国著作权法》</w:t>
      </w:r>
    </w:p>
    <w:p>
      <w:pPr>
        <w:numPr>
          <w:ilvl w:val="0"/>
          <w:numId w:val="3"/>
        </w:numPr>
        <w:ind w:firstLineChars="0"/>
      </w:pPr>
      <w:r>
        <w:rPr>
          <w:rFonts w:hint="eastAsia"/>
        </w:rPr>
        <w:t>国务院　《计算机软件保护条例》</w:t>
      </w:r>
    </w:p>
    <w:p>
      <w:pPr>
        <w:numPr>
          <w:ilvl w:val="0"/>
          <w:numId w:val="3"/>
        </w:numPr>
        <w:ind w:firstLineChars="0"/>
      </w:pPr>
      <w:r>
        <w:rPr>
          <w:rFonts w:hint="eastAsia"/>
        </w:rPr>
        <w:t>国务院　《中华人民共和国计算机信息系统安全保护条例》</w:t>
      </w:r>
    </w:p>
    <w:p>
      <w:pPr>
        <w:pStyle w:val="2"/>
        <w:rPr>
          <w:b/>
          <w:sz w:val="28"/>
          <w:szCs w:val="28"/>
        </w:rPr>
      </w:pPr>
      <w:bookmarkStart w:id="4" w:name="_Toc110256922"/>
      <w:bookmarkStart w:id="5" w:name="_Toc110257736"/>
      <w:r>
        <w:rPr>
          <w:rFonts w:hint="eastAsia"/>
          <w:b/>
          <w:sz w:val="28"/>
          <w:szCs w:val="28"/>
        </w:rPr>
        <w:t>信息系统有关技术标准、规范</w:t>
      </w:r>
      <w:bookmarkEnd w:id="4"/>
      <w:bookmarkEnd w:id="5"/>
    </w:p>
    <w:p>
      <w:pPr>
        <w:numPr>
          <w:ilvl w:val="0"/>
          <w:numId w:val="4"/>
        </w:numPr>
        <w:ind w:firstLineChars="0"/>
      </w:pPr>
      <w:r>
        <w:rPr>
          <w:rFonts w:hint="eastAsia"/>
        </w:rPr>
        <w:t>GB/T 19716－2005《信息技术信息安全管理适用规则》</w:t>
      </w:r>
    </w:p>
    <w:p>
      <w:pPr>
        <w:numPr>
          <w:ilvl w:val="0"/>
          <w:numId w:val="4"/>
        </w:numPr>
        <w:ind w:firstLineChars="0"/>
      </w:pPr>
      <w:r>
        <w:rPr>
          <w:rFonts w:hint="eastAsia"/>
        </w:rPr>
        <w:t>GB/T 22080-2008《信息技术安全技术信息安全管理体系要求》</w:t>
      </w:r>
    </w:p>
    <w:p>
      <w:pPr>
        <w:numPr>
          <w:ilvl w:val="0"/>
          <w:numId w:val="4"/>
        </w:numPr>
        <w:ind w:firstLineChars="0"/>
      </w:pPr>
      <w:r>
        <w:rPr>
          <w:rFonts w:hint="eastAsia"/>
        </w:rPr>
        <w:t>GB/T 22081-2008《信息技术安全技术信息安全管理实用规则》</w:t>
      </w:r>
    </w:p>
    <w:p>
      <w:pPr>
        <w:numPr>
          <w:ilvl w:val="0"/>
          <w:numId w:val="4"/>
        </w:numPr>
        <w:ind w:firstLineChars="0"/>
      </w:pPr>
      <w:r>
        <w:rPr>
          <w:rFonts w:hint="eastAsia"/>
        </w:rPr>
        <w:t>GB/T 20274《信息系统安全保障评估框架》</w:t>
      </w:r>
    </w:p>
    <w:p>
      <w:pPr>
        <w:numPr>
          <w:ilvl w:val="0"/>
          <w:numId w:val="4"/>
        </w:numPr>
        <w:ind w:firstLineChars="0"/>
      </w:pPr>
      <w:r>
        <w:rPr>
          <w:rFonts w:hint="eastAsia"/>
        </w:rPr>
        <w:t>GB/T 28448-2012《信息系统安全等级保护测评要求》</w:t>
      </w:r>
    </w:p>
    <w:p>
      <w:pPr>
        <w:numPr>
          <w:ilvl w:val="0"/>
          <w:numId w:val="4"/>
        </w:numPr>
        <w:ind w:firstLineChars="0"/>
      </w:pPr>
      <w:r>
        <w:rPr>
          <w:rFonts w:hint="eastAsia"/>
        </w:rPr>
        <w:t>GB/T 25058-2010《信息系统安全等级保护实施指南》</w:t>
      </w:r>
    </w:p>
    <w:p>
      <w:pPr>
        <w:numPr>
          <w:ilvl w:val="0"/>
          <w:numId w:val="4"/>
        </w:numPr>
        <w:ind w:firstLineChars="0"/>
      </w:pPr>
      <w:r>
        <w:rPr>
          <w:rFonts w:hint="eastAsia"/>
        </w:rPr>
        <w:t>Q/CSG11814-2009《南方电网网络与信息安全风险评估规范》</w:t>
      </w:r>
    </w:p>
    <w:p>
      <w:pPr>
        <w:ind w:firstLine="0" w:firstLineChars="0"/>
      </w:pPr>
    </w:p>
    <w:p>
      <w:pPr>
        <w:numPr>
          <w:ilvl w:val="0"/>
          <w:numId w:val="1"/>
        </w:numPr>
        <w:ind w:firstLine="200" w:firstLineChars="0"/>
        <w:outlineLvl w:val="0"/>
        <w:rPr>
          <w:b/>
          <w:bCs/>
          <w:kern w:val="24"/>
          <w:sz w:val="32"/>
          <w:szCs w:val="32"/>
        </w:rPr>
      </w:pPr>
      <w:bookmarkStart w:id="6" w:name="_Toc110257737"/>
      <w:bookmarkStart w:id="7" w:name="_Toc110256923"/>
      <w:r>
        <w:rPr>
          <w:rFonts w:hint="eastAsia"/>
          <w:b/>
          <w:bCs/>
          <w:kern w:val="24"/>
          <w:sz w:val="32"/>
          <w:szCs w:val="32"/>
        </w:rPr>
        <w:t>项目描述</w:t>
      </w:r>
      <w:bookmarkEnd w:id="6"/>
      <w:bookmarkEnd w:id="7"/>
    </w:p>
    <w:p>
      <w:pPr>
        <w:ind w:left="0" w:leftChars="0" w:firstLine="420" w:firstLineChars="0"/>
      </w:pPr>
      <w:r>
        <w:rPr>
          <w:rFonts w:ascii="宋体" w:hAnsi="宋体"/>
          <w:sz w:val="24"/>
        </w:rPr>
        <w:t>目前变电站内管道光缆走向还停留在图纸记录阶段，在变电站扩建、土建等施工开始前，需对施工单位进行交底，防止施工对光缆造成破坏，造成业务非计划中断。但一方面图纸存在不够清晰、直观等问题，有可能会存在交底不到位或施工单位不够细致研读图纸等情况，理解与实际有误差，另一方面，图纸存在更新时效的问题，如变电和通信专业各手执一份，难以保持保持同一更新进度。 针对以上痛点，计划以卧龙站为试点，通过三维技术，开发一个卧龙站内管道光缆走向可视化模型，三维模型可以清晰地显示各个管道光缆的走向，使交底工作更加清晰明确，同时，模型提供了统一管理更新管道光缆走向的平台，使各专业能统一掌握现有管道光缆的走向。本模型为可视化工具，清晰易懂。</w:t>
      </w:r>
    </w:p>
    <w:tbl>
      <w:tblPr>
        <w:tblStyle w:val="15"/>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021"/>
        <w:gridCol w:w="6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jc w:val="center"/>
        </w:trPr>
        <w:tc>
          <w:tcPr>
            <w:tcW w:w="3021" w:type="dxa"/>
            <w:shd w:val="clear" w:color="auto" w:fill="E0E0E0"/>
            <w:vAlign w:val="center"/>
          </w:tcPr>
          <w:p>
            <w:pPr>
              <w:tabs>
                <w:tab w:val="left" w:pos="180"/>
              </w:tabs>
              <w:ind w:firstLine="480"/>
              <w:jc w:val="center"/>
              <w:rPr>
                <w:rFonts w:ascii="宋体" w:hAnsi="宋体"/>
                <w:color w:val="000000"/>
                <w:szCs w:val="21"/>
              </w:rPr>
            </w:pPr>
            <w:r>
              <w:rPr>
                <w:rFonts w:hint="eastAsia" w:ascii="宋体" w:hAnsi="宋体"/>
                <w:color w:val="000000"/>
                <w:szCs w:val="21"/>
              </w:rPr>
              <w:t>工具类型</w:t>
            </w:r>
          </w:p>
        </w:tc>
        <w:tc>
          <w:tcPr>
            <w:tcW w:w="6380" w:type="dxa"/>
            <w:shd w:val="clear" w:color="auto" w:fill="E0E0E0"/>
            <w:vAlign w:val="center"/>
          </w:tcPr>
          <w:p>
            <w:pPr>
              <w:tabs>
                <w:tab w:val="left" w:pos="180"/>
              </w:tabs>
              <w:ind w:firstLine="480"/>
              <w:jc w:val="center"/>
              <w:rPr>
                <w:rFonts w:ascii="宋体" w:hAnsi="宋体"/>
                <w:color w:val="000000"/>
                <w:szCs w:val="21"/>
              </w:rPr>
            </w:pPr>
            <w:r>
              <w:rPr>
                <w:rFonts w:hint="eastAsia" w:ascii="宋体" w:hAnsi="宋体"/>
                <w:color w:val="000000"/>
                <w:szCs w:val="21"/>
              </w:rPr>
              <w:t>测试工具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jc w:val="center"/>
        </w:trPr>
        <w:tc>
          <w:tcPr>
            <w:tcW w:w="3021" w:type="dxa"/>
            <w:vAlign w:val="center"/>
          </w:tcPr>
          <w:p>
            <w:pPr>
              <w:tabs>
                <w:tab w:val="left" w:pos="180"/>
              </w:tabs>
              <w:ind w:firstLine="480"/>
              <w:jc w:val="center"/>
              <w:rPr>
                <w:rFonts w:ascii="宋体" w:hAnsi="宋体"/>
                <w:color w:val="000000"/>
                <w:szCs w:val="21"/>
              </w:rPr>
            </w:pPr>
            <w:r>
              <w:rPr>
                <w:rFonts w:hint="eastAsia" w:ascii="宋体" w:hAnsi="宋体"/>
                <w:color w:val="000000"/>
                <w:szCs w:val="21"/>
              </w:rPr>
              <w:t>漏洞扫描</w:t>
            </w:r>
          </w:p>
        </w:tc>
        <w:tc>
          <w:tcPr>
            <w:tcW w:w="6380" w:type="dxa"/>
            <w:vAlign w:val="center"/>
          </w:tcPr>
          <w:p>
            <w:pPr>
              <w:tabs>
                <w:tab w:val="left" w:pos="180"/>
              </w:tabs>
              <w:ind w:firstLine="480"/>
              <w:jc w:val="center"/>
              <w:rPr>
                <w:rFonts w:ascii="宋体" w:hAnsi="宋体"/>
                <w:color w:val="000000"/>
                <w:szCs w:val="21"/>
              </w:rPr>
            </w:pPr>
            <w:r>
              <w:rPr>
                <w:rFonts w:hint="eastAsia" w:ascii="宋体" w:hAnsi="宋体"/>
                <w:color w:val="000000"/>
              </w:rPr>
              <w:t>第三方入网安全评测试机构</w:t>
            </w:r>
            <w:r>
              <w:rPr>
                <w:rFonts w:ascii="宋体" w:hAnsi="宋体"/>
                <w:color w:val="000000"/>
                <w:szCs w:val="21"/>
              </w:rPr>
              <w:t>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jc w:val="center"/>
        </w:trPr>
        <w:tc>
          <w:tcPr>
            <w:tcW w:w="3021" w:type="dxa"/>
            <w:vAlign w:val="center"/>
          </w:tcPr>
          <w:p>
            <w:pPr>
              <w:tabs>
                <w:tab w:val="left" w:pos="180"/>
              </w:tabs>
              <w:ind w:firstLine="480"/>
              <w:jc w:val="center"/>
              <w:rPr>
                <w:rFonts w:ascii="宋体" w:hAnsi="宋体"/>
                <w:color w:val="000000"/>
                <w:szCs w:val="21"/>
              </w:rPr>
            </w:pPr>
            <w:r>
              <w:rPr>
                <w:rFonts w:hint="eastAsia" w:ascii="宋体" w:hAnsi="宋体"/>
                <w:color w:val="000000"/>
                <w:szCs w:val="21"/>
              </w:rPr>
              <w:t>渗透测试</w:t>
            </w:r>
          </w:p>
        </w:tc>
        <w:tc>
          <w:tcPr>
            <w:tcW w:w="6380" w:type="dxa"/>
            <w:vAlign w:val="center"/>
          </w:tcPr>
          <w:p>
            <w:pPr>
              <w:tabs>
                <w:tab w:val="left" w:pos="180"/>
              </w:tabs>
              <w:ind w:firstLine="480"/>
              <w:jc w:val="center"/>
              <w:rPr>
                <w:rFonts w:ascii="宋体" w:hAnsi="宋体"/>
                <w:color w:val="000000"/>
                <w:szCs w:val="21"/>
              </w:rPr>
            </w:pPr>
            <w:r>
              <w:rPr>
                <w:rFonts w:hint="eastAsia" w:ascii="宋体" w:hAnsi="宋体"/>
                <w:color w:val="000000"/>
              </w:rPr>
              <w:t>第三方入网安全评测试机构</w:t>
            </w:r>
            <w:r>
              <w:rPr>
                <w:rFonts w:ascii="宋体" w:hAnsi="宋体"/>
                <w:color w:val="000000"/>
                <w:szCs w:val="21"/>
              </w:rPr>
              <w:t>提供</w:t>
            </w:r>
          </w:p>
        </w:tc>
      </w:tr>
    </w:tbl>
    <w:p>
      <w:pPr>
        <w:ind w:firstLine="480"/>
      </w:pPr>
    </w:p>
    <w:p>
      <w:pPr>
        <w:ind w:firstLine="0" w:firstLineChars="0"/>
      </w:pPr>
    </w:p>
    <w:p>
      <w:pPr>
        <w:numPr>
          <w:ilvl w:val="0"/>
          <w:numId w:val="1"/>
        </w:numPr>
        <w:ind w:firstLine="200" w:firstLineChars="0"/>
        <w:outlineLvl w:val="0"/>
        <w:rPr>
          <w:b/>
          <w:bCs/>
          <w:kern w:val="24"/>
          <w:sz w:val="32"/>
          <w:szCs w:val="32"/>
        </w:rPr>
      </w:pPr>
      <w:bookmarkStart w:id="8" w:name="_Toc110256926"/>
      <w:bookmarkStart w:id="9" w:name="_Toc110257740"/>
      <w:r>
        <w:rPr>
          <w:rFonts w:hint="eastAsia"/>
          <w:b/>
          <w:bCs/>
          <w:kern w:val="24"/>
          <w:sz w:val="32"/>
          <w:szCs w:val="32"/>
        </w:rPr>
        <w:t>项目实施</w:t>
      </w:r>
      <w:bookmarkEnd w:id="8"/>
      <w:bookmarkEnd w:id="9"/>
    </w:p>
    <w:p>
      <w:pPr>
        <w:pStyle w:val="2"/>
        <w:rPr>
          <w:b/>
          <w:sz w:val="28"/>
          <w:szCs w:val="28"/>
        </w:rPr>
      </w:pPr>
      <w:bookmarkStart w:id="10" w:name="_Toc110256927"/>
      <w:bookmarkStart w:id="11" w:name="_Toc110257741"/>
      <w:r>
        <w:rPr>
          <w:b/>
          <w:sz w:val="28"/>
          <w:szCs w:val="28"/>
        </w:rPr>
        <w:t>测试</w:t>
      </w:r>
      <w:r>
        <w:rPr>
          <w:rFonts w:hint="eastAsia"/>
          <w:b/>
          <w:sz w:val="28"/>
          <w:szCs w:val="28"/>
        </w:rPr>
        <w:t>和成果</w:t>
      </w:r>
      <w:bookmarkEnd w:id="10"/>
      <w:bookmarkEnd w:id="11"/>
    </w:p>
    <w:p>
      <w:pPr>
        <w:ind w:firstLine="480"/>
      </w:pPr>
      <w:r>
        <w:rPr>
          <w:rFonts w:hint="eastAsia"/>
        </w:rPr>
        <w:t>为保证项目的顺利实施，乙方需提供：</w:t>
      </w:r>
    </w:p>
    <w:p>
      <w:pPr>
        <w:numPr>
          <w:ilvl w:val="0"/>
          <w:numId w:val="5"/>
        </w:numPr>
        <w:ind w:left="826" w:hanging="374" w:firstLineChars="0"/>
        <w:jc w:val="left"/>
      </w:pPr>
      <w:r>
        <w:t>第三方测试</w:t>
      </w:r>
      <w:r>
        <w:rPr>
          <w:rFonts w:hint="eastAsia"/>
        </w:rPr>
        <w:t>组织机构和人力资源投入；</w:t>
      </w:r>
    </w:p>
    <w:p>
      <w:pPr>
        <w:numPr>
          <w:ilvl w:val="0"/>
          <w:numId w:val="5"/>
        </w:numPr>
        <w:ind w:left="826" w:hanging="374" w:firstLineChars="0"/>
        <w:jc w:val="left"/>
      </w:pPr>
      <w:r>
        <w:rPr>
          <w:rFonts w:hint="eastAsia"/>
        </w:rPr>
        <w:t>对项目整体概况和对本</w:t>
      </w:r>
      <w:r>
        <w:t>测试</w:t>
      </w:r>
      <w:r>
        <w:rPr>
          <w:rFonts w:hint="eastAsia"/>
        </w:rPr>
        <w:t>项目要求的整体理解；</w:t>
      </w:r>
    </w:p>
    <w:p>
      <w:pPr>
        <w:numPr>
          <w:ilvl w:val="0"/>
          <w:numId w:val="5"/>
        </w:numPr>
        <w:ind w:left="826" w:hanging="374" w:firstLineChars="0"/>
        <w:jc w:val="left"/>
      </w:pPr>
      <w:r>
        <w:rPr>
          <w:rFonts w:hint="eastAsia"/>
        </w:rPr>
        <w:t>项目质量管理的方法和措施；</w:t>
      </w:r>
    </w:p>
    <w:p>
      <w:pPr>
        <w:numPr>
          <w:ilvl w:val="0"/>
          <w:numId w:val="5"/>
        </w:numPr>
        <w:ind w:left="826" w:hanging="374" w:firstLineChars="0"/>
        <w:jc w:val="left"/>
      </w:pPr>
      <w:r>
        <w:rPr>
          <w:rFonts w:hint="eastAsia"/>
        </w:rPr>
        <w:t>项目问题管理、配置管理、风险管理的方法和措施；</w:t>
      </w:r>
    </w:p>
    <w:p>
      <w:pPr>
        <w:numPr>
          <w:ilvl w:val="0"/>
          <w:numId w:val="5"/>
        </w:numPr>
        <w:ind w:left="826" w:hanging="374" w:firstLineChars="0"/>
        <w:jc w:val="left"/>
      </w:pPr>
      <w:r>
        <w:rPr>
          <w:rFonts w:hint="eastAsia"/>
        </w:rPr>
        <w:t>项目沟通管理的方法和措施；</w:t>
      </w:r>
    </w:p>
    <w:p>
      <w:pPr>
        <w:numPr>
          <w:ilvl w:val="0"/>
          <w:numId w:val="5"/>
        </w:numPr>
        <w:ind w:left="826" w:hanging="374" w:firstLineChars="0"/>
        <w:jc w:val="left"/>
      </w:pPr>
      <w:r>
        <w:rPr>
          <w:rFonts w:hint="eastAsia"/>
        </w:rPr>
        <w:t>项目验收管理的方法和措施；</w:t>
      </w:r>
    </w:p>
    <w:p>
      <w:pPr>
        <w:numPr>
          <w:ilvl w:val="0"/>
          <w:numId w:val="5"/>
        </w:numPr>
        <w:ind w:left="826" w:hanging="374" w:firstLineChars="0"/>
        <w:jc w:val="left"/>
      </w:pPr>
      <w:r>
        <w:rPr>
          <w:rFonts w:hint="eastAsia"/>
        </w:rPr>
        <w:t>信息安全和知识产权的管理控制的方法和措施。</w:t>
      </w:r>
    </w:p>
    <w:p>
      <w:pPr>
        <w:pStyle w:val="2"/>
        <w:rPr>
          <w:b/>
          <w:sz w:val="28"/>
          <w:szCs w:val="28"/>
        </w:rPr>
      </w:pPr>
      <w:bookmarkStart w:id="12" w:name="_Toc110256928"/>
      <w:bookmarkStart w:id="13" w:name="_Toc110257742"/>
      <w:r>
        <w:rPr>
          <w:rFonts w:hint="eastAsia"/>
          <w:b/>
          <w:sz w:val="28"/>
          <w:szCs w:val="28"/>
        </w:rPr>
        <w:t>项目测试工作</w:t>
      </w:r>
      <w:r>
        <w:rPr>
          <w:b/>
          <w:sz w:val="28"/>
          <w:szCs w:val="28"/>
        </w:rPr>
        <w:t>内容</w:t>
      </w:r>
      <w:r>
        <w:rPr>
          <w:rFonts w:hint="eastAsia"/>
          <w:b/>
          <w:sz w:val="28"/>
          <w:szCs w:val="28"/>
        </w:rPr>
        <w:t>及</w:t>
      </w:r>
      <w:r>
        <w:rPr>
          <w:b/>
          <w:sz w:val="28"/>
          <w:szCs w:val="28"/>
        </w:rPr>
        <w:t>成果</w:t>
      </w:r>
      <w:bookmarkEnd w:id="12"/>
      <w:bookmarkEnd w:id="13"/>
    </w:p>
    <w:p>
      <w:pPr>
        <w:pStyle w:val="3"/>
        <w:keepNext/>
        <w:keepLines/>
        <w:tabs>
          <w:tab w:val="left" w:pos="720"/>
        </w:tabs>
        <w:spacing w:before="120" w:after="120" w:line="415" w:lineRule="auto"/>
        <w:ind w:left="720" w:hanging="720"/>
        <w:rPr>
          <w:b/>
          <w:szCs w:val="24"/>
        </w:rPr>
      </w:pPr>
      <w:bookmarkStart w:id="14" w:name="_Toc110257743"/>
      <w:bookmarkStart w:id="15" w:name="_Toc110256929"/>
      <w:bookmarkStart w:id="16" w:name="_Toc374367411"/>
      <w:r>
        <w:rPr>
          <w:rFonts w:hint="eastAsia"/>
          <w:b/>
          <w:szCs w:val="24"/>
        </w:rPr>
        <w:t>测试工作内容</w:t>
      </w:r>
      <w:bookmarkEnd w:id="14"/>
      <w:bookmarkEnd w:id="15"/>
      <w:bookmarkEnd w:id="16"/>
    </w:p>
    <w:p>
      <w:pPr>
        <w:ind w:firstLine="480"/>
      </w:pPr>
      <w:r>
        <w:rPr>
          <w:rFonts w:hint="eastAsia"/>
        </w:rPr>
        <w:t>（1）测试准备：</w:t>
      </w:r>
    </w:p>
    <w:p>
      <w:pPr>
        <w:ind w:firstLine="480"/>
      </w:pPr>
      <w:r>
        <w:rPr>
          <w:rFonts w:hint="eastAsia"/>
        </w:rPr>
        <w:t>在正式测试实施开始之前，按要求对软件测试项目编写测试方案，主要包括测试目的、评测依据、评测管理、评测内容及方法、测试配合要求、测试结果、测试环境要求以及测试预期项目输出成果等。编写测试用例，包括测试内容、测试步骤、输入内容、期望结果等。</w:t>
      </w:r>
    </w:p>
    <w:p>
      <w:pPr>
        <w:ind w:firstLine="480"/>
      </w:pPr>
      <w:r>
        <w:rPr>
          <w:rFonts w:hint="eastAsia"/>
        </w:rPr>
        <w:t>按照项目</w:t>
      </w:r>
      <w:r>
        <w:t>的</w:t>
      </w:r>
      <w:r>
        <w:rPr>
          <w:rFonts w:hint="eastAsia"/>
        </w:rPr>
        <w:t>正式运行环境要求，搭建测试环境，初始化测试数据，尽可能确保软件测试环境更接近正式环境，以便检查软件错误和评估系统性能。</w:t>
      </w:r>
    </w:p>
    <w:p>
      <w:pPr>
        <w:ind w:firstLine="480"/>
      </w:pPr>
      <w:r>
        <w:rPr>
          <w:rFonts w:hint="eastAsia"/>
        </w:rPr>
        <w:t>在测试实施开始前，需要对系统的运行与应用情况进行调研并设计相应测试用例，检验系统是否满足规定的需求或验证实际结果与预期结果之间是否相一致，并且形成文档。</w:t>
      </w:r>
    </w:p>
    <w:p>
      <w:pPr>
        <w:ind w:firstLine="480"/>
      </w:pPr>
      <w:r>
        <w:rPr>
          <w:rFonts w:hint="eastAsia"/>
        </w:rPr>
        <w:t>（2）测试开展</w:t>
      </w:r>
    </w:p>
    <w:p>
      <w:pPr>
        <w:ind w:firstLine="480"/>
      </w:pPr>
      <w:r>
        <w:rPr>
          <w:rFonts w:hint="eastAsia"/>
        </w:rPr>
        <w:t>在测试过程中做好测试记录，包括测试的时间、地点、操作人、参加人、测试输入数据、期望测试结果、实际测试结果及测试规程等。制定有效的测试场景，分析</w:t>
      </w:r>
      <w:r>
        <w:t>评估项目是否符合建设要求和规范。</w:t>
      </w:r>
    </w:p>
    <w:p>
      <w:pPr>
        <w:ind w:firstLine="480"/>
      </w:pPr>
      <w:r>
        <w:rPr>
          <w:rFonts w:hint="eastAsia"/>
        </w:rPr>
        <w:t>（5）测试分析</w:t>
      </w:r>
    </w:p>
    <w:p>
      <w:pPr>
        <w:ind w:firstLine="480"/>
      </w:pPr>
      <w:r>
        <w:rPr>
          <w:rFonts w:hint="eastAsia"/>
        </w:rPr>
        <w:t>对整个测试过程（包括回归测试）的总结和分析，描述测试的目的、依据、定义、测试的方法、测试通过的标准、测试过程及结果、测试结论及分析等，并编写测试报告，以充分体现通过本次测试情况。</w:t>
      </w:r>
    </w:p>
    <w:p>
      <w:pPr>
        <w:snapToGrid w:val="0"/>
        <w:ind w:firstLine="480"/>
      </w:pPr>
    </w:p>
    <w:p>
      <w:pPr>
        <w:numPr>
          <w:ilvl w:val="0"/>
          <w:numId w:val="1"/>
        </w:numPr>
        <w:ind w:firstLine="200" w:firstLineChars="0"/>
        <w:outlineLvl w:val="0"/>
        <w:rPr>
          <w:b/>
          <w:bCs/>
          <w:kern w:val="24"/>
          <w:sz w:val="32"/>
          <w:szCs w:val="32"/>
        </w:rPr>
      </w:pPr>
      <w:bookmarkStart w:id="17" w:name="_Toc110256933"/>
      <w:bookmarkStart w:id="18" w:name="_Toc110257745"/>
      <w:r>
        <w:rPr>
          <w:rFonts w:hint="eastAsia"/>
          <w:b/>
          <w:bCs/>
          <w:kern w:val="24"/>
          <w:sz w:val="32"/>
          <w:szCs w:val="32"/>
        </w:rPr>
        <w:t>技术支持</w:t>
      </w:r>
      <w:bookmarkEnd w:id="17"/>
      <w:bookmarkEnd w:id="18"/>
    </w:p>
    <w:p>
      <w:pPr>
        <w:pStyle w:val="18"/>
        <w:ind w:firstLine="562"/>
        <w:rPr>
          <w:b/>
          <w:sz w:val="28"/>
          <w:szCs w:val="28"/>
        </w:rPr>
      </w:pPr>
      <w:bookmarkStart w:id="19" w:name="_Toc246352605"/>
      <w:bookmarkStart w:id="20" w:name="_Toc260954625"/>
      <w:r>
        <w:rPr>
          <w:rFonts w:hint="eastAsia"/>
          <w:b/>
          <w:sz w:val="28"/>
          <w:szCs w:val="28"/>
        </w:rPr>
        <w:t>线上守值服务</w:t>
      </w:r>
      <w:bookmarkEnd w:id="19"/>
      <w:bookmarkEnd w:id="20"/>
    </w:p>
    <w:p>
      <w:pPr>
        <w:pStyle w:val="18"/>
        <w:ind w:firstLine="480"/>
        <w:rPr>
          <w:sz w:val="24"/>
        </w:rPr>
      </w:pPr>
      <w:r>
        <w:rPr>
          <w:rFonts w:hint="eastAsia"/>
          <w:sz w:val="24"/>
        </w:rPr>
        <w:t>提供</w:t>
      </w:r>
      <w:r>
        <w:rPr>
          <w:sz w:val="24"/>
        </w:rPr>
        <w:t>7</w:t>
      </w:r>
      <w:r>
        <w:rPr>
          <w:rFonts w:hint="eastAsia"/>
          <w:sz w:val="24"/>
        </w:rPr>
        <w:t>×</w:t>
      </w:r>
      <w:r>
        <w:rPr>
          <w:sz w:val="24"/>
        </w:rPr>
        <w:t>24</w:t>
      </w:r>
      <w:r>
        <w:rPr>
          <w:rFonts w:hint="eastAsia"/>
          <w:sz w:val="24"/>
        </w:rPr>
        <w:t>小时的热线电话响应服务，通过热线电话、</w:t>
      </w:r>
      <w:r>
        <w:rPr>
          <w:sz w:val="24"/>
        </w:rPr>
        <w:t>Internet</w:t>
      </w:r>
      <w:r>
        <w:rPr>
          <w:rFonts w:hint="eastAsia"/>
          <w:sz w:val="24"/>
        </w:rPr>
        <w:t>、来信、电话、传真等方式接受用户意见，在</w:t>
      </w:r>
      <w:r>
        <w:rPr>
          <w:sz w:val="24"/>
        </w:rPr>
        <w:t>2</w:t>
      </w:r>
      <w:r>
        <w:rPr>
          <w:rFonts w:hint="eastAsia"/>
          <w:sz w:val="24"/>
        </w:rPr>
        <w:t>小时内给予答复或处理意见，保证向用户提供细致、周到的技术服务。同时将把每一次技术服务的过程，包括用户信息、处理方法及用户意见做详细的记录，以便随时与用户进行交流、反馈。</w:t>
      </w:r>
    </w:p>
    <w:p>
      <w:pPr>
        <w:pStyle w:val="2"/>
        <w:rPr>
          <w:b/>
          <w:sz w:val="28"/>
          <w:szCs w:val="28"/>
        </w:rPr>
      </w:pPr>
      <w:bookmarkStart w:id="21" w:name="_Toc246352608"/>
      <w:bookmarkStart w:id="22" w:name="_Toc110256934"/>
      <w:bookmarkStart w:id="23" w:name="_Toc110257746"/>
      <w:bookmarkStart w:id="24" w:name="_Toc260954628"/>
      <w:r>
        <w:rPr>
          <w:rFonts w:hint="eastAsia"/>
          <w:b/>
          <w:sz w:val="28"/>
          <w:szCs w:val="28"/>
        </w:rPr>
        <w:t>定期回访服务</w:t>
      </w:r>
      <w:bookmarkEnd w:id="21"/>
      <w:bookmarkEnd w:id="22"/>
      <w:bookmarkEnd w:id="23"/>
      <w:bookmarkEnd w:id="24"/>
    </w:p>
    <w:p>
      <w:pPr>
        <w:pStyle w:val="18"/>
        <w:ind w:firstLine="480"/>
        <w:rPr>
          <w:sz w:val="24"/>
        </w:rPr>
      </w:pPr>
      <w:r>
        <w:rPr>
          <w:rFonts w:hint="eastAsia"/>
          <w:sz w:val="24"/>
        </w:rPr>
        <w:t>定期主动与甲方联络，在项目审核完毕交付使用后，乙方会定期对项目成果的应用情况进行回访，听取甲方对项目使用的意见，填写《项目质量信息反馈》表，及时响应由甲方发出的服务需求，并备案处理。回访的主要目的是了解项目的质量，及时发现问题进行补救和解决，有利于总结经验，提高技术服务水平，满足用户需求。</w:t>
      </w:r>
    </w:p>
    <w:p>
      <w:pPr>
        <w:ind w:firstLine="480"/>
      </w:pPr>
    </w:p>
    <w:p>
      <w:pPr>
        <w:numPr>
          <w:ilvl w:val="0"/>
          <w:numId w:val="1"/>
        </w:numPr>
        <w:ind w:firstLine="200" w:firstLineChars="0"/>
        <w:outlineLvl w:val="0"/>
        <w:rPr>
          <w:b/>
          <w:bCs/>
          <w:kern w:val="24"/>
          <w:sz w:val="32"/>
          <w:szCs w:val="32"/>
        </w:rPr>
      </w:pPr>
      <w:bookmarkStart w:id="25" w:name="_Toc318121662"/>
      <w:bookmarkStart w:id="26" w:name="_Toc664"/>
      <w:bookmarkStart w:id="27" w:name="_Toc110256935"/>
      <w:bookmarkStart w:id="28" w:name="_Toc110257747"/>
      <w:r>
        <w:rPr>
          <w:rFonts w:hint="eastAsia"/>
          <w:b/>
          <w:bCs/>
          <w:kern w:val="24"/>
          <w:sz w:val="32"/>
          <w:szCs w:val="32"/>
        </w:rPr>
        <w:t>知识产权方面要求</w:t>
      </w:r>
      <w:bookmarkEnd w:id="25"/>
      <w:bookmarkEnd w:id="26"/>
      <w:bookmarkEnd w:id="27"/>
      <w:bookmarkEnd w:id="28"/>
    </w:p>
    <w:p>
      <w:pPr>
        <w:pStyle w:val="19"/>
        <w:ind w:firstLine="480"/>
        <w:jc w:val="left"/>
      </w:pPr>
      <w:r>
        <w:rPr>
          <w:rFonts w:hint="eastAsia"/>
        </w:rPr>
        <w:t>所有运行在服务器端的各种非平台功能特性的产品，甲方拥有全部源代码和知识产权，乙方在进行技术支持时，未经书面许可，不得复制、传播以及将此项目结果作为应用案例进行宣传。</w:t>
      </w:r>
    </w:p>
    <w:p>
      <w:pPr>
        <w:ind w:firstLine="480"/>
        <w:rPr>
          <w:rFonts w:ascii="宋体"/>
          <w:kern w:val="0"/>
        </w:rPr>
      </w:pPr>
    </w:p>
    <w:p>
      <w:pPr>
        <w:numPr>
          <w:ilvl w:val="0"/>
          <w:numId w:val="1"/>
        </w:numPr>
        <w:ind w:firstLine="200" w:firstLineChars="0"/>
        <w:outlineLvl w:val="0"/>
        <w:rPr>
          <w:b/>
          <w:bCs/>
          <w:kern w:val="24"/>
          <w:sz w:val="32"/>
          <w:szCs w:val="32"/>
        </w:rPr>
      </w:pPr>
      <w:bookmarkStart w:id="29" w:name="_Toc318121663"/>
      <w:bookmarkStart w:id="30" w:name="_Toc110256936"/>
      <w:bookmarkStart w:id="31" w:name="_Toc5512"/>
      <w:bookmarkStart w:id="32" w:name="_Toc110257748"/>
      <w:r>
        <w:rPr>
          <w:rFonts w:hint="eastAsia"/>
          <w:b/>
          <w:bCs/>
          <w:kern w:val="24"/>
          <w:sz w:val="32"/>
          <w:szCs w:val="32"/>
        </w:rPr>
        <w:t>保密要求</w:t>
      </w:r>
      <w:bookmarkEnd w:id="29"/>
      <w:bookmarkEnd w:id="30"/>
      <w:bookmarkEnd w:id="31"/>
      <w:bookmarkEnd w:id="32"/>
    </w:p>
    <w:p>
      <w:pPr>
        <w:pStyle w:val="19"/>
        <w:ind w:firstLine="480"/>
        <w:jc w:val="left"/>
      </w:pPr>
      <w:r>
        <w:rPr>
          <w:rFonts w:hint="eastAsia"/>
        </w:rPr>
        <w:t>鉴于乙方在为甲方提供技术服务期间，需要开放信息系统、业务数据的访问权限，为加强信息系统的信息安全管理，提出以下保密要求：</w:t>
      </w:r>
    </w:p>
    <w:p>
      <w:pPr>
        <w:pStyle w:val="19"/>
        <w:ind w:firstLine="480"/>
        <w:jc w:val="left"/>
      </w:pPr>
      <w:r>
        <w:rPr>
          <w:rFonts w:hint="eastAsia"/>
        </w:rPr>
        <w:t>乙方在访问信息系统、业务数据期间，负有保护甲方的网络安全、信息安全和系统数据的义务和责任；负有保护所持有、接触的属于或涉及甲方商业秘密的信息安全的义务和责任。</w:t>
      </w:r>
    </w:p>
    <w:p>
      <w:pPr>
        <w:ind w:firstLine="480"/>
      </w:pPr>
      <w:r>
        <w:rPr>
          <w:rFonts w:hint="eastAsia"/>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ind w:firstLine="0" w:firstLineChars="0"/>
      </w:pPr>
    </w:p>
    <w:p>
      <w:pPr>
        <w:ind w:left="0" w:leftChars="0" w:firstLine="0" w:firstLineChars="0"/>
      </w:pPr>
      <w:bookmarkStart w:id="33" w:name="_GoBack"/>
      <w:bookmarkEnd w:id="33"/>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6B6699"/>
    <w:multiLevelType w:val="multilevel"/>
    <w:tmpl w:val="026B6699"/>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
    <w:nsid w:val="256248A0"/>
    <w:multiLevelType w:val="multilevel"/>
    <w:tmpl w:val="256248A0"/>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39DE46F7"/>
    <w:multiLevelType w:val="multilevel"/>
    <w:tmpl w:val="39DE46F7"/>
    <w:lvl w:ilvl="0" w:tentative="0">
      <w:start w:val="1"/>
      <w:numFmt w:val="decimal"/>
      <w:suff w:val="space"/>
      <w:lvlText w:val="%1."/>
      <w:lvlJc w:val="left"/>
      <w:pPr>
        <w:ind w:left="0" w:firstLine="0"/>
      </w:pPr>
      <w:rPr>
        <w:rFonts w:hint="eastAsia"/>
      </w:rPr>
    </w:lvl>
    <w:lvl w:ilvl="1" w:tentative="0">
      <w:start w:val="1"/>
      <w:numFmt w:val="decimal"/>
      <w:pStyle w:val="2"/>
      <w:suff w:val="space"/>
      <w:lvlText w:val="%1.%2"/>
      <w:lvlJc w:val="left"/>
      <w:pPr>
        <w:ind w:left="0" w:firstLine="0"/>
      </w:pPr>
      <w:rPr>
        <w:rFonts w:hint="eastAsia"/>
      </w:rPr>
    </w:lvl>
    <w:lvl w:ilvl="2" w:tentative="0">
      <w:start w:val="1"/>
      <w:numFmt w:val="decimal"/>
      <w:pStyle w:val="3"/>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rPr>
    </w:lvl>
    <w:lvl w:ilvl="4" w:tentative="0">
      <w:start w:val="1"/>
      <w:numFmt w:val="decimal"/>
      <w:suff w:val="space"/>
      <w:lvlText w:val="%1.%2.%3.%4.%5"/>
      <w:lvlJc w:val="left"/>
      <w:pPr>
        <w:ind w:left="0" w:firstLine="0"/>
      </w:pPr>
      <w:rPr>
        <w:rFonts w:hint="eastAsia"/>
      </w:rPr>
    </w:lvl>
    <w:lvl w:ilvl="5" w:tentative="0">
      <w:start w:val="1"/>
      <w:numFmt w:val="decimal"/>
      <w:suff w:val="space"/>
      <w:lvlText w:val="%1.%2.%3.%4.%5.%6"/>
      <w:lvlJc w:val="left"/>
      <w:pPr>
        <w:ind w:left="0" w:firstLine="0"/>
      </w:pPr>
      <w:rPr>
        <w:rFonts w:hint="eastAsia"/>
      </w:rPr>
    </w:lvl>
    <w:lvl w:ilvl="6" w:tentative="0">
      <w:start w:val="1"/>
      <w:numFmt w:val="decimal"/>
      <w:suff w:val="space"/>
      <w:lvlText w:val="%1.%2.%3.%4.%5.%6.%7"/>
      <w:lvlJc w:val="left"/>
      <w:pPr>
        <w:ind w:left="0" w:firstLine="0"/>
      </w:pPr>
      <w:rPr>
        <w:rFonts w:hint="eastAsia"/>
      </w:rPr>
    </w:lvl>
    <w:lvl w:ilvl="7" w:tentative="0">
      <w:start w:val="1"/>
      <w:numFmt w:val="decimal"/>
      <w:suff w:val="space"/>
      <w:lvlText w:val="%1.%2.%3.%4.%5.%6.%7.%8"/>
      <w:lvlJc w:val="left"/>
      <w:pPr>
        <w:ind w:left="0" w:firstLine="0"/>
      </w:pPr>
      <w:rPr>
        <w:rFonts w:hint="eastAsia"/>
      </w:rPr>
    </w:lvl>
    <w:lvl w:ilvl="8" w:tentative="0">
      <w:start w:val="1"/>
      <w:numFmt w:val="decimal"/>
      <w:suff w:val="space"/>
      <w:lvlText w:val="%1.%2.%3.%4.%5.%6.%7.%8.%9"/>
      <w:lvlJc w:val="left"/>
      <w:pPr>
        <w:ind w:left="0" w:firstLine="0"/>
      </w:pPr>
      <w:rPr>
        <w:rFonts w:hint="eastAsia"/>
      </w:rPr>
    </w:lvl>
  </w:abstractNum>
  <w:abstractNum w:abstractNumId="3">
    <w:nsid w:val="6AAE7205"/>
    <w:multiLevelType w:val="multilevel"/>
    <w:tmpl w:val="6AAE720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4">
    <w:nsid w:val="75256FB8"/>
    <w:multiLevelType w:val="multilevel"/>
    <w:tmpl w:val="75256FB8"/>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681A74"/>
    <w:rsid w:val="000953A0"/>
    <w:rsid w:val="001049E5"/>
    <w:rsid w:val="0015436C"/>
    <w:rsid w:val="001957DC"/>
    <w:rsid w:val="001C7E82"/>
    <w:rsid w:val="0022761C"/>
    <w:rsid w:val="00263EEB"/>
    <w:rsid w:val="00266E8D"/>
    <w:rsid w:val="002B561E"/>
    <w:rsid w:val="002C022C"/>
    <w:rsid w:val="002F590B"/>
    <w:rsid w:val="00313BE3"/>
    <w:rsid w:val="003722F7"/>
    <w:rsid w:val="00470909"/>
    <w:rsid w:val="00507D6C"/>
    <w:rsid w:val="00531933"/>
    <w:rsid w:val="005A4EB0"/>
    <w:rsid w:val="005C3885"/>
    <w:rsid w:val="00703636"/>
    <w:rsid w:val="00717DFC"/>
    <w:rsid w:val="007532E7"/>
    <w:rsid w:val="00772810"/>
    <w:rsid w:val="007D5BB0"/>
    <w:rsid w:val="00867496"/>
    <w:rsid w:val="009215A7"/>
    <w:rsid w:val="00951469"/>
    <w:rsid w:val="009A3275"/>
    <w:rsid w:val="009E172F"/>
    <w:rsid w:val="00A71AEC"/>
    <w:rsid w:val="00A906BB"/>
    <w:rsid w:val="00AA6D1F"/>
    <w:rsid w:val="00B93ED1"/>
    <w:rsid w:val="00BC2032"/>
    <w:rsid w:val="00C71AC5"/>
    <w:rsid w:val="00C754ED"/>
    <w:rsid w:val="00CA2EBB"/>
    <w:rsid w:val="00CE4B72"/>
    <w:rsid w:val="00D21218"/>
    <w:rsid w:val="00D258E7"/>
    <w:rsid w:val="00D8422C"/>
    <w:rsid w:val="00E74DDB"/>
    <w:rsid w:val="00E769B9"/>
    <w:rsid w:val="00EE5017"/>
    <w:rsid w:val="00F12B3E"/>
    <w:rsid w:val="00F727F6"/>
    <w:rsid w:val="00F82E35"/>
    <w:rsid w:val="00FA080D"/>
    <w:rsid w:val="06502279"/>
    <w:rsid w:val="0AA237B5"/>
    <w:rsid w:val="0E7B0B18"/>
    <w:rsid w:val="11EE07B3"/>
    <w:rsid w:val="1A670704"/>
    <w:rsid w:val="22B91FF9"/>
    <w:rsid w:val="249757D3"/>
    <w:rsid w:val="29DA29AC"/>
    <w:rsid w:val="2EB75CF9"/>
    <w:rsid w:val="38C234AF"/>
    <w:rsid w:val="3CDA1962"/>
    <w:rsid w:val="3D1C0B52"/>
    <w:rsid w:val="3FD5610B"/>
    <w:rsid w:val="4141192C"/>
    <w:rsid w:val="4ACA204A"/>
    <w:rsid w:val="4E847635"/>
    <w:rsid w:val="4F7E5232"/>
    <w:rsid w:val="5DD15778"/>
    <w:rsid w:val="60CC76CE"/>
    <w:rsid w:val="64681A74"/>
    <w:rsid w:val="6C525D4F"/>
    <w:rsid w:val="6E293EB6"/>
    <w:rsid w:val="740E21B8"/>
    <w:rsid w:val="788B1F41"/>
    <w:rsid w:val="78CA0009"/>
    <w:rsid w:val="790D0C73"/>
    <w:rsid w:val="79D73CC6"/>
    <w:rsid w:val="7AB6469F"/>
    <w:rsid w:val="7C645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2"/>
    <w:basedOn w:val="1"/>
    <w:next w:val="1"/>
    <w:qFormat/>
    <w:uiPriority w:val="0"/>
    <w:pPr>
      <w:numPr>
        <w:ilvl w:val="1"/>
        <w:numId w:val="1"/>
      </w:numPr>
      <w:ind w:firstLineChars="0"/>
      <w:outlineLvl w:val="1"/>
    </w:pPr>
    <w:rPr>
      <w:bCs/>
    </w:rPr>
  </w:style>
  <w:style w:type="paragraph" w:styleId="3">
    <w:name w:val="heading 3"/>
    <w:basedOn w:val="1"/>
    <w:next w:val="1"/>
    <w:qFormat/>
    <w:uiPriority w:val="0"/>
    <w:pPr>
      <w:numPr>
        <w:ilvl w:val="2"/>
        <w:numId w:val="1"/>
      </w:numPr>
      <w:ind w:firstLineChars="0"/>
      <w:outlineLvl w:val="2"/>
    </w:pPr>
    <w:rPr>
      <w:bCs/>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qFormat/>
    <w:uiPriority w:val="0"/>
    <w:pPr>
      <w:ind w:left="1440"/>
      <w:jc w:val="left"/>
    </w:pPr>
    <w:rPr>
      <w:rFonts w:asciiTheme="minorHAnsi" w:hAnsiTheme="minorHAnsi" w:cstheme="minorHAnsi"/>
      <w:sz w:val="18"/>
      <w:szCs w:val="18"/>
    </w:rPr>
  </w:style>
  <w:style w:type="paragraph" w:styleId="5">
    <w:name w:val="toc 5"/>
    <w:basedOn w:val="1"/>
    <w:next w:val="1"/>
    <w:qFormat/>
    <w:uiPriority w:val="0"/>
    <w:pPr>
      <w:ind w:left="960"/>
      <w:jc w:val="left"/>
    </w:pPr>
    <w:rPr>
      <w:rFonts w:asciiTheme="minorHAnsi" w:hAnsiTheme="minorHAnsi" w:cstheme="minorHAnsi"/>
      <w:sz w:val="18"/>
      <w:szCs w:val="18"/>
    </w:rPr>
  </w:style>
  <w:style w:type="paragraph" w:styleId="6">
    <w:name w:val="toc 3"/>
    <w:basedOn w:val="1"/>
    <w:next w:val="1"/>
    <w:qFormat/>
    <w:uiPriority w:val="39"/>
    <w:pPr>
      <w:ind w:left="480"/>
      <w:jc w:val="left"/>
    </w:pPr>
    <w:rPr>
      <w:rFonts w:asciiTheme="minorHAnsi" w:hAnsiTheme="minorHAnsi" w:cstheme="minorHAnsi"/>
      <w:i/>
      <w:iCs/>
      <w:sz w:val="20"/>
      <w:szCs w:val="20"/>
    </w:rPr>
  </w:style>
  <w:style w:type="paragraph" w:styleId="7">
    <w:name w:val="toc 8"/>
    <w:basedOn w:val="1"/>
    <w:next w:val="1"/>
    <w:qFormat/>
    <w:uiPriority w:val="0"/>
    <w:pPr>
      <w:ind w:left="1680"/>
      <w:jc w:val="left"/>
    </w:pPr>
    <w:rPr>
      <w:rFonts w:asciiTheme="minorHAnsi" w:hAnsiTheme="minorHAnsi" w:cstheme="minorHAnsi"/>
      <w:sz w:val="18"/>
      <w:szCs w:val="18"/>
    </w:rPr>
  </w:style>
  <w:style w:type="paragraph" w:styleId="8">
    <w:name w:val="footer"/>
    <w:basedOn w:val="1"/>
    <w:link w:val="21"/>
    <w:qFormat/>
    <w:uiPriority w:val="0"/>
    <w:pPr>
      <w:tabs>
        <w:tab w:val="center" w:pos="4153"/>
        <w:tab w:val="right" w:pos="8306"/>
      </w:tabs>
      <w:snapToGrid w:val="0"/>
      <w:spacing w:line="240" w:lineRule="auto"/>
      <w:jc w:val="left"/>
    </w:pPr>
    <w:rPr>
      <w:sz w:val="18"/>
      <w:szCs w:val="18"/>
    </w:rPr>
  </w:style>
  <w:style w:type="paragraph" w:styleId="9">
    <w:name w:val="header"/>
    <w:basedOn w:val="1"/>
    <w:link w:val="20"/>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0">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11">
    <w:name w:val="toc 4"/>
    <w:basedOn w:val="1"/>
    <w:next w:val="1"/>
    <w:qFormat/>
    <w:uiPriority w:val="0"/>
    <w:pPr>
      <w:ind w:left="720"/>
      <w:jc w:val="left"/>
    </w:pPr>
    <w:rPr>
      <w:rFonts w:asciiTheme="minorHAnsi" w:hAnsiTheme="minorHAnsi" w:cstheme="minorHAnsi"/>
      <w:sz w:val="18"/>
      <w:szCs w:val="18"/>
    </w:rPr>
  </w:style>
  <w:style w:type="paragraph" w:styleId="12">
    <w:name w:val="toc 6"/>
    <w:basedOn w:val="1"/>
    <w:next w:val="1"/>
    <w:qFormat/>
    <w:uiPriority w:val="0"/>
    <w:pPr>
      <w:ind w:left="1200"/>
      <w:jc w:val="left"/>
    </w:pPr>
    <w:rPr>
      <w:rFonts w:asciiTheme="minorHAnsi" w:hAnsiTheme="minorHAnsi" w:cstheme="minorHAnsi"/>
      <w:sz w:val="18"/>
      <w:szCs w:val="18"/>
    </w:rPr>
  </w:style>
  <w:style w:type="paragraph" w:styleId="13">
    <w:name w:val="toc 2"/>
    <w:basedOn w:val="1"/>
    <w:next w:val="1"/>
    <w:qFormat/>
    <w:uiPriority w:val="39"/>
    <w:pPr>
      <w:ind w:left="240"/>
      <w:jc w:val="left"/>
    </w:pPr>
    <w:rPr>
      <w:rFonts w:asciiTheme="minorHAnsi" w:hAnsiTheme="minorHAnsi" w:cstheme="minorHAnsi"/>
      <w:smallCaps/>
      <w:sz w:val="20"/>
      <w:szCs w:val="20"/>
    </w:rPr>
  </w:style>
  <w:style w:type="paragraph" w:styleId="14">
    <w:name w:val="toc 9"/>
    <w:basedOn w:val="1"/>
    <w:next w:val="1"/>
    <w:qFormat/>
    <w:uiPriority w:val="0"/>
    <w:pPr>
      <w:ind w:left="1920"/>
      <w:jc w:val="left"/>
    </w:pPr>
    <w:rPr>
      <w:rFonts w:asciiTheme="minorHAnsi" w:hAnsiTheme="minorHAnsi" w:cstheme="minorHAnsi"/>
      <w:sz w:val="18"/>
      <w:szCs w:val="18"/>
    </w:rPr>
  </w:style>
  <w:style w:type="character" w:styleId="17">
    <w:name w:val="Hyperlink"/>
    <w:basedOn w:val="16"/>
    <w:unhideWhenUsed/>
    <w:qFormat/>
    <w:uiPriority w:val="99"/>
    <w:rPr>
      <w:color w:val="0563C1" w:themeColor="hyperlink"/>
      <w:u w:val="single"/>
      <w14:textFill>
        <w14:solidFill>
          <w14:schemeClr w14:val="hlink"/>
        </w14:solidFill>
      </w14:textFill>
    </w:rPr>
  </w:style>
  <w:style w:type="paragraph" w:customStyle="1" w:styleId="18">
    <w:name w:val="我的正文"/>
    <w:basedOn w:val="1"/>
    <w:qFormat/>
    <w:uiPriority w:val="0"/>
    <w:pPr>
      <w:ind w:firstLine="420"/>
    </w:pPr>
    <w:rPr>
      <w:rFonts w:ascii="Arial" w:hAnsi="Arial"/>
      <w:sz w:val="21"/>
    </w:rPr>
  </w:style>
  <w:style w:type="paragraph" w:customStyle="1" w:styleId="19">
    <w:name w:val="样式 段 + 首行缩进:  2 字符"/>
    <w:basedOn w:val="1"/>
    <w:qFormat/>
    <w:uiPriority w:val="0"/>
    <w:pPr>
      <w:widowControl/>
      <w:autoSpaceDE w:val="0"/>
      <w:autoSpaceDN w:val="0"/>
      <w:ind w:firstLine="420"/>
    </w:pPr>
    <w:rPr>
      <w:rFonts w:ascii="宋体"/>
      <w:kern w:val="0"/>
    </w:rPr>
  </w:style>
  <w:style w:type="character" w:customStyle="1" w:styleId="20">
    <w:name w:val="页眉 Char"/>
    <w:basedOn w:val="16"/>
    <w:link w:val="9"/>
    <w:qFormat/>
    <w:uiPriority w:val="0"/>
    <w:rPr>
      <w:rFonts w:ascii="Times New Roman" w:hAnsi="Times New Roman" w:eastAsia="宋体" w:cs="Times New Roman"/>
      <w:kern w:val="2"/>
      <w:sz w:val="18"/>
      <w:szCs w:val="18"/>
    </w:rPr>
  </w:style>
  <w:style w:type="character" w:customStyle="1" w:styleId="21">
    <w:name w:val="页脚 Char"/>
    <w:basedOn w:val="16"/>
    <w:link w:val="8"/>
    <w:qFormat/>
    <w:uiPriority w:val="0"/>
    <w:rPr>
      <w:rFonts w:ascii="Times New Roman" w:hAnsi="Times New Roman" w:eastAsia="宋体" w:cs="Times New Roman"/>
      <w:kern w:val="2"/>
      <w:sz w:val="18"/>
      <w:szCs w:val="18"/>
    </w:rPr>
  </w:style>
  <w:style w:type="paragraph" w:customStyle="1" w:styleId="22">
    <w:name w:val="样式 模板描述"/>
    <w:basedOn w:val="1"/>
    <w:next w:val="1"/>
    <w:qFormat/>
    <w:uiPriority w:val="0"/>
    <w:pPr>
      <w:spacing w:after="156" w:afterLines="50" w:line="240" w:lineRule="auto"/>
      <w:ind w:firstLine="425" w:firstLineChars="0"/>
      <w:jc w:val="left"/>
    </w:pPr>
    <w:rPr>
      <w:rFonts w:ascii="宋体" w:hAnsi="Calibri" w:cs="宋体"/>
      <w:i/>
      <w:iCs/>
      <w:snapToGrid w:val="0"/>
      <w:color w:val="0000FF"/>
      <w:kern w:val="0"/>
      <w:sz w:val="21"/>
      <w:szCs w:val="21"/>
    </w:rPr>
  </w:style>
  <w:style w:type="paragraph" w:customStyle="1" w:styleId="23">
    <w:name w:val="样式 正文"/>
    <w:basedOn w:val="1"/>
    <w:next w:val="1"/>
    <w:qFormat/>
    <w:uiPriority w:val="0"/>
    <w:pPr>
      <w:spacing w:after="156" w:afterLines="50" w:line="240" w:lineRule="auto"/>
      <w:ind w:firstLine="425" w:firstLineChars="0"/>
      <w:jc w:val="left"/>
    </w:pPr>
    <w:rPr>
      <w:rFonts w:ascii="宋体" w:hAnsi="Calibri" w:cs="宋体"/>
      <w:snapToGrid w:val="0"/>
      <w:kern w:val="0"/>
      <w:sz w:val="21"/>
      <w:szCs w:val="20"/>
    </w:rPr>
  </w:style>
  <w:style w:type="paragraph" w:styleId="24">
    <w:name w:val="List Paragraph"/>
    <w:basedOn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C5131-9550-4A65-BB3E-6DDC0D9B7A1A}">
  <ds:schemaRefs/>
</ds:datastoreItem>
</file>

<file path=docProps/app.xml><?xml version="1.0" encoding="utf-8"?>
<Properties xmlns="http://schemas.openxmlformats.org/officeDocument/2006/extended-properties" xmlns:vt="http://schemas.openxmlformats.org/officeDocument/2006/docPropsVTypes">
  <Template>Normal.dotm</Template>
  <Company>gzhpi</Company>
  <Pages>6</Pages>
  <Words>555</Words>
  <Characters>3166</Characters>
  <Lines>26</Lines>
  <Paragraphs>7</Paragraphs>
  <TotalTime>4</TotalTime>
  <ScaleCrop>false</ScaleCrop>
  <LinksUpToDate>false</LinksUpToDate>
  <CharactersWithSpaces>3714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2022-07-29T03:28:00Z</dcterms:created>
  <dc:creator>linweijian</dc:creator>
  <cp:lastModifiedBy>林炜坚</cp:lastModifiedBy>
  <dcterms:modified xsi:type="dcterms:W3CDTF">2024-09-29T02:17:19Z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5D91F42FA7AF4803B639343E81B1048B</vt:lpwstr>
  </property>
</Properties>
</file>