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5DC5AD">
      <w:pPr>
        <w:ind w:right="320"/>
        <w:jc w:val="left"/>
        <w:rPr>
          <w:rFonts w:hint="default" w:ascii="黑体" w:hAnsi="黑体" w:eastAsia="黑体"/>
          <w:sz w:val="36"/>
          <w:szCs w:val="32"/>
          <w:lang w:val="en-US" w:eastAsia="zh-CN"/>
        </w:rPr>
      </w:pPr>
      <w:r>
        <w:rPr>
          <w:rFonts w:hint="eastAsia" w:ascii="黑体" w:hAnsi="黑体" w:eastAsia="黑体"/>
          <w:sz w:val="36"/>
          <w:szCs w:val="32"/>
        </w:rPr>
        <w:t>附件1：技术要求</w:t>
      </w:r>
    </w:p>
    <w:p w14:paraId="7E36E414">
      <w:pPr>
        <w:keepNext w:val="0"/>
        <w:keepLines w:val="0"/>
        <w:pageBreakBefore w:val="0"/>
        <w:widowControl w:val="0"/>
        <w:kinsoku/>
        <w:wordWrap/>
        <w:overflowPunct/>
        <w:topLinePunct w:val="0"/>
        <w:autoSpaceDE/>
        <w:autoSpaceDN/>
        <w:bidi w:val="0"/>
        <w:adjustRightInd/>
        <w:snapToGrid/>
        <w:spacing w:line="560" w:lineRule="exact"/>
        <w:ind w:right="317"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拟研发的《一种可视化电力隧道接头测温及发热成因判别装置的研究及应用》是一种基于数字孪生系统的三维可视化电缆接头模型、裸漏接头关键部位测温、电缆金属护层环流及发热成因综合分析为一体的电缆接头温度监测装置。本装置采用柔性热敏传感器及可插拔式固定带，更加精确采集电缆接头关键部位实时温度，并通过电缆接头的数字孪生三维模型进行实时温度重叠，达到接头整体温度的三维呈现。另一方面，针对关键部位的温度异常，以电缆护层环流监测与电缆负荷电流进行实时比对方式，分析数值量级关系，反映局部发热温度异常点与负荷电流、护层电流关系，初步分析发热是否为电流致热，对电缆接头关键部位发热进行初步定性，指导消缺工作的开展。</w:t>
      </w:r>
    </w:p>
    <w:p w14:paraId="1B8D23DE">
      <w:pPr>
        <w:keepNext w:val="0"/>
        <w:keepLines w:val="0"/>
        <w:pageBreakBefore w:val="0"/>
        <w:widowControl w:val="0"/>
        <w:kinsoku/>
        <w:wordWrap/>
        <w:overflowPunct/>
        <w:topLinePunct w:val="0"/>
        <w:autoSpaceDE/>
        <w:autoSpaceDN/>
        <w:bidi w:val="0"/>
        <w:adjustRightInd/>
        <w:snapToGrid/>
        <w:spacing w:line="560" w:lineRule="exact"/>
        <w:ind w:right="317"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该装置</w:t>
      </w:r>
      <w:r>
        <w:rPr>
          <w:rFonts w:hint="eastAsia" w:ascii="宋体" w:hAnsi="宋体" w:eastAsia="宋体" w:cs="宋体"/>
          <w:sz w:val="28"/>
          <w:szCs w:val="28"/>
          <w:lang w:val="en-US" w:eastAsia="zh-CN"/>
        </w:rPr>
        <w:t>拟实现</w:t>
      </w:r>
      <w:r>
        <w:rPr>
          <w:rFonts w:hint="eastAsia" w:ascii="宋体" w:hAnsi="宋体" w:eastAsia="宋体" w:cs="宋体"/>
          <w:sz w:val="28"/>
          <w:szCs w:val="28"/>
        </w:rPr>
        <w:t>如下功能：</w:t>
      </w:r>
    </w:p>
    <w:p w14:paraId="04DEF48E">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425" w:leftChars="0" w:right="317" w:rightChars="0" w:firstLine="0" w:firstLineChars="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利用具备柔性热敏材料的温度传感器进行接头关键部位红外测温。柔性热敏材料具备贴合电缆圆柱形电缆接头关键部位的作用，可准确采集电缆接头关键部位的温度。宜具备蓝牙、wifi或隐藏式卡槽等同类型进行信号传输及供电功能。</w:t>
      </w:r>
    </w:p>
    <w:p w14:paraId="662BD46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425" w:leftChars="0" w:right="317" w:rightChars="0" w:firstLine="0" w:firstLineChars="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利用可调节式非金属固定链条将温度传感器固定在电缆周边。可调节式非金属固定链条具备温度传感器自由调节功能，可在链条范围内进行任意插拔，便于接头测温点精准切换功能。</w:t>
      </w:r>
    </w:p>
    <w:p w14:paraId="4E83F9B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425" w:leftChars="0" w:right="317" w:rightChars="0" w:firstLine="0" w:firstLineChars="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可调节式非金属固定链条同时具备结构固定、信号传输、低压供电功能，简化高压电缆接头布线问题及信号传输，尤其是避免金属类接线在交流磁通下的环流问题。</w:t>
      </w:r>
    </w:p>
    <w:p w14:paraId="44EF3E9B">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425" w:leftChars="0" w:right="317" w:rightChars="0" w:firstLine="0" w:firstLineChars="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具备三维可视化红外成像及传感器热辐射整合功能。利用原有数字孪生数据采集做可视化支撑，融合温度传感器温度辐射范围，立体化形成接头三维温度模型，可720°展现接头温度情况。</w:t>
      </w:r>
    </w:p>
    <w:p w14:paraId="0F5079D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425" w:leftChars="0" w:right="317" w:rightChars="0" w:firstLine="0" w:firstLineChars="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具备高压电缆绝缘接头两侧独立环流及高压电缆负荷电缆采集功能。利用开口电流互感器对电缆负荷电流及两侧护层电流进行采集，实时监测电缆感应电流情况。</w:t>
      </w:r>
    </w:p>
    <w:p w14:paraId="3E0ADB4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425" w:leftChars="0" w:right="317" w:rightChars="0" w:firstLine="0" w:firstLineChars="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具备负荷电流、感应电流及电缆接头关键部位温度的折线比对功能。可对接头异常发热位置进行温度与电流进行比对，分析感应电流、负荷电流及发热点的变化关系，初步判定接头温度异常的成因，并给出结论。</w:t>
      </w:r>
    </w:p>
    <w:p w14:paraId="68A918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317" w:rightChars="0" w:firstLine="560" w:firstLineChars="200"/>
        <w:jc w:val="left"/>
        <w:textAlignment w:val="auto"/>
        <w:rPr>
          <w:rFonts w:hint="eastAsia" w:ascii="仿宋" w:hAnsi="仿宋" w:eastAsia="仿宋" w:cs="仿宋"/>
          <w:sz w:val="24"/>
          <w:szCs w:val="24"/>
        </w:rPr>
      </w:pPr>
      <w:r>
        <w:rPr>
          <w:rFonts w:hint="eastAsia" w:ascii="宋体" w:hAnsi="宋体" w:eastAsia="宋体" w:cs="宋体"/>
          <w:sz w:val="28"/>
          <w:szCs w:val="28"/>
        </w:rPr>
        <w:t>研发该装置需要采购以下组件，详见</w:t>
      </w:r>
      <w:r>
        <w:rPr>
          <w:rFonts w:hint="eastAsia" w:ascii="宋体" w:hAnsi="宋体" w:eastAsia="宋体" w:cs="宋体"/>
          <w:sz w:val="28"/>
          <w:szCs w:val="28"/>
          <w:lang w:val="en-US" w:eastAsia="zh-CN"/>
        </w:rPr>
        <w:t>下述内容</w:t>
      </w:r>
      <w:r>
        <w:rPr>
          <w:rFonts w:hint="eastAsia" w:ascii="宋体" w:hAnsi="宋体" w:eastAsia="宋体" w:cs="宋体"/>
          <w:sz w:val="28"/>
          <w:szCs w:val="28"/>
        </w:rPr>
        <w:t>。</w:t>
      </w:r>
    </w:p>
    <w:p w14:paraId="7C4BB1BB">
      <w:pPr>
        <w:spacing w:line="360" w:lineRule="auto"/>
        <w:ind w:firstLine="420"/>
        <w:rPr>
          <w:rFonts w:hint="eastAsia" w:ascii="仿宋" w:hAnsi="仿宋" w:eastAsia="仿宋" w:cs="仿宋"/>
          <w:sz w:val="28"/>
          <w:szCs w:val="28"/>
        </w:rPr>
      </w:pPr>
      <w:r>
        <w:rPr>
          <w:rFonts w:hint="eastAsia" w:ascii="仿宋" w:hAnsi="仿宋" w:eastAsia="仿宋" w:cs="仿宋"/>
          <w:sz w:val="28"/>
          <w:szCs w:val="28"/>
        </w:rPr>
        <w:t>本技术条件书要求采购的本技术条件书要求采购的接地环流在线监测装置项目供货范围包括：</w:t>
      </w:r>
    </w:p>
    <w:p w14:paraId="27138A85">
      <w:pPr>
        <w:numPr>
          <w:ilvl w:val="0"/>
          <w:numId w:val="2"/>
        </w:numPr>
        <w:spacing w:line="360" w:lineRule="auto"/>
        <w:rPr>
          <w:rFonts w:hint="eastAsia" w:ascii="仿宋" w:hAnsi="仿宋" w:eastAsia="仿宋" w:cs="仿宋"/>
          <w:bCs/>
          <w:sz w:val="28"/>
          <w:szCs w:val="28"/>
        </w:rPr>
      </w:pPr>
      <w:r>
        <w:rPr>
          <w:rFonts w:hint="eastAsia" w:ascii="仿宋" w:hAnsi="仿宋" w:eastAsia="仿宋" w:cs="仿宋"/>
          <w:sz w:val="28"/>
          <w:szCs w:val="28"/>
        </w:rPr>
        <w:t>机箱；</w:t>
      </w:r>
    </w:p>
    <w:p w14:paraId="46850B07">
      <w:pPr>
        <w:numPr>
          <w:ilvl w:val="0"/>
          <w:numId w:val="2"/>
        </w:numPr>
        <w:spacing w:line="360" w:lineRule="auto"/>
        <w:rPr>
          <w:rFonts w:hint="eastAsia" w:ascii="仿宋" w:hAnsi="仿宋" w:eastAsia="仿宋" w:cs="仿宋"/>
          <w:sz w:val="28"/>
          <w:szCs w:val="28"/>
        </w:rPr>
      </w:pPr>
      <w:r>
        <w:rPr>
          <w:rFonts w:hint="eastAsia" w:ascii="仿宋" w:hAnsi="仿宋" w:eastAsia="仿宋" w:cs="仿宋"/>
          <w:sz w:val="28"/>
          <w:szCs w:val="28"/>
        </w:rPr>
        <w:t>组合型测温传感器；</w:t>
      </w:r>
    </w:p>
    <w:p w14:paraId="5BDC15A8">
      <w:pPr>
        <w:numPr>
          <w:ilvl w:val="0"/>
          <w:numId w:val="2"/>
        </w:numPr>
        <w:spacing w:line="360" w:lineRule="auto"/>
        <w:rPr>
          <w:rFonts w:hint="eastAsia" w:ascii="仿宋" w:hAnsi="仿宋" w:eastAsia="仿宋" w:cs="仿宋"/>
          <w:sz w:val="28"/>
          <w:szCs w:val="28"/>
        </w:rPr>
      </w:pPr>
      <w:r>
        <w:rPr>
          <w:rFonts w:hint="eastAsia" w:ascii="仿宋" w:hAnsi="仿宋" w:eastAsia="仿宋" w:cs="仿宋"/>
          <w:sz w:val="28"/>
          <w:szCs w:val="28"/>
        </w:rPr>
        <w:t>金属加工费；</w:t>
      </w:r>
    </w:p>
    <w:p w14:paraId="024B8025">
      <w:pPr>
        <w:numPr>
          <w:ilvl w:val="0"/>
          <w:numId w:val="2"/>
        </w:numPr>
        <w:spacing w:line="360" w:lineRule="auto"/>
        <w:rPr>
          <w:rFonts w:hint="eastAsia" w:ascii="仿宋" w:hAnsi="仿宋" w:eastAsia="仿宋" w:cs="仿宋"/>
          <w:sz w:val="28"/>
          <w:szCs w:val="28"/>
        </w:rPr>
      </w:pPr>
      <w:r>
        <w:rPr>
          <w:rFonts w:hint="eastAsia" w:ascii="仿宋" w:hAnsi="仿宋" w:eastAsia="仿宋" w:cs="仿宋"/>
          <w:sz w:val="28"/>
          <w:szCs w:val="28"/>
        </w:rPr>
        <w:t>电路加工费；</w:t>
      </w:r>
    </w:p>
    <w:p w14:paraId="7EA0DB6D">
      <w:pPr>
        <w:numPr>
          <w:ilvl w:val="0"/>
          <w:numId w:val="2"/>
        </w:numPr>
        <w:spacing w:line="360" w:lineRule="auto"/>
        <w:rPr>
          <w:rFonts w:hint="eastAsia" w:ascii="仿宋" w:hAnsi="仿宋" w:eastAsia="仿宋" w:cs="仿宋"/>
          <w:sz w:val="28"/>
          <w:szCs w:val="28"/>
        </w:rPr>
      </w:pPr>
      <w:r>
        <w:rPr>
          <w:rFonts w:hint="eastAsia" w:ascii="仿宋" w:hAnsi="仿宋" w:eastAsia="仿宋" w:cs="仿宋"/>
          <w:sz w:val="28"/>
          <w:szCs w:val="28"/>
        </w:rPr>
        <w:t>主机供电模块；</w:t>
      </w:r>
    </w:p>
    <w:p w14:paraId="6E20420F">
      <w:pPr>
        <w:numPr>
          <w:ilvl w:val="0"/>
          <w:numId w:val="2"/>
        </w:numPr>
        <w:spacing w:line="360" w:lineRule="auto"/>
        <w:rPr>
          <w:rFonts w:hint="eastAsia" w:ascii="仿宋" w:hAnsi="仿宋" w:eastAsia="仿宋" w:cs="仿宋"/>
          <w:sz w:val="28"/>
          <w:szCs w:val="28"/>
        </w:rPr>
      </w:pPr>
      <w:r>
        <w:rPr>
          <w:rFonts w:hint="eastAsia" w:ascii="仿宋" w:hAnsi="仿宋" w:eastAsia="仿宋" w:cs="仿宋"/>
          <w:sz w:val="28"/>
          <w:szCs w:val="28"/>
        </w:rPr>
        <w:t>运行电流传感器；</w:t>
      </w:r>
    </w:p>
    <w:p w14:paraId="0EC00A17">
      <w:pPr>
        <w:numPr>
          <w:ilvl w:val="0"/>
          <w:numId w:val="2"/>
        </w:numPr>
        <w:spacing w:line="360" w:lineRule="auto"/>
        <w:rPr>
          <w:rFonts w:hint="eastAsia" w:ascii="仿宋" w:hAnsi="仿宋" w:eastAsia="仿宋" w:cs="仿宋"/>
          <w:sz w:val="28"/>
          <w:szCs w:val="28"/>
        </w:rPr>
      </w:pPr>
      <w:r>
        <w:rPr>
          <w:rFonts w:hint="eastAsia" w:ascii="仿宋" w:hAnsi="仿宋" w:eastAsia="仿宋" w:cs="仿宋"/>
          <w:sz w:val="28"/>
          <w:szCs w:val="28"/>
        </w:rPr>
        <w:t>外护套电流传感器；</w:t>
      </w:r>
    </w:p>
    <w:p w14:paraId="5283D8AA">
      <w:pPr>
        <w:numPr>
          <w:ilvl w:val="0"/>
          <w:numId w:val="2"/>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三维可视化模型</w:t>
      </w:r>
      <w:r>
        <w:rPr>
          <w:rFonts w:hint="eastAsia" w:ascii="仿宋" w:hAnsi="仿宋" w:eastAsia="仿宋" w:cs="仿宋"/>
          <w:sz w:val="28"/>
          <w:szCs w:val="28"/>
        </w:rPr>
        <w:t>；</w:t>
      </w:r>
    </w:p>
    <w:p w14:paraId="3C1BA530">
      <w:pPr>
        <w:ind w:firstLine="435"/>
        <w:rPr>
          <w:rFonts w:hint="eastAsia" w:ascii="仿宋" w:hAnsi="仿宋" w:eastAsia="仿宋" w:cs="仿宋"/>
          <w:sz w:val="28"/>
          <w:szCs w:val="28"/>
        </w:rPr>
      </w:pPr>
      <w:r>
        <w:rPr>
          <w:rFonts w:hint="eastAsia" w:ascii="仿宋" w:hAnsi="仿宋" w:eastAsia="仿宋" w:cs="仿宋"/>
          <w:sz w:val="28"/>
          <w:szCs w:val="28"/>
        </w:rPr>
        <w:t>要求配合利用现有高压电缆护层环流在线监测装置的基础之上，生产一个与之配套的可组合型的测温传感器阵列用来全面监测长端封铅，短端封铅，长端接地羊角，短端接地羊角，长端断口，短端断口，线芯，电缆本体等处的全面温度情况，并以3D的形式全面直观的展示出来。</w:t>
      </w:r>
    </w:p>
    <w:p w14:paraId="17A3E6C8">
      <w:pPr>
        <w:ind w:firstLine="435"/>
        <w:rPr>
          <w:rFonts w:hint="eastAsia" w:ascii="仿宋" w:hAnsi="仿宋" w:eastAsia="仿宋" w:cs="仿宋"/>
          <w:b/>
          <w:bCs/>
          <w:sz w:val="28"/>
          <w:szCs w:val="28"/>
        </w:rPr>
      </w:pPr>
      <w:r>
        <w:rPr>
          <w:rFonts w:hint="eastAsia" w:ascii="仿宋" w:hAnsi="仿宋" w:eastAsia="仿宋" w:cs="仿宋"/>
          <w:b/>
          <w:bCs/>
          <w:sz w:val="28"/>
          <w:szCs w:val="28"/>
          <w:lang w:val="en-US" w:eastAsia="zh-CN"/>
        </w:rPr>
        <w:t>1、</w:t>
      </w:r>
      <w:r>
        <w:rPr>
          <w:rFonts w:hint="eastAsia" w:ascii="仿宋" w:hAnsi="仿宋" w:eastAsia="仿宋" w:cs="仿宋"/>
          <w:b/>
          <w:bCs/>
          <w:sz w:val="28"/>
          <w:szCs w:val="28"/>
        </w:rPr>
        <w:t>外护套电流传感器的要求：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1"/>
        <w:gridCol w:w="3866"/>
      </w:tblGrid>
      <w:tr w14:paraId="3423E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3941" w:type="dxa"/>
            <w:shd w:val="clear" w:color="auto" w:fill="FFC000"/>
            <w:vAlign w:val="center"/>
          </w:tcPr>
          <w:p w14:paraId="68A7FB42">
            <w:pPr>
              <w:jc w:val="center"/>
              <w:rPr>
                <w:rFonts w:hint="eastAsia" w:ascii="仿宋" w:hAnsi="仿宋" w:eastAsia="仿宋" w:cs="仿宋"/>
                <w:bCs/>
                <w:sz w:val="28"/>
                <w:szCs w:val="28"/>
              </w:rPr>
            </w:pPr>
            <w:r>
              <w:rPr>
                <w:rFonts w:hint="eastAsia" w:ascii="仿宋" w:hAnsi="仿宋" w:eastAsia="仿宋" w:cs="仿宋"/>
                <w:bCs/>
                <w:sz w:val="28"/>
                <w:szCs w:val="28"/>
              </w:rPr>
              <w:t>技术参数名称</w:t>
            </w:r>
          </w:p>
        </w:tc>
        <w:tc>
          <w:tcPr>
            <w:tcW w:w="3866" w:type="dxa"/>
            <w:shd w:val="clear" w:color="auto" w:fill="FFC000"/>
            <w:vAlign w:val="center"/>
          </w:tcPr>
          <w:p w14:paraId="0220A486">
            <w:pPr>
              <w:jc w:val="center"/>
              <w:rPr>
                <w:rFonts w:hint="eastAsia" w:ascii="仿宋" w:hAnsi="仿宋" w:eastAsia="仿宋" w:cs="仿宋"/>
                <w:bCs/>
                <w:sz w:val="28"/>
                <w:szCs w:val="28"/>
              </w:rPr>
            </w:pPr>
            <w:r>
              <w:rPr>
                <w:rFonts w:hint="eastAsia" w:ascii="仿宋" w:hAnsi="仿宋" w:eastAsia="仿宋" w:cs="仿宋"/>
                <w:bCs/>
                <w:sz w:val="28"/>
                <w:szCs w:val="28"/>
              </w:rPr>
              <w:t>标准值</w:t>
            </w:r>
          </w:p>
        </w:tc>
      </w:tr>
      <w:tr w14:paraId="26B9D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113CA2D2">
            <w:pPr>
              <w:jc w:val="center"/>
              <w:rPr>
                <w:rFonts w:hint="eastAsia" w:ascii="仿宋" w:hAnsi="仿宋" w:eastAsia="仿宋" w:cs="仿宋"/>
                <w:sz w:val="24"/>
                <w:szCs w:val="24"/>
              </w:rPr>
            </w:pPr>
            <w:r>
              <w:rPr>
                <w:rFonts w:hint="eastAsia" w:ascii="仿宋" w:hAnsi="仿宋" w:eastAsia="仿宋" w:cs="仿宋"/>
                <w:sz w:val="24"/>
                <w:szCs w:val="24"/>
              </w:rPr>
              <w:t>电流范围</w:t>
            </w:r>
          </w:p>
        </w:tc>
        <w:tc>
          <w:tcPr>
            <w:tcW w:w="3866" w:type="dxa"/>
            <w:vAlign w:val="center"/>
          </w:tcPr>
          <w:p w14:paraId="31507F11">
            <w:pPr>
              <w:jc w:val="center"/>
              <w:rPr>
                <w:rFonts w:hint="eastAsia" w:ascii="仿宋" w:hAnsi="仿宋" w:eastAsia="仿宋" w:cs="仿宋"/>
                <w:sz w:val="24"/>
                <w:szCs w:val="24"/>
              </w:rPr>
            </w:pPr>
            <w:r>
              <w:rPr>
                <w:rFonts w:hint="eastAsia" w:ascii="仿宋" w:hAnsi="仿宋" w:eastAsia="仿宋" w:cs="仿宋"/>
                <w:sz w:val="24"/>
                <w:szCs w:val="24"/>
              </w:rPr>
              <w:t>0～300A</w:t>
            </w:r>
          </w:p>
        </w:tc>
      </w:tr>
      <w:tr w14:paraId="249F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79E9BBA9">
            <w:pPr>
              <w:jc w:val="center"/>
              <w:rPr>
                <w:rFonts w:hint="eastAsia" w:ascii="仿宋" w:hAnsi="仿宋" w:eastAsia="仿宋" w:cs="仿宋"/>
                <w:sz w:val="24"/>
                <w:szCs w:val="24"/>
              </w:rPr>
            </w:pPr>
            <w:r>
              <w:rPr>
                <w:rFonts w:hint="eastAsia" w:ascii="仿宋" w:hAnsi="仿宋" w:eastAsia="仿宋" w:cs="仿宋"/>
                <w:sz w:val="24"/>
                <w:szCs w:val="24"/>
              </w:rPr>
              <w:t>一次额定电流</w:t>
            </w:r>
          </w:p>
        </w:tc>
        <w:tc>
          <w:tcPr>
            <w:tcW w:w="3866" w:type="dxa"/>
            <w:vAlign w:val="center"/>
          </w:tcPr>
          <w:p w14:paraId="206546DD">
            <w:pPr>
              <w:jc w:val="center"/>
              <w:rPr>
                <w:rFonts w:hint="eastAsia" w:ascii="仿宋" w:hAnsi="仿宋" w:eastAsia="仿宋" w:cs="仿宋"/>
                <w:sz w:val="24"/>
                <w:szCs w:val="24"/>
              </w:rPr>
            </w:pPr>
            <w:r>
              <w:rPr>
                <w:rFonts w:hint="eastAsia" w:ascii="仿宋" w:hAnsi="仿宋" w:eastAsia="仿宋" w:cs="仿宋"/>
                <w:sz w:val="24"/>
                <w:szCs w:val="24"/>
              </w:rPr>
              <w:t>300A</w:t>
            </w:r>
          </w:p>
        </w:tc>
      </w:tr>
      <w:tr w14:paraId="15EE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723CA00A">
            <w:pPr>
              <w:jc w:val="center"/>
              <w:rPr>
                <w:rFonts w:hint="eastAsia" w:ascii="仿宋" w:hAnsi="仿宋" w:eastAsia="仿宋" w:cs="仿宋"/>
                <w:sz w:val="24"/>
                <w:szCs w:val="24"/>
              </w:rPr>
            </w:pPr>
            <w:r>
              <w:rPr>
                <w:rFonts w:hint="eastAsia" w:ascii="仿宋" w:hAnsi="仿宋" w:eastAsia="仿宋" w:cs="仿宋"/>
                <w:sz w:val="24"/>
                <w:szCs w:val="24"/>
              </w:rPr>
              <w:t>规格</w:t>
            </w:r>
          </w:p>
        </w:tc>
        <w:tc>
          <w:tcPr>
            <w:tcW w:w="3866" w:type="dxa"/>
            <w:vAlign w:val="center"/>
          </w:tcPr>
          <w:p w14:paraId="64FFBD2B">
            <w:pPr>
              <w:jc w:val="center"/>
              <w:rPr>
                <w:rFonts w:hint="eastAsia" w:ascii="仿宋" w:hAnsi="仿宋" w:eastAsia="仿宋" w:cs="仿宋"/>
                <w:sz w:val="24"/>
                <w:szCs w:val="24"/>
              </w:rPr>
            </w:pPr>
            <w:r>
              <w:rPr>
                <w:rFonts w:hint="eastAsia" w:ascii="仿宋" w:hAnsi="仿宋" w:eastAsia="仿宋" w:cs="仿宋"/>
                <w:sz w:val="24"/>
                <w:szCs w:val="24"/>
              </w:rPr>
              <w:t>5P30</w:t>
            </w:r>
          </w:p>
        </w:tc>
      </w:tr>
      <w:tr w14:paraId="5A61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2E46EC56">
            <w:pPr>
              <w:jc w:val="center"/>
              <w:rPr>
                <w:rFonts w:hint="eastAsia" w:ascii="仿宋" w:hAnsi="仿宋" w:eastAsia="仿宋" w:cs="仿宋"/>
                <w:sz w:val="24"/>
                <w:szCs w:val="24"/>
              </w:rPr>
            </w:pPr>
            <w:r>
              <w:rPr>
                <w:rFonts w:hint="eastAsia" w:ascii="仿宋" w:hAnsi="仿宋" w:eastAsia="仿宋" w:cs="仿宋"/>
                <w:sz w:val="24"/>
                <w:szCs w:val="24"/>
              </w:rPr>
              <w:t>二次绝缘耐压</w:t>
            </w:r>
          </w:p>
        </w:tc>
        <w:tc>
          <w:tcPr>
            <w:tcW w:w="3866" w:type="dxa"/>
            <w:vAlign w:val="center"/>
          </w:tcPr>
          <w:p w14:paraId="72B9C5E7">
            <w:pPr>
              <w:jc w:val="center"/>
              <w:rPr>
                <w:rFonts w:hint="eastAsia" w:ascii="仿宋" w:hAnsi="仿宋" w:eastAsia="仿宋" w:cs="仿宋"/>
                <w:sz w:val="24"/>
                <w:szCs w:val="24"/>
              </w:rPr>
            </w:pPr>
            <w:r>
              <w:rPr>
                <w:rFonts w:hint="eastAsia" w:ascii="仿宋" w:hAnsi="仿宋" w:eastAsia="仿宋" w:cs="仿宋"/>
                <w:sz w:val="24"/>
                <w:szCs w:val="24"/>
              </w:rPr>
              <w:t>3KV/1min</w:t>
            </w:r>
          </w:p>
        </w:tc>
      </w:tr>
      <w:tr w14:paraId="719E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55326C1A">
            <w:pPr>
              <w:jc w:val="center"/>
              <w:rPr>
                <w:rFonts w:hint="eastAsia" w:ascii="仿宋" w:hAnsi="仿宋" w:eastAsia="仿宋" w:cs="仿宋"/>
                <w:sz w:val="24"/>
                <w:szCs w:val="24"/>
              </w:rPr>
            </w:pPr>
            <w:r>
              <w:rPr>
                <w:rFonts w:hint="eastAsia" w:ascii="仿宋" w:hAnsi="仿宋" w:eastAsia="仿宋" w:cs="仿宋"/>
                <w:sz w:val="24"/>
                <w:szCs w:val="24"/>
              </w:rPr>
              <w:t>绝缘阻抗</w:t>
            </w:r>
          </w:p>
        </w:tc>
        <w:tc>
          <w:tcPr>
            <w:tcW w:w="3866" w:type="dxa"/>
            <w:vAlign w:val="center"/>
          </w:tcPr>
          <w:p w14:paraId="4A42D7D7">
            <w:pPr>
              <w:jc w:val="center"/>
              <w:rPr>
                <w:rFonts w:hint="eastAsia" w:ascii="仿宋" w:hAnsi="仿宋" w:eastAsia="仿宋" w:cs="仿宋"/>
                <w:sz w:val="24"/>
                <w:szCs w:val="24"/>
              </w:rPr>
            </w:pPr>
            <w:r>
              <w:rPr>
                <w:rFonts w:hint="eastAsia" w:ascii="仿宋" w:hAnsi="仿宋" w:eastAsia="仿宋" w:cs="仿宋"/>
                <w:sz w:val="24"/>
                <w:szCs w:val="24"/>
              </w:rPr>
              <w:t>大于100MΩ</w:t>
            </w:r>
          </w:p>
        </w:tc>
      </w:tr>
      <w:tr w14:paraId="09AA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455AB4E3">
            <w:pPr>
              <w:jc w:val="center"/>
              <w:rPr>
                <w:rFonts w:hint="eastAsia" w:ascii="仿宋" w:hAnsi="仿宋" w:eastAsia="仿宋" w:cs="仿宋"/>
                <w:sz w:val="24"/>
                <w:szCs w:val="24"/>
              </w:rPr>
            </w:pPr>
            <w:r>
              <w:rPr>
                <w:rFonts w:hint="eastAsia" w:ascii="仿宋" w:hAnsi="仿宋" w:eastAsia="仿宋" w:cs="仿宋"/>
                <w:sz w:val="24"/>
                <w:szCs w:val="24"/>
              </w:rPr>
              <w:t>二次额定负载</w:t>
            </w:r>
          </w:p>
        </w:tc>
        <w:tc>
          <w:tcPr>
            <w:tcW w:w="3866" w:type="dxa"/>
            <w:vAlign w:val="center"/>
          </w:tcPr>
          <w:p w14:paraId="35F8F627">
            <w:pPr>
              <w:jc w:val="center"/>
              <w:rPr>
                <w:rFonts w:hint="eastAsia" w:ascii="仿宋" w:hAnsi="仿宋" w:eastAsia="仿宋" w:cs="仿宋"/>
                <w:sz w:val="24"/>
                <w:szCs w:val="24"/>
              </w:rPr>
            </w:pPr>
            <w:r>
              <w:rPr>
                <w:rFonts w:hint="eastAsia" w:ascii="仿宋" w:hAnsi="仿宋" w:eastAsia="仿宋" w:cs="仿宋"/>
                <w:sz w:val="24"/>
                <w:szCs w:val="24"/>
              </w:rPr>
              <w:t>0VA或2.5VA</w:t>
            </w:r>
          </w:p>
        </w:tc>
      </w:tr>
      <w:tr w14:paraId="7E10E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6609467F">
            <w:pPr>
              <w:jc w:val="center"/>
              <w:rPr>
                <w:rFonts w:hint="eastAsia" w:ascii="仿宋" w:hAnsi="仿宋" w:eastAsia="仿宋" w:cs="仿宋"/>
                <w:sz w:val="24"/>
                <w:szCs w:val="24"/>
              </w:rPr>
            </w:pPr>
            <w:r>
              <w:rPr>
                <w:rFonts w:hint="eastAsia" w:ascii="仿宋" w:hAnsi="仿宋" w:eastAsia="仿宋" w:cs="仿宋"/>
                <w:sz w:val="24"/>
                <w:szCs w:val="24"/>
              </w:rPr>
              <w:t>互感器接地方式</w:t>
            </w:r>
          </w:p>
        </w:tc>
        <w:tc>
          <w:tcPr>
            <w:tcW w:w="3866" w:type="dxa"/>
            <w:vAlign w:val="center"/>
          </w:tcPr>
          <w:p w14:paraId="2DDA721F">
            <w:pPr>
              <w:jc w:val="center"/>
              <w:rPr>
                <w:rFonts w:hint="eastAsia" w:ascii="仿宋" w:hAnsi="仿宋" w:eastAsia="仿宋" w:cs="仿宋"/>
                <w:sz w:val="24"/>
                <w:szCs w:val="24"/>
              </w:rPr>
            </w:pPr>
            <w:r>
              <w:rPr>
                <w:rFonts w:hint="eastAsia" w:ascii="仿宋" w:hAnsi="仿宋" w:eastAsia="仿宋" w:cs="仿宋"/>
                <w:sz w:val="24"/>
                <w:szCs w:val="24"/>
              </w:rPr>
              <w:t>二次接地和铁芯接地</w:t>
            </w:r>
          </w:p>
        </w:tc>
      </w:tr>
      <w:tr w14:paraId="7CD5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41E8C49B">
            <w:pPr>
              <w:jc w:val="center"/>
              <w:rPr>
                <w:rFonts w:hint="eastAsia" w:ascii="仿宋" w:hAnsi="仿宋" w:eastAsia="仿宋" w:cs="仿宋"/>
                <w:sz w:val="24"/>
                <w:szCs w:val="24"/>
              </w:rPr>
            </w:pPr>
            <w:r>
              <w:rPr>
                <w:rFonts w:hint="eastAsia" w:ascii="仿宋" w:hAnsi="仿宋" w:eastAsia="仿宋" w:cs="仿宋"/>
                <w:sz w:val="24"/>
                <w:szCs w:val="24"/>
              </w:rPr>
              <w:t>额定一次电流下的电流误差</w:t>
            </w:r>
          </w:p>
        </w:tc>
        <w:tc>
          <w:tcPr>
            <w:tcW w:w="3866" w:type="dxa"/>
            <w:vAlign w:val="center"/>
          </w:tcPr>
          <w:p w14:paraId="2831600D">
            <w:pPr>
              <w:jc w:val="center"/>
              <w:rPr>
                <w:rFonts w:hint="eastAsia" w:ascii="仿宋" w:hAnsi="仿宋" w:eastAsia="仿宋" w:cs="仿宋"/>
                <w:sz w:val="24"/>
                <w:szCs w:val="24"/>
              </w:rPr>
            </w:pPr>
            <w:r>
              <w:rPr>
                <w:rFonts w:hint="eastAsia" w:ascii="仿宋" w:hAnsi="仿宋" w:eastAsia="仿宋" w:cs="仿宋"/>
                <w:sz w:val="24"/>
                <w:szCs w:val="24"/>
              </w:rPr>
              <w:t>1%</w:t>
            </w:r>
          </w:p>
        </w:tc>
      </w:tr>
      <w:tr w14:paraId="7D03E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1680E621">
            <w:pPr>
              <w:jc w:val="center"/>
              <w:rPr>
                <w:rFonts w:hint="eastAsia" w:ascii="仿宋" w:hAnsi="仿宋" w:eastAsia="仿宋" w:cs="仿宋"/>
                <w:sz w:val="24"/>
                <w:szCs w:val="24"/>
              </w:rPr>
            </w:pPr>
            <w:r>
              <w:rPr>
                <w:rFonts w:hint="eastAsia" w:ascii="仿宋" w:hAnsi="仿宋" w:eastAsia="仿宋" w:cs="仿宋"/>
                <w:sz w:val="24"/>
                <w:szCs w:val="24"/>
              </w:rPr>
              <w:t>相位差</w:t>
            </w:r>
          </w:p>
        </w:tc>
        <w:tc>
          <w:tcPr>
            <w:tcW w:w="3866" w:type="dxa"/>
            <w:vAlign w:val="center"/>
          </w:tcPr>
          <w:p w14:paraId="58425EFA">
            <w:pPr>
              <w:jc w:val="center"/>
              <w:rPr>
                <w:rFonts w:hint="eastAsia" w:ascii="仿宋" w:hAnsi="仿宋" w:eastAsia="仿宋" w:cs="仿宋"/>
                <w:sz w:val="24"/>
                <w:szCs w:val="24"/>
              </w:rPr>
            </w:pPr>
            <w:r>
              <w:rPr>
                <w:rFonts w:hint="eastAsia" w:ascii="仿宋" w:hAnsi="仿宋" w:eastAsia="仿宋" w:cs="仿宋"/>
                <w:sz w:val="24"/>
                <w:szCs w:val="24"/>
              </w:rPr>
              <w:t>正负60分</w:t>
            </w:r>
          </w:p>
        </w:tc>
      </w:tr>
      <w:tr w14:paraId="2BB0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035DC1C9">
            <w:pPr>
              <w:jc w:val="center"/>
              <w:rPr>
                <w:rFonts w:hint="eastAsia" w:ascii="仿宋" w:hAnsi="仿宋" w:eastAsia="仿宋" w:cs="仿宋"/>
                <w:sz w:val="24"/>
                <w:szCs w:val="24"/>
              </w:rPr>
            </w:pPr>
            <w:r>
              <w:rPr>
                <w:rFonts w:hint="eastAsia" w:ascii="仿宋" w:hAnsi="仿宋" w:eastAsia="仿宋" w:cs="仿宋"/>
                <w:sz w:val="24"/>
                <w:szCs w:val="24"/>
              </w:rPr>
              <w:t>在额定准确限值一次电流下的复合误差</w:t>
            </w:r>
          </w:p>
        </w:tc>
        <w:tc>
          <w:tcPr>
            <w:tcW w:w="3866" w:type="dxa"/>
            <w:vAlign w:val="center"/>
          </w:tcPr>
          <w:p w14:paraId="5A4153C7">
            <w:pPr>
              <w:jc w:val="center"/>
              <w:rPr>
                <w:rFonts w:hint="eastAsia" w:ascii="仿宋" w:hAnsi="仿宋" w:eastAsia="仿宋" w:cs="仿宋"/>
                <w:sz w:val="24"/>
                <w:szCs w:val="24"/>
              </w:rPr>
            </w:pPr>
            <w:r>
              <w:rPr>
                <w:rFonts w:hint="eastAsia" w:ascii="仿宋" w:hAnsi="仿宋" w:eastAsia="仿宋" w:cs="仿宋"/>
                <w:sz w:val="24"/>
                <w:szCs w:val="24"/>
              </w:rPr>
              <w:t>5%</w:t>
            </w:r>
          </w:p>
        </w:tc>
      </w:tr>
      <w:tr w14:paraId="0A75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120B59B1">
            <w:pPr>
              <w:jc w:val="center"/>
              <w:rPr>
                <w:rFonts w:hint="eastAsia" w:ascii="仿宋" w:hAnsi="仿宋" w:eastAsia="仿宋" w:cs="仿宋"/>
                <w:sz w:val="24"/>
                <w:szCs w:val="24"/>
              </w:rPr>
            </w:pPr>
            <w:r>
              <w:rPr>
                <w:rFonts w:hint="eastAsia" w:ascii="仿宋" w:hAnsi="仿宋" w:eastAsia="仿宋" w:cs="仿宋"/>
                <w:sz w:val="24"/>
                <w:szCs w:val="24"/>
              </w:rPr>
              <w:t>磁材</w:t>
            </w:r>
          </w:p>
        </w:tc>
        <w:tc>
          <w:tcPr>
            <w:tcW w:w="3866" w:type="dxa"/>
            <w:vAlign w:val="center"/>
          </w:tcPr>
          <w:p w14:paraId="3AA5E0A5">
            <w:pPr>
              <w:jc w:val="center"/>
              <w:rPr>
                <w:rFonts w:hint="eastAsia" w:ascii="仿宋" w:hAnsi="仿宋" w:eastAsia="仿宋" w:cs="仿宋"/>
                <w:sz w:val="24"/>
                <w:szCs w:val="24"/>
              </w:rPr>
            </w:pPr>
            <w:r>
              <w:rPr>
                <w:rFonts w:hint="eastAsia" w:ascii="仿宋" w:hAnsi="仿宋" w:eastAsia="仿宋" w:cs="仿宋"/>
                <w:sz w:val="24"/>
                <w:szCs w:val="24"/>
              </w:rPr>
              <w:t>硅钢片</w:t>
            </w:r>
          </w:p>
        </w:tc>
      </w:tr>
      <w:tr w14:paraId="518A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5FAB7160">
            <w:pPr>
              <w:jc w:val="center"/>
              <w:rPr>
                <w:rFonts w:hint="eastAsia" w:ascii="仿宋" w:hAnsi="仿宋" w:eastAsia="仿宋" w:cs="仿宋"/>
                <w:sz w:val="24"/>
                <w:szCs w:val="24"/>
              </w:rPr>
            </w:pPr>
            <w:r>
              <w:rPr>
                <w:rFonts w:hint="eastAsia" w:ascii="仿宋" w:hAnsi="仿宋" w:eastAsia="仿宋" w:cs="仿宋"/>
                <w:sz w:val="24"/>
                <w:szCs w:val="24"/>
              </w:rPr>
              <w:t>导磁率</w:t>
            </w:r>
          </w:p>
        </w:tc>
        <w:tc>
          <w:tcPr>
            <w:tcW w:w="3866" w:type="dxa"/>
            <w:vAlign w:val="center"/>
          </w:tcPr>
          <w:p w14:paraId="0FC260A4">
            <w:pPr>
              <w:jc w:val="center"/>
              <w:rPr>
                <w:rFonts w:hint="eastAsia" w:ascii="仿宋" w:hAnsi="仿宋" w:eastAsia="仿宋" w:cs="仿宋"/>
                <w:sz w:val="24"/>
                <w:szCs w:val="24"/>
              </w:rPr>
            </w:pPr>
            <w:r>
              <w:rPr>
                <w:rFonts w:hint="eastAsia" w:ascii="仿宋" w:hAnsi="仿宋" w:eastAsia="仿宋" w:cs="仿宋"/>
                <w:sz w:val="24"/>
                <w:szCs w:val="24"/>
              </w:rPr>
              <w:t>6000-8000</w:t>
            </w:r>
          </w:p>
        </w:tc>
      </w:tr>
      <w:tr w14:paraId="6965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29B08BB5">
            <w:pPr>
              <w:jc w:val="center"/>
              <w:rPr>
                <w:rFonts w:hint="eastAsia" w:ascii="仿宋" w:hAnsi="仿宋" w:eastAsia="仿宋" w:cs="仿宋"/>
                <w:sz w:val="24"/>
                <w:szCs w:val="24"/>
              </w:rPr>
            </w:pPr>
            <w:r>
              <w:rPr>
                <w:rFonts w:hint="eastAsia" w:ascii="仿宋" w:hAnsi="仿宋" w:eastAsia="仿宋" w:cs="仿宋"/>
                <w:sz w:val="24"/>
                <w:szCs w:val="24"/>
              </w:rPr>
              <w:t>匝数</w:t>
            </w:r>
          </w:p>
        </w:tc>
        <w:tc>
          <w:tcPr>
            <w:tcW w:w="3866" w:type="dxa"/>
            <w:vAlign w:val="center"/>
          </w:tcPr>
          <w:p w14:paraId="15C36AE5">
            <w:pPr>
              <w:jc w:val="center"/>
              <w:rPr>
                <w:rFonts w:hint="eastAsia" w:ascii="仿宋" w:hAnsi="仿宋" w:eastAsia="仿宋" w:cs="仿宋"/>
                <w:sz w:val="24"/>
                <w:szCs w:val="24"/>
              </w:rPr>
            </w:pPr>
            <w:r>
              <w:rPr>
                <w:rFonts w:hint="eastAsia" w:ascii="仿宋" w:hAnsi="仿宋" w:eastAsia="仿宋" w:cs="仿宋"/>
                <w:sz w:val="24"/>
                <w:szCs w:val="24"/>
              </w:rPr>
              <w:t>20T</w:t>
            </w:r>
          </w:p>
        </w:tc>
      </w:tr>
      <w:tr w14:paraId="6F57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3868A89E">
            <w:pPr>
              <w:jc w:val="center"/>
              <w:rPr>
                <w:rFonts w:hint="eastAsia" w:ascii="仿宋" w:hAnsi="仿宋" w:eastAsia="仿宋" w:cs="仿宋"/>
                <w:sz w:val="24"/>
                <w:szCs w:val="24"/>
              </w:rPr>
            </w:pPr>
            <w:r>
              <w:rPr>
                <w:rFonts w:hint="eastAsia" w:ascii="仿宋" w:hAnsi="仿宋" w:eastAsia="仿宋" w:cs="仿宋"/>
                <w:sz w:val="24"/>
                <w:szCs w:val="24"/>
              </w:rPr>
              <w:t>安装方式</w:t>
            </w:r>
          </w:p>
        </w:tc>
        <w:tc>
          <w:tcPr>
            <w:tcW w:w="3866" w:type="dxa"/>
            <w:vAlign w:val="center"/>
          </w:tcPr>
          <w:p w14:paraId="2D71676F">
            <w:pPr>
              <w:jc w:val="center"/>
              <w:rPr>
                <w:rFonts w:hint="eastAsia" w:ascii="仿宋" w:hAnsi="仿宋" w:eastAsia="仿宋" w:cs="仿宋"/>
                <w:sz w:val="24"/>
                <w:szCs w:val="24"/>
              </w:rPr>
            </w:pPr>
            <w:r>
              <w:rPr>
                <w:rFonts w:hint="eastAsia" w:ascii="仿宋" w:hAnsi="仿宋" w:eastAsia="仿宋" w:cs="仿宋"/>
                <w:sz w:val="24"/>
                <w:szCs w:val="24"/>
              </w:rPr>
              <w:t>开合钳式</w:t>
            </w:r>
          </w:p>
        </w:tc>
      </w:tr>
      <w:tr w14:paraId="71E9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3D62F8DB">
            <w:pPr>
              <w:jc w:val="center"/>
              <w:rPr>
                <w:rFonts w:hint="eastAsia" w:ascii="仿宋" w:hAnsi="仿宋" w:eastAsia="仿宋" w:cs="仿宋"/>
                <w:sz w:val="24"/>
                <w:szCs w:val="24"/>
              </w:rPr>
            </w:pPr>
            <w:r>
              <w:rPr>
                <w:rFonts w:hint="eastAsia" w:ascii="仿宋" w:hAnsi="仿宋" w:eastAsia="仿宋" w:cs="仿宋"/>
                <w:sz w:val="24"/>
                <w:szCs w:val="24"/>
              </w:rPr>
              <w:t>尺寸</w:t>
            </w:r>
          </w:p>
        </w:tc>
        <w:tc>
          <w:tcPr>
            <w:tcW w:w="3866" w:type="dxa"/>
            <w:vAlign w:val="center"/>
          </w:tcPr>
          <w:p w14:paraId="5A871920">
            <w:pPr>
              <w:jc w:val="center"/>
              <w:rPr>
                <w:rFonts w:hint="eastAsia" w:ascii="仿宋" w:hAnsi="仿宋" w:eastAsia="仿宋" w:cs="仿宋"/>
                <w:bCs/>
                <w:sz w:val="24"/>
                <w:szCs w:val="24"/>
              </w:rPr>
            </w:pPr>
            <w:r>
              <w:rPr>
                <w:rFonts w:hint="eastAsia" w:ascii="仿宋" w:hAnsi="仿宋" w:eastAsia="仿宋" w:cs="仿宋"/>
                <w:bCs/>
                <w:sz w:val="24"/>
                <w:szCs w:val="24"/>
              </w:rPr>
              <w:t>内径不小于35mm</w:t>
            </w:r>
          </w:p>
        </w:tc>
      </w:tr>
      <w:tr w14:paraId="2294A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41" w:type="dxa"/>
            <w:vAlign w:val="center"/>
          </w:tcPr>
          <w:p w14:paraId="21311D71">
            <w:pPr>
              <w:jc w:val="center"/>
              <w:rPr>
                <w:rFonts w:hint="eastAsia" w:ascii="仿宋" w:hAnsi="仿宋" w:eastAsia="仿宋" w:cs="仿宋"/>
                <w:sz w:val="24"/>
                <w:szCs w:val="24"/>
              </w:rPr>
            </w:pPr>
            <w:r>
              <w:rPr>
                <w:rFonts w:hint="eastAsia" w:ascii="仿宋" w:hAnsi="仿宋" w:eastAsia="仿宋" w:cs="仿宋"/>
                <w:sz w:val="24"/>
                <w:szCs w:val="24"/>
              </w:rPr>
              <w:t>CT运行噪声</w:t>
            </w:r>
          </w:p>
        </w:tc>
        <w:tc>
          <w:tcPr>
            <w:tcW w:w="3866" w:type="dxa"/>
            <w:vAlign w:val="center"/>
          </w:tcPr>
          <w:p w14:paraId="3952283C">
            <w:pPr>
              <w:jc w:val="center"/>
              <w:rPr>
                <w:rFonts w:hint="eastAsia" w:ascii="仿宋" w:hAnsi="仿宋" w:eastAsia="仿宋" w:cs="仿宋"/>
                <w:bCs/>
                <w:sz w:val="24"/>
                <w:szCs w:val="24"/>
              </w:rPr>
            </w:pPr>
            <w:r>
              <w:rPr>
                <w:rFonts w:hint="eastAsia" w:ascii="仿宋" w:hAnsi="仿宋" w:eastAsia="仿宋" w:cs="仿宋"/>
                <w:sz w:val="24"/>
                <w:szCs w:val="24"/>
              </w:rPr>
              <w:t>CT在50Hz 300A时无异常震动且噪音小于5分贝。</w:t>
            </w:r>
          </w:p>
        </w:tc>
      </w:tr>
    </w:tbl>
    <w:p w14:paraId="22C205FC">
      <w:pPr>
        <w:ind w:firstLine="435"/>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2、主缆运行电流传感器的要求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7"/>
        <w:gridCol w:w="3471"/>
      </w:tblGrid>
      <w:tr w14:paraId="02CC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tblHeader/>
          <w:jc w:val="center"/>
        </w:trPr>
        <w:tc>
          <w:tcPr>
            <w:tcW w:w="3967" w:type="dxa"/>
            <w:shd w:val="clear" w:color="auto" w:fill="FFC000"/>
            <w:vAlign w:val="center"/>
          </w:tcPr>
          <w:p w14:paraId="33E71A8F">
            <w:pPr>
              <w:jc w:val="center"/>
              <w:rPr>
                <w:rFonts w:hint="eastAsia" w:ascii="仿宋" w:hAnsi="仿宋" w:eastAsia="仿宋" w:cs="仿宋"/>
                <w:bCs/>
                <w:sz w:val="28"/>
                <w:szCs w:val="28"/>
              </w:rPr>
            </w:pPr>
            <w:r>
              <w:rPr>
                <w:rFonts w:hint="eastAsia" w:ascii="仿宋" w:hAnsi="仿宋" w:eastAsia="仿宋" w:cs="仿宋"/>
                <w:bCs/>
                <w:sz w:val="28"/>
                <w:szCs w:val="28"/>
              </w:rPr>
              <w:t>技术参数名称</w:t>
            </w:r>
          </w:p>
        </w:tc>
        <w:tc>
          <w:tcPr>
            <w:tcW w:w="3471" w:type="dxa"/>
            <w:shd w:val="clear" w:color="auto" w:fill="FFC000"/>
            <w:vAlign w:val="center"/>
          </w:tcPr>
          <w:p w14:paraId="4493BC53">
            <w:pPr>
              <w:jc w:val="center"/>
              <w:rPr>
                <w:rFonts w:hint="eastAsia" w:ascii="仿宋" w:hAnsi="仿宋" w:eastAsia="仿宋" w:cs="仿宋"/>
                <w:bCs/>
                <w:sz w:val="28"/>
                <w:szCs w:val="28"/>
              </w:rPr>
            </w:pPr>
            <w:r>
              <w:rPr>
                <w:rFonts w:hint="eastAsia" w:ascii="仿宋" w:hAnsi="仿宋" w:eastAsia="仿宋" w:cs="仿宋"/>
                <w:bCs/>
                <w:sz w:val="28"/>
                <w:szCs w:val="28"/>
              </w:rPr>
              <w:t>标准值</w:t>
            </w:r>
          </w:p>
        </w:tc>
      </w:tr>
      <w:tr w14:paraId="4D244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00F48394">
            <w:pPr>
              <w:jc w:val="center"/>
              <w:rPr>
                <w:rFonts w:hint="eastAsia" w:ascii="仿宋" w:hAnsi="仿宋" w:eastAsia="仿宋" w:cs="仿宋"/>
                <w:sz w:val="24"/>
                <w:szCs w:val="24"/>
              </w:rPr>
            </w:pPr>
            <w:r>
              <w:rPr>
                <w:rFonts w:hint="eastAsia" w:ascii="仿宋" w:hAnsi="仿宋" w:eastAsia="仿宋" w:cs="仿宋"/>
                <w:sz w:val="24"/>
                <w:szCs w:val="24"/>
              </w:rPr>
              <w:t>电流范围</w:t>
            </w:r>
          </w:p>
        </w:tc>
        <w:tc>
          <w:tcPr>
            <w:tcW w:w="3471" w:type="dxa"/>
            <w:vAlign w:val="center"/>
          </w:tcPr>
          <w:p w14:paraId="37B6A280">
            <w:pPr>
              <w:jc w:val="center"/>
              <w:rPr>
                <w:rFonts w:hint="eastAsia" w:ascii="仿宋" w:hAnsi="仿宋" w:eastAsia="仿宋" w:cs="仿宋"/>
                <w:sz w:val="24"/>
                <w:szCs w:val="24"/>
              </w:rPr>
            </w:pPr>
            <w:r>
              <w:rPr>
                <w:rFonts w:hint="eastAsia" w:ascii="仿宋" w:hAnsi="仿宋" w:eastAsia="仿宋" w:cs="仿宋"/>
                <w:sz w:val="24"/>
                <w:szCs w:val="24"/>
              </w:rPr>
              <w:t>0～1000A</w:t>
            </w:r>
          </w:p>
        </w:tc>
      </w:tr>
      <w:tr w14:paraId="7720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29247A03">
            <w:pPr>
              <w:jc w:val="center"/>
              <w:rPr>
                <w:rFonts w:hint="eastAsia" w:ascii="仿宋" w:hAnsi="仿宋" w:eastAsia="仿宋" w:cs="仿宋"/>
                <w:sz w:val="24"/>
                <w:szCs w:val="24"/>
              </w:rPr>
            </w:pPr>
            <w:r>
              <w:rPr>
                <w:rFonts w:hint="eastAsia" w:ascii="仿宋" w:hAnsi="仿宋" w:eastAsia="仿宋" w:cs="仿宋"/>
                <w:sz w:val="24"/>
                <w:szCs w:val="24"/>
              </w:rPr>
              <w:t>一次额定电流</w:t>
            </w:r>
          </w:p>
        </w:tc>
        <w:tc>
          <w:tcPr>
            <w:tcW w:w="3471" w:type="dxa"/>
            <w:vAlign w:val="center"/>
          </w:tcPr>
          <w:p w14:paraId="1D6DC385">
            <w:pPr>
              <w:jc w:val="center"/>
              <w:rPr>
                <w:rFonts w:hint="eastAsia" w:ascii="仿宋" w:hAnsi="仿宋" w:eastAsia="仿宋" w:cs="仿宋"/>
                <w:sz w:val="24"/>
                <w:szCs w:val="24"/>
              </w:rPr>
            </w:pPr>
            <w:r>
              <w:rPr>
                <w:rFonts w:hint="eastAsia" w:ascii="仿宋" w:hAnsi="仿宋" w:eastAsia="仿宋" w:cs="仿宋"/>
                <w:sz w:val="24"/>
                <w:szCs w:val="24"/>
              </w:rPr>
              <w:t>1000A</w:t>
            </w:r>
          </w:p>
        </w:tc>
      </w:tr>
      <w:tr w14:paraId="57D5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6EF5A324">
            <w:pPr>
              <w:jc w:val="center"/>
              <w:rPr>
                <w:rFonts w:hint="eastAsia" w:ascii="仿宋" w:hAnsi="仿宋" w:eastAsia="仿宋" w:cs="仿宋"/>
                <w:sz w:val="24"/>
                <w:szCs w:val="24"/>
              </w:rPr>
            </w:pPr>
            <w:r>
              <w:rPr>
                <w:rFonts w:hint="eastAsia" w:ascii="仿宋" w:hAnsi="仿宋" w:eastAsia="仿宋" w:cs="仿宋"/>
                <w:sz w:val="24"/>
                <w:szCs w:val="24"/>
              </w:rPr>
              <w:t>规格</w:t>
            </w:r>
          </w:p>
        </w:tc>
        <w:tc>
          <w:tcPr>
            <w:tcW w:w="3471" w:type="dxa"/>
            <w:vAlign w:val="center"/>
          </w:tcPr>
          <w:p w14:paraId="53F1DE73">
            <w:pPr>
              <w:jc w:val="center"/>
              <w:rPr>
                <w:rFonts w:hint="eastAsia" w:ascii="仿宋" w:hAnsi="仿宋" w:eastAsia="仿宋" w:cs="仿宋"/>
                <w:sz w:val="24"/>
                <w:szCs w:val="24"/>
              </w:rPr>
            </w:pPr>
            <w:r>
              <w:rPr>
                <w:rFonts w:hint="eastAsia" w:ascii="仿宋" w:hAnsi="仿宋" w:eastAsia="仿宋" w:cs="仿宋"/>
                <w:sz w:val="24"/>
                <w:szCs w:val="24"/>
              </w:rPr>
              <w:t>5P30</w:t>
            </w:r>
          </w:p>
        </w:tc>
      </w:tr>
      <w:tr w14:paraId="18C6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115AFC14">
            <w:pPr>
              <w:jc w:val="center"/>
              <w:rPr>
                <w:rFonts w:hint="eastAsia" w:ascii="仿宋" w:hAnsi="仿宋" w:eastAsia="仿宋" w:cs="仿宋"/>
                <w:sz w:val="24"/>
                <w:szCs w:val="24"/>
              </w:rPr>
            </w:pPr>
            <w:r>
              <w:rPr>
                <w:rFonts w:hint="eastAsia" w:ascii="仿宋" w:hAnsi="仿宋" w:eastAsia="仿宋" w:cs="仿宋"/>
                <w:sz w:val="24"/>
                <w:szCs w:val="24"/>
              </w:rPr>
              <w:t>二次绝缘耐压</w:t>
            </w:r>
          </w:p>
        </w:tc>
        <w:tc>
          <w:tcPr>
            <w:tcW w:w="3471" w:type="dxa"/>
            <w:vAlign w:val="center"/>
          </w:tcPr>
          <w:p w14:paraId="258B4B97">
            <w:pPr>
              <w:jc w:val="center"/>
              <w:rPr>
                <w:rFonts w:hint="eastAsia" w:ascii="仿宋" w:hAnsi="仿宋" w:eastAsia="仿宋" w:cs="仿宋"/>
                <w:sz w:val="24"/>
                <w:szCs w:val="24"/>
              </w:rPr>
            </w:pPr>
            <w:r>
              <w:rPr>
                <w:rFonts w:hint="eastAsia" w:ascii="仿宋" w:hAnsi="仿宋" w:eastAsia="仿宋" w:cs="仿宋"/>
                <w:sz w:val="24"/>
                <w:szCs w:val="24"/>
              </w:rPr>
              <w:t>3KV/1min</w:t>
            </w:r>
          </w:p>
        </w:tc>
      </w:tr>
      <w:tr w14:paraId="268E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0A836F5C">
            <w:pPr>
              <w:jc w:val="center"/>
              <w:rPr>
                <w:rFonts w:hint="eastAsia" w:ascii="仿宋" w:hAnsi="仿宋" w:eastAsia="仿宋" w:cs="仿宋"/>
                <w:sz w:val="24"/>
                <w:szCs w:val="24"/>
              </w:rPr>
            </w:pPr>
            <w:r>
              <w:rPr>
                <w:rFonts w:hint="eastAsia" w:ascii="仿宋" w:hAnsi="仿宋" w:eastAsia="仿宋" w:cs="仿宋"/>
                <w:sz w:val="24"/>
                <w:szCs w:val="24"/>
              </w:rPr>
              <w:t>绝缘阻抗</w:t>
            </w:r>
          </w:p>
        </w:tc>
        <w:tc>
          <w:tcPr>
            <w:tcW w:w="3471" w:type="dxa"/>
            <w:vAlign w:val="center"/>
          </w:tcPr>
          <w:p w14:paraId="71E32DB1">
            <w:pPr>
              <w:jc w:val="center"/>
              <w:rPr>
                <w:rFonts w:hint="eastAsia" w:ascii="仿宋" w:hAnsi="仿宋" w:eastAsia="仿宋" w:cs="仿宋"/>
                <w:sz w:val="24"/>
                <w:szCs w:val="24"/>
              </w:rPr>
            </w:pPr>
            <w:r>
              <w:rPr>
                <w:rFonts w:hint="eastAsia" w:ascii="仿宋" w:hAnsi="仿宋" w:eastAsia="仿宋" w:cs="仿宋"/>
                <w:sz w:val="24"/>
                <w:szCs w:val="24"/>
              </w:rPr>
              <w:t>大于100MΩ</w:t>
            </w:r>
          </w:p>
        </w:tc>
      </w:tr>
      <w:tr w14:paraId="587C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7A7BE193">
            <w:pPr>
              <w:jc w:val="center"/>
              <w:rPr>
                <w:rFonts w:hint="eastAsia" w:ascii="仿宋" w:hAnsi="仿宋" w:eastAsia="仿宋" w:cs="仿宋"/>
                <w:sz w:val="24"/>
                <w:szCs w:val="24"/>
              </w:rPr>
            </w:pPr>
            <w:r>
              <w:rPr>
                <w:rFonts w:hint="eastAsia" w:ascii="仿宋" w:hAnsi="仿宋" w:eastAsia="仿宋" w:cs="仿宋"/>
                <w:sz w:val="24"/>
                <w:szCs w:val="24"/>
              </w:rPr>
              <w:t>二次额定负载</w:t>
            </w:r>
          </w:p>
        </w:tc>
        <w:tc>
          <w:tcPr>
            <w:tcW w:w="3471" w:type="dxa"/>
            <w:vAlign w:val="center"/>
          </w:tcPr>
          <w:p w14:paraId="5D61C0E3">
            <w:pPr>
              <w:jc w:val="center"/>
              <w:rPr>
                <w:rFonts w:hint="eastAsia" w:ascii="仿宋" w:hAnsi="仿宋" w:eastAsia="仿宋" w:cs="仿宋"/>
                <w:sz w:val="24"/>
                <w:szCs w:val="24"/>
              </w:rPr>
            </w:pPr>
            <w:r>
              <w:rPr>
                <w:rFonts w:hint="eastAsia" w:ascii="仿宋" w:hAnsi="仿宋" w:eastAsia="仿宋" w:cs="仿宋"/>
                <w:sz w:val="24"/>
                <w:szCs w:val="24"/>
              </w:rPr>
              <w:t>0VA或2.5VA</w:t>
            </w:r>
          </w:p>
        </w:tc>
      </w:tr>
      <w:tr w14:paraId="27DA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4C2EE74D">
            <w:pPr>
              <w:jc w:val="center"/>
              <w:rPr>
                <w:rFonts w:hint="eastAsia" w:ascii="仿宋" w:hAnsi="仿宋" w:eastAsia="仿宋" w:cs="仿宋"/>
                <w:sz w:val="24"/>
                <w:szCs w:val="24"/>
              </w:rPr>
            </w:pPr>
            <w:r>
              <w:rPr>
                <w:rFonts w:hint="eastAsia" w:ascii="仿宋" w:hAnsi="仿宋" w:eastAsia="仿宋" w:cs="仿宋"/>
                <w:sz w:val="24"/>
                <w:szCs w:val="24"/>
              </w:rPr>
              <w:t>互感器接地方式</w:t>
            </w:r>
          </w:p>
        </w:tc>
        <w:tc>
          <w:tcPr>
            <w:tcW w:w="3471" w:type="dxa"/>
            <w:vAlign w:val="center"/>
          </w:tcPr>
          <w:p w14:paraId="13D30982">
            <w:pPr>
              <w:jc w:val="center"/>
              <w:rPr>
                <w:rFonts w:hint="eastAsia" w:ascii="仿宋" w:hAnsi="仿宋" w:eastAsia="仿宋" w:cs="仿宋"/>
                <w:sz w:val="24"/>
                <w:szCs w:val="24"/>
              </w:rPr>
            </w:pPr>
            <w:r>
              <w:rPr>
                <w:rFonts w:hint="eastAsia" w:ascii="仿宋" w:hAnsi="仿宋" w:eastAsia="仿宋" w:cs="仿宋"/>
                <w:sz w:val="24"/>
                <w:szCs w:val="24"/>
              </w:rPr>
              <w:t>二次接地和铁芯接地</w:t>
            </w:r>
          </w:p>
        </w:tc>
      </w:tr>
      <w:tr w14:paraId="54C8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2A396773">
            <w:pPr>
              <w:jc w:val="center"/>
              <w:rPr>
                <w:rFonts w:hint="eastAsia" w:ascii="仿宋" w:hAnsi="仿宋" w:eastAsia="仿宋" w:cs="仿宋"/>
                <w:sz w:val="24"/>
                <w:szCs w:val="24"/>
              </w:rPr>
            </w:pPr>
            <w:r>
              <w:rPr>
                <w:rFonts w:hint="eastAsia" w:ascii="仿宋" w:hAnsi="仿宋" w:eastAsia="仿宋" w:cs="仿宋"/>
                <w:sz w:val="24"/>
                <w:szCs w:val="24"/>
              </w:rPr>
              <w:t>额定一次电流下的电流误差</w:t>
            </w:r>
          </w:p>
        </w:tc>
        <w:tc>
          <w:tcPr>
            <w:tcW w:w="3471" w:type="dxa"/>
            <w:vAlign w:val="center"/>
          </w:tcPr>
          <w:p w14:paraId="0DBE46AC">
            <w:pPr>
              <w:jc w:val="center"/>
              <w:rPr>
                <w:rFonts w:hint="eastAsia" w:ascii="仿宋" w:hAnsi="仿宋" w:eastAsia="仿宋" w:cs="仿宋"/>
                <w:sz w:val="24"/>
                <w:szCs w:val="24"/>
              </w:rPr>
            </w:pPr>
            <w:r>
              <w:rPr>
                <w:rFonts w:hint="eastAsia" w:ascii="仿宋" w:hAnsi="仿宋" w:eastAsia="仿宋" w:cs="仿宋"/>
                <w:sz w:val="24"/>
                <w:szCs w:val="24"/>
              </w:rPr>
              <w:t>1%</w:t>
            </w:r>
          </w:p>
        </w:tc>
      </w:tr>
      <w:tr w14:paraId="697CE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4BE83C9A">
            <w:pPr>
              <w:jc w:val="center"/>
              <w:rPr>
                <w:rFonts w:hint="eastAsia" w:ascii="仿宋" w:hAnsi="仿宋" w:eastAsia="仿宋" w:cs="仿宋"/>
                <w:sz w:val="24"/>
                <w:szCs w:val="24"/>
              </w:rPr>
            </w:pPr>
            <w:r>
              <w:rPr>
                <w:rFonts w:hint="eastAsia" w:ascii="仿宋" w:hAnsi="仿宋" w:eastAsia="仿宋" w:cs="仿宋"/>
                <w:sz w:val="24"/>
                <w:szCs w:val="24"/>
              </w:rPr>
              <w:t>相位差</w:t>
            </w:r>
          </w:p>
        </w:tc>
        <w:tc>
          <w:tcPr>
            <w:tcW w:w="3471" w:type="dxa"/>
            <w:vAlign w:val="center"/>
          </w:tcPr>
          <w:p w14:paraId="4EDAD0CE">
            <w:pPr>
              <w:jc w:val="center"/>
              <w:rPr>
                <w:rFonts w:hint="eastAsia" w:ascii="仿宋" w:hAnsi="仿宋" w:eastAsia="仿宋" w:cs="仿宋"/>
                <w:sz w:val="24"/>
                <w:szCs w:val="24"/>
              </w:rPr>
            </w:pPr>
            <w:r>
              <w:rPr>
                <w:rFonts w:hint="eastAsia" w:ascii="仿宋" w:hAnsi="仿宋" w:eastAsia="仿宋" w:cs="仿宋"/>
                <w:sz w:val="24"/>
                <w:szCs w:val="24"/>
              </w:rPr>
              <w:t>正负60分</w:t>
            </w:r>
          </w:p>
        </w:tc>
      </w:tr>
      <w:tr w14:paraId="2E98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1491A26B">
            <w:pPr>
              <w:jc w:val="center"/>
              <w:rPr>
                <w:rFonts w:hint="eastAsia" w:ascii="仿宋" w:hAnsi="仿宋" w:eastAsia="仿宋" w:cs="仿宋"/>
                <w:sz w:val="24"/>
                <w:szCs w:val="24"/>
              </w:rPr>
            </w:pPr>
            <w:r>
              <w:rPr>
                <w:rFonts w:hint="eastAsia" w:ascii="仿宋" w:hAnsi="仿宋" w:eastAsia="仿宋" w:cs="仿宋"/>
                <w:sz w:val="24"/>
                <w:szCs w:val="24"/>
              </w:rPr>
              <w:t>在额定准确限值一次电流下的复合误差</w:t>
            </w:r>
          </w:p>
        </w:tc>
        <w:tc>
          <w:tcPr>
            <w:tcW w:w="3471" w:type="dxa"/>
            <w:vAlign w:val="center"/>
          </w:tcPr>
          <w:p w14:paraId="3D2B7C69">
            <w:pPr>
              <w:jc w:val="center"/>
              <w:rPr>
                <w:rFonts w:hint="eastAsia" w:ascii="仿宋" w:hAnsi="仿宋" w:eastAsia="仿宋" w:cs="仿宋"/>
                <w:sz w:val="24"/>
                <w:szCs w:val="24"/>
              </w:rPr>
            </w:pPr>
            <w:r>
              <w:rPr>
                <w:rFonts w:hint="eastAsia" w:ascii="仿宋" w:hAnsi="仿宋" w:eastAsia="仿宋" w:cs="仿宋"/>
                <w:sz w:val="24"/>
                <w:szCs w:val="24"/>
              </w:rPr>
              <w:t>5%</w:t>
            </w:r>
          </w:p>
        </w:tc>
      </w:tr>
      <w:tr w14:paraId="73E9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246429B5">
            <w:pPr>
              <w:jc w:val="center"/>
              <w:rPr>
                <w:rFonts w:hint="eastAsia" w:ascii="仿宋" w:hAnsi="仿宋" w:eastAsia="仿宋" w:cs="仿宋"/>
                <w:sz w:val="24"/>
                <w:szCs w:val="24"/>
              </w:rPr>
            </w:pPr>
            <w:r>
              <w:rPr>
                <w:rFonts w:hint="eastAsia" w:ascii="仿宋" w:hAnsi="仿宋" w:eastAsia="仿宋" w:cs="仿宋"/>
                <w:sz w:val="24"/>
                <w:szCs w:val="24"/>
              </w:rPr>
              <w:t>磁材</w:t>
            </w:r>
          </w:p>
        </w:tc>
        <w:tc>
          <w:tcPr>
            <w:tcW w:w="3471" w:type="dxa"/>
            <w:vAlign w:val="center"/>
          </w:tcPr>
          <w:p w14:paraId="39CD1923">
            <w:pPr>
              <w:jc w:val="center"/>
              <w:rPr>
                <w:rFonts w:hint="eastAsia" w:ascii="仿宋" w:hAnsi="仿宋" w:eastAsia="仿宋" w:cs="仿宋"/>
                <w:sz w:val="24"/>
                <w:szCs w:val="24"/>
              </w:rPr>
            </w:pPr>
            <w:r>
              <w:rPr>
                <w:rFonts w:hint="eastAsia" w:ascii="仿宋" w:hAnsi="仿宋" w:eastAsia="仿宋" w:cs="仿宋"/>
                <w:sz w:val="24"/>
                <w:szCs w:val="24"/>
              </w:rPr>
              <w:t>硅钢片</w:t>
            </w:r>
          </w:p>
        </w:tc>
      </w:tr>
      <w:tr w14:paraId="69DC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7036004A">
            <w:pPr>
              <w:jc w:val="center"/>
              <w:rPr>
                <w:rFonts w:hint="eastAsia" w:ascii="仿宋" w:hAnsi="仿宋" w:eastAsia="仿宋" w:cs="仿宋"/>
                <w:sz w:val="24"/>
                <w:szCs w:val="24"/>
              </w:rPr>
            </w:pPr>
            <w:r>
              <w:rPr>
                <w:rFonts w:hint="eastAsia" w:ascii="仿宋" w:hAnsi="仿宋" w:eastAsia="仿宋" w:cs="仿宋"/>
                <w:sz w:val="24"/>
                <w:szCs w:val="24"/>
              </w:rPr>
              <w:t>导磁率</w:t>
            </w:r>
          </w:p>
        </w:tc>
        <w:tc>
          <w:tcPr>
            <w:tcW w:w="3471" w:type="dxa"/>
            <w:vAlign w:val="center"/>
          </w:tcPr>
          <w:p w14:paraId="0E03CCAF">
            <w:pPr>
              <w:jc w:val="center"/>
              <w:rPr>
                <w:rFonts w:hint="eastAsia" w:ascii="仿宋" w:hAnsi="仿宋" w:eastAsia="仿宋" w:cs="仿宋"/>
                <w:sz w:val="24"/>
                <w:szCs w:val="24"/>
              </w:rPr>
            </w:pPr>
            <w:r>
              <w:rPr>
                <w:rFonts w:hint="eastAsia" w:ascii="仿宋" w:hAnsi="仿宋" w:eastAsia="仿宋" w:cs="仿宋"/>
                <w:sz w:val="24"/>
                <w:szCs w:val="24"/>
              </w:rPr>
              <w:t>6000-8000</w:t>
            </w:r>
          </w:p>
        </w:tc>
      </w:tr>
      <w:tr w14:paraId="6F4A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3A1DA4A0">
            <w:pPr>
              <w:jc w:val="center"/>
              <w:rPr>
                <w:rFonts w:hint="eastAsia" w:ascii="仿宋" w:hAnsi="仿宋" w:eastAsia="仿宋" w:cs="仿宋"/>
                <w:sz w:val="24"/>
                <w:szCs w:val="24"/>
              </w:rPr>
            </w:pPr>
            <w:r>
              <w:rPr>
                <w:rFonts w:hint="eastAsia" w:ascii="仿宋" w:hAnsi="仿宋" w:eastAsia="仿宋" w:cs="仿宋"/>
                <w:sz w:val="24"/>
                <w:szCs w:val="24"/>
              </w:rPr>
              <w:t>匝数</w:t>
            </w:r>
          </w:p>
        </w:tc>
        <w:tc>
          <w:tcPr>
            <w:tcW w:w="3471" w:type="dxa"/>
            <w:vAlign w:val="center"/>
          </w:tcPr>
          <w:p w14:paraId="615A5284">
            <w:pPr>
              <w:jc w:val="center"/>
              <w:rPr>
                <w:rFonts w:hint="eastAsia" w:ascii="仿宋" w:hAnsi="仿宋" w:eastAsia="仿宋" w:cs="仿宋"/>
                <w:sz w:val="24"/>
                <w:szCs w:val="24"/>
              </w:rPr>
            </w:pPr>
            <w:r>
              <w:rPr>
                <w:rFonts w:hint="eastAsia" w:ascii="仿宋" w:hAnsi="仿宋" w:eastAsia="仿宋" w:cs="仿宋"/>
                <w:sz w:val="24"/>
                <w:szCs w:val="24"/>
              </w:rPr>
              <w:t>20T</w:t>
            </w:r>
          </w:p>
        </w:tc>
      </w:tr>
      <w:tr w14:paraId="33D1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60DD8636">
            <w:pPr>
              <w:jc w:val="center"/>
              <w:rPr>
                <w:rFonts w:hint="eastAsia" w:ascii="仿宋" w:hAnsi="仿宋" w:eastAsia="仿宋" w:cs="仿宋"/>
                <w:sz w:val="24"/>
                <w:szCs w:val="24"/>
              </w:rPr>
            </w:pPr>
            <w:r>
              <w:rPr>
                <w:rFonts w:hint="eastAsia" w:ascii="仿宋" w:hAnsi="仿宋" w:eastAsia="仿宋" w:cs="仿宋"/>
                <w:sz w:val="24"/>
                <w:szCs w:val="24"/>
              </w:rPr>
              <w:t>安装方式</w:t>
            </w:r>
          </w:p>
        </w:tc>
        <w:tc>
          <w:tcPr>
            <w:tcW w:w="3471" w:type="dxa"/>
            <w:vAlign w:val="center"/>
          </w:tcPr>
          <w:p w14:paraId="0CC0F001">
            <w:pPr>
              <w:jc w:val="center"/>
              <w:rPr>
                <w:rFonts w:hint="eastAsia" w:ascii="仿宋" w:hAnsi="仿宋" w:eastAsia="仿宋" w:cs="仿宋"/>
                <w:sz w:val="24"/>
                <w:szCs w:val="24"/>
              </w:rPr>
            </w:pPr>
            <w:r>
              <w:rPr>
                <w:rFonts w:hint="eastAsia" w:ascii="仿宋" w:hAnsi="仿宋" w:eastAsia="仿宋" w:cs="仿宋"/>
                <w:sz w:val="24"/>
                <w:szCs w:val="24"/>
              </w:rPr>
              <w:t>开合钳式</w:t>
            </w:r>
          </w:p>
        </w:tc>
      </w:tr>
      <w:tr w14:paraId="542B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310B03ED">
            <w:pPr>
              <w:jc w:val="center"/>
              <w:rPr>
                <w:rFonts w:hint="eastAsia" w:ascii="仿宋" w:hAnsi="仿宋" w:eastAsia="仿宋" w:cs="仿宋"/>
                <w:sz w:val="24"/>
                <w:szCs w:val="24"/>
              </w:rPr>
            </w:pPr>
            <w:r>
              <w:rPr>
                <w:rFonts w:hint="eastAsia" w:ascii="仿宋" w:hAnsi="仿宋" w:eastAsia="仿宋" w:cs="仿宋"/>
                <w:sz w:val="24"/>
                <w:szCs w:val="24"/>
              </w:rPr>
              <w:t>尺寸</w:t>
            </w:r>
          </w:p>
        </w:tc>
        <w:tc>
          <w:tcPr>
            <w:tcW w:w="3471" w:type="dxa"/>
            <w:vAlign w:val="center"/>
          </w:tcPr>
          <w:p w14:paraId="47521873">
            <w:pPr>
              <w:jc w:val="center"/>
              <w:rPr>
                <w:rFonts w:hint="eastAsia" w:ascii="仿宋" w:hAnsi="仿宋" w:eastAsia="仿宋" w:cs="仿宋"/>
                <w:bCs/>
                <w:sz w:val="24"/>
                <w:szCs w:val="24"/>
              </w:rPr>
            </w:pPr>
            <w:r>
              <w:rPr>
                <w:rFonts w:hint="eastAsia" w:ascii="仿宋" w:hAnsi="仿宋" w:eastAsia="仿宋" w:cs="仿宋"/>
                <w:bCs/>
                <w:sz w:val="24"/>
                <w:szCs w:val="24"/>
              </w:rPr>
              <w:t>内径不小于150mm</w:t>
            </w:r>
          </w:p>
        </w:tc>
      </w:tr>
      <w:tr w14:paraId="7F0C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967" w:type="dxa"/>
            <w:vAlign w:val="center"/>
          </w:tcPr>
          <w:p w14:paraId="27B5AC5E">
            <w:pPr>
              <w:jc w:val="center"/>
              <w:rPr>
                <w:rFonts w:hint="eastAsia" w:ascii="仿宋" w:hAnsi="仿宋" w:eastAsia="仿宋" w:cs="仿宋"/>
                <w:sz w:val="24"/>
                <w:szCs w:val="24"/>
              </w:rPr>
            </w:pPr>
            <w:r>
              <w:rPr>
                <w:rFonts w:hint="eastAsia" w:ascii="仿宋" w:hAnsi="仿宋" w:eastAsia="仿宋" w:cs="仿宋"/>
                <w:sz w:val="24"/>
                <w:szCs w:val="24"/>
              </w:rPr>
              <w:t>CT运行噪声</w:t>
            </w:r>
          </w:p>
        </w:tc>
        <w:tc>
          <w:tcPr>
            <w:tcW w:w="3471" w:type="dxa"/>
            <w:vAlign w:val="center"/>
          </w:tcPr>
          <w:p w14:paraId="5D1B2248">
            <w:pPr>
              <w:jc w:val="center"/>
              <w:rPr>
                <w:rFonts w:hint="eastAsia" w:ascii="仿宋" w:hAnsi="仿宋" w:eastAsia="仿宋" w:cs="仿宋"/>
                <w:bCs/>
                <w:sz w:val="24"/>
                <w:szCs w:val="24"/>
              </w:rPr>
            </w:pPr>
            <w:r>
              <w:rPr>
                <w:rFonts w:hint="eastAsia" w:ascii="仿宋" w:hAnsi="仿宋" w:eastAsia="仿宋" w:cs="仿宋"/>
                <w:sz w:val="24"/>
                <w:szCs w:val="24"/>
              </w:rPr>
              <w:t>CT在50Hz 1000A时无异常震动且噪音小于5分贝。</w:t>
            </w:r>
          </w:p>
        </w:tc>
      </w:tr>
    </w:tbl>
    <w:p w14:paraId="3C63D47E">
      <w:pPr>
        <w:ind w:firstLine="435"/>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3、防护外壳的要求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3538"/>
      </w:tblGrid>
      <w:tr w14:paraId="1F84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3472" w:type="dxa"/>
            <w:shd w:val="clear" w:color="auto" w:fill="FFC000"/>
            <w:vAlign w:val="center"/>
          </w:tcPr>
          <w:p w14:paraId="0D747518">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技术参数名称</w:t>
            </w:r>
          </w:p>
        </w:tc>
        <w:tc>
          <w:tcPr>
            <w:tcW w:w="3538" w:type="dxa"/>
            <w:shd w:val="clear" w:color="auto" w:fill="FFC000"/>
            <w:vAlign w:val="center"/>
          </w:tcPr>
          <w:p w14:paraId="38A48AA6">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标准值</w:t>
            </w:r>
          </w:p>
        </w:tc>
      </w:tr>
      <w:tr w14:paraId="79D1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472" w:type="dxa"/>
            <w:vAlign w:val="center"/>
          </w:tcPr>
          <w:p w14:paraId="445AAC3C">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外壳防护等级</w:t>
            </w:r>
          </w:p>
        </w:tc>
        <w:tc>
          <w:tcPr>
            <w:tcW w:w="3538" w:type="dxa"/>
            <w:vAlign w:val="center"/>
          </w:tcPr>
          <w:p w14:paraId="62069EA5">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IP68</w:t>
            </w:r>
          </w:p>
        </w:tc>
      </w:tr>
      <w:tr w14:paraId="61C3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472" w:type="dxa"/>
            <w:vAlign w:val="center"/>
          </w:tcPr>
          <w:p w14:paraId="1543E148">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工作条件</w:t>
            </w:r>
          </w:p>
        </w:tc>
        <w:tc>
          <w:tcPr>
            <w:tcW w:w="3538" w:type="dxa"/>
            <w:vAlign w:val="center"/>
          </w:tcPr>
          <w:p w14:paraId="28629B4E">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-16g～16g</w:t>
            </w:r>
          </w:p>
        </w:tc>
      </w:tr>
      <w:tr w14:paraId="41E93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472" w:type="dxa"/>
            <w:vAlign w:val="center"/>
          </w:tcPr>
          <w:p w14:paraId="48B3983A">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灵敏度</w:t>
            </w:r>
            <w:r>
              <w:rPr>
                <w:rFonts w:hint="eastAsia" w:ascii="仿宋" w:hAnsi="仿宋" w:eastAsia="仿宋" w:cs="仿宋"/>
                <w:sz w:val="24"/>
                <w:szCs w:val="24"/>
                <w:vertAlign w:val="superscript"/>
              </w:rPr>
              <w:t>*</w:t>
            </w:r>
          </w:p>
        </w:tc>
        <w:tc>
          <w:tcPr>
            <w:tcW w:w="3538" w:type="dxa"/>
            <w:vAlign w:val="center"/>
          </w:tcPr>
          <w:p w14:paraId="54A72A2A">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&gt;1000mg（Z轴）</w:t>
            </w:r>
          </w:p>
        </w:tc>
      </w:tr>
    </w:tbl>
    <w:p w14:paraId="58E9A2B7">
      <w:pPr>
        <w:ind w:firstLine="435"/>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4、测温传感器的要求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305"/>
      </w:tblGrid>
      <w:tr w14:paraId="38EA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3506" w:type="dxa"/>
            <w:shd w:val="clear" w:color="auto" w:fill="FFC000"/>
            <w:vAlign w:val="center"/>
          </w:tcPr>
          <w:p w14:paraId="33FC98E2">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技术参数名称</w:t>
            </w:r>
          </w:p>
        </w:tc>
        <w:tc>
          <w:tcPr>
            <w:tcW w:w="3305" w:type="dxa"/>
            <w:shd w:val="clear" w:color="auto" w:fill="FFC000"/>
            <w:vAlign w:val="center"/>
          </w:tcPr>
          <w:p w14:paraId="530E08FB">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标准值</w:t>
            </w:r>
          </w:p>
        </w:tc>
      </w:tr>
      <w:tr w14:paraId="67485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506" w:type="dxa"/>
            <w:vAlign w:val="center"/>
          </w:tcPr>
          <w:p w14:paraId="619745CC">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电缆接头温度传感器</w:t>
            </w:r>
          </w:p>
        </w:tc>
        <w:tc>
          <w:tcPr>
            <w:tcW w:w="3305" w:type="dxa"/>
            <w:vAlign w:val="center"/>
          </w:tcPr>
          <w:p w14:paraId="25408892">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sz w:val="24"/>
                <w:szCs w:val="24"/>
              </w:rPr>
            </w:pPr>
            <w:r>
              <w:rPr>
                <w:rFonts w:hint="eastAsia" w:ascii="仿宋" w:hAnsi="仿宋" w:eastAsia="仿宋" w:cs="仿宋"/>
                <w:kern w:val="0"/>
                <w:sz w:val="24"/>
                <w:szCs w:val="24"/>
              </w:rPr>
              <w:t>温度测量范围-40-125℃</w:t>
            </w:r>
            <w:r>
              <w:rPr>
                <w:rFonts w:hint="eastAsia" w:ascii="仿宋" w:hAnsi="仿宋" w:eastAsia="仿宋" w:cs="仿宋"/>
                <w:kern w:val="0"/>
                <w:sz w:val="24"/>
                <w:szCs w:val="24"/>
                <w:lang w:eastAsia="zh-CN"/>
              </w:rPr>
              <w:t>，</w:t>
            </w:r>
            <w:r>
              <w:rPr>
                <w:rFonts w:hint="eastAsia" w:ascii="仿宋" w:hAnsi="仿宋" w:eastAsia="仿宋" w:cs="仿宋"/>
                <w:b w:val="0"/>
                <w:bCs w:val="0"/>
                <w:kern w:val="0"/>
                <w:sz w:val="24"/>
                <w:szCs w:val="24"/>
              </w:rPr>
              <w:t>可组成1-50个点测温阵列</w:t>
            </w:r>
          </w:p>
        </w:tc>
      </w:tr>
    </w:tbl>
    <w:p w14:paraId="5B47DB8B">
      <w:pPr>
        <w:ind w:firstLine="435"/>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5、三维可视化模型要求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305"/>
      </w:tblGrid>
      <w:tr w14:paraId="50C8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3506" w:type="dxa"/>
            <w:shd w:val="clear" w:color="auto" w:fill="FFC000"/>
            <w:vAlign w:val="center"/>
          </w:tcPr>
          <w:p w14:paraId="7884459B">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技术参数名称</w:t>
            </w:r>
          </w:p>
        </w:tc>
        <w:tc>
          <w:tcPr>
            <w:tcW w:w="3305" w:type="dxa"/>
            <w:shd w:val="clear" w:color="auto" w:fill="FFC000"/>
            <w:vAlign w:val="center"/>
          </w:tcPr>
          <w:p w14:paraId="7B107009">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标准值</w:t>
            </w:r>
          </w:p>
        </w:tc>
      </w:tr>
      <w:tr w14:paraId="3C8BA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506" w:type="dxa"/>
            <w:vAlign w:val="center"/>
          </w:tcPr>
          <w:p w14:paraId="7331BAF1">
            <w:pPr>
              <w:pageBreakBefore w:val="0"/>
              <w:widowControl w:val="0"/>
              <w:kinsoku/>
              <w:wordWrap/>
              <w:overflowPunct/>
              <w:topLinePunct w:val="0"/>
              <w:autoSpaceDE/>
              <w:autoSpaceDN/>
              <w:bidi w:val="0"/>
              <w:adjustRightInd/>
              <w:snapToGrid/>
              <w:ind w:firstLine="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电缆接头三维建模</w:t>
            </w:r>
          </w:p>
        </w:tc>
        <w:tc>
          <w:tcPr>
            <w:tcW w:w="3305" w:type="dxa"/>
            <w:vAlign w:val="center"/>
          </w:tcPr>
          <w:p w14:paraId="67136EB4">
            <w:pPr>
              <w:pageBreakBefore w:val="0"/>
              <w:widowControl w:val="0"/>
              <w:kinsoku/>
              <w:wordWrap/>
              <w:overflowPunct/>
              <w:topLinePunct w:val="0"/>
              <w:autoSpaceDE/>
              <w:autoSpaceDN/>
              <w:bidi w:val="0"/>
              <w:adjustRightInd/>
              <w:snapToGrid/>
              <w:ind w:firstLine="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电缆接头三维建模外形尺寸精度应控制在2cm范围以内</w:t>
            </w:r>
          </w:p>
        </w:tc>
      </w:tr>
    </w:tbl>
    <w:p w14:paraId="2F93B2CF">
      <w:pPr>
        <w:ind w:firstLine="435"/>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6、供电模块供电及通信方式要求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305"/>
      </w:tblGrid>
      <w:tr w14:paraId="6DB7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blHeader/>
          <w:jc w:val="center"/>
        </w:trPr>
        <w:tc>
          <w:tcPr>
            <w:tcW w:w="3506" w:type="dxa"/>
            <w:shd w:val="clear" w:color="auto" w:fill="FFC000"/>
            <w:vAlign w:val="center"/>
          </w:tcPr>
          <w:p w14:paraId="4B27D312">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技术参数名称</w:t>
            </w:r>
          </w:p>
        </w:tc>
        <w:tc>
          <w:tcPr>
            <w:tcW w:w="3305" w:type="dxa"/>
            <w:shd w:val="clear" w:color="auto" w:fill="FFC000"/>
            <w:vAlign w:val="center"/>
          </w:tcPr>
          <w:p w14:paraId="523A0109">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标准值</w:t>
            </w:r>
          </w:p>
        </w:tc>
      </w:tr>
      <w:tr w14:paraId="6455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506" w:type="dxa"/>
            <w:vAlign w:val="center"/>
          </w:tcPr>
          <w:p w14:paraId="5FF94FAF">
            <w:pPr>
              <w:pageBreakBefore w:val="0"/>
              <w:widowControl w:val="0"/>
              <w:kinsoku/>
              <w:wordWrap/>
              <w:overflowPunct/>
              <w:topLinePunct w:val="0"/>
              <w:autoSpaceDE/>
              <w:autoSpaceDN/>
              <w:bidi w:val="0"/>
              <w:adjustRightInd/>
              <w:snapToGrid/>
              <w:ind w:firstLine="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供电模块</w:t>
            </w:r>
          </w:p>
        </w:tc>
        <w:tc>
          <w:tcPr>
            <w:tcW w:w="3305" w:type="dxa"/>
            <w:vAlign w:val="center"/>
          </w:tcPr>
          <w:p w14:paraId="56D99669">
            <w:pPr>
              <w:pageBreakBefore w:val="0"/>
              <w:widowControl w:val="0"/>
              <w:kinsoku/>
              <w:wordWrap/>
              <w:overflowPunct/>
              <w:topLinePunct w:val="0"/>
              <w:autoSpaceDE/>
              <w:autoSpaceDN/>
              <w:bidi w:val="0"/>
              <w:adjustRightInd/>
              <w:snapToGrid/>
              <w:ind w:firstLine="0"/>
              <w:jc w:val="both"/>
              <w:textAlignment w:val="auto"/>
              <w:rPr>
                <w:rFonts w:hint="default" w:ascii="仿宋" w:hAnsi="仿宋" w:cs="仿宋" w:eastAsiaTheme="minorEastAsia"/>
                <w:sz w:val="24"/>
                <w:szCs w:val="24"/>
                <w:lang w:val="en-US" w:eastAsia="zh-CN"/>
              </w:rPr>
            </w:pPr>
            <w:r>
              <w:rPr>
                <w:rFonts w:hint="eastAsia"/>
              </w:rPr>
              <w:t>设备需满足</w:t>
            </w:r>
            <w:r>
              <w:rPr>
                <w:rFonts w:hint="eastAsia" w:ascii="宋体" w:hAnsi="宋体" w:cs="宋体"/>
                <w:kern w:val="0"/>
                <w:szCs w:val="21"/>
              </w:rPr>
              <w:t>交流220V电源方式启动</w:t>
            </w:r>
            <w:r>
              <w:rPr>
                <w:rFonts w:hint="eastAsia" w:ascii="宋体" w:hAnsi="宋体" w:cs="宋体"/>
                <w:kern w:val="0"/>
                <w:szCs w:val="21"/>
                <w:lang w:eastAsia="zh-CN"/>
              </w:rPr>
              <w:t>，</w:t>
            </w:r>
            <w:r>
              <w:rPr>
                <w:rFonts w:hint="eastAsia" w:ascii="宋体" w:hAnsi="宋体" w:cs="宋体"/>
                <w:kern w:val="0"/>
                <w:szCs w:val="21"/>
                <w:lang w:val="en-US" w:eastAsia="zh-CN"/>
              </w:rPr>
              <w:t>且具备短时电力储备功能</w:t>
            </w:r>
          </w:p>
        </w:tc>
      </w:tr>
      <w:tr w14:paraId="344F4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506" w:type="dxa"/>
            <w:vAlign w:val="center"/>
          </w:tcPr>
          <w:p w14:paraId="2F249E7F">
            <w:pPr>
              <w:pageBreakBefore w:val="0"/>
              <w:widowControl w:val="0"/>
              <w:kinsoku/>
              <w:wordWrap/>
              <w:overflowPunct/>
              <w:topLinePunct w:val="0"/>
              <w:autoSpaceDE/>
              <w:autoSpaceDN/>
              <w:bidi w:val="0"/>
              <w:adjustRightInd/>
              <w:snapToGrid/>
              <w:ind w:firstLine="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通信方式</w:t>
            </w:r>
          </w:p>
        </w:tc>
        <w:tc>
          <w:tcPr>
            <w:tcW w:w="3305" w:type="dxa"/>
            <w:vAlign w:val="center"/>
          </w:tcPr>
          <w:p w14:paraId="1BB2A32F">
            <w:pPr>
              <w:pageBreakBefore w:val="0"/>
              <w:widowControl w:val="0"/>
              <w:kinsoku/>
              <w:wordWrap/>
              <w:overflowPunct/>
              <w:topLinePunct w:val="0"/>
              <w:autoSpaceDE/>
              <w:autoSpaceDN/>
              <w:bidi w:val="0"/>
              <w:adjustRightInd/>
              <w:snapToGrid/>
              <w:ind w:firstLine="0"/>
              <w:jc w:val="both"/>
              <w:textAlignment w:val="auto"/>
              <w:rPr>
                <w:rFonts w:hint="default" w:ascii="仿宋" w:hAnsi="仿宋" w:cs="仿宋" w:eastAsiaTheme="minorEastAsia"/>
                <w:sz w:val="24"/>
                <w:szCs w:val="24"/>
                <w:lang w:val="en-US" w:eastAsia="zh-CN"/>
              </w:rPr>
            </w:pPr>
            <w:r>
              <w:rPr>
                <w:rFonts w:hint="eastAsia" w:ascii="宋体" w:hAnsi="宋体" w:cs="宋体"/>
                <w:kern w:val="0"/>
                <w:szCs w:val="21"/>
              </w:rPr>
              <w:t>移动运行商无线通信功能</w:t>
            </w:r>
            <w:r>
              <w:rPr>
                <w:rFonts w:hint="eastAsia" w:ascii="宋体" w:hAnsi="宋体" w:cs="宋体"/>
                <w:kern w:val="0"/>
                <w:szCs w:val="21"/>
                <w:lang w:eastAsia="zh-CN"/>
              </w:rPr>
              <w:t>，</w:t>
            </w:r>
            <w:r>
              <w:rPr>
                <w:rFonts w:hint="eastAsia" w:ascii="宋体" w:hAnsi="宋体" w:cs="宋体"/>
                <w:kern w:val="0"/>
                <w:szCs w:val="21"/>
                <w:lang w:val="en-US" w:eastAsia="zh-CN"/>
              </w:rPr>
              <w:t>具备物联网卡片读取功能</w:t>
            </w:r>
          </w:p>
        </w:tc>
      </w:tr>
    </w:tbl>
    <w:p w14:paraId="3480ADA1">
      <w:pPr>
        <w:ind w:firstLine="435"/>
        <w:rPr>
          <w:rFonts w:hint="eastAsia" w:ascii="仿宋" w:hAnsi="仿宋" w:eastAsia="仿宋" w:cs="仿宋"/>
          <w:b/>
          <w:bCs/>
          <w:sz w:val="28"/>
          <w:szCs w:val="28"/>
          <w:lang w:val="en-US" w:eastAsia="zh-CN"/>
        </w:rPr>
      </w:pPr>
    </w:p>
    <w:p w14:paraId="3D618F43">
      <w:pPr>
        <w:ind w:firstLine="435"/>
        <w:rPr>
          <w:rFonts w:hint="eastAsia" w:ascii="仿宋" w:hAnsi="仿宋" w:eastAsia="仿宋" w:cs="仿宋"/>
          <w:b/>
          <w:bCs/>
          <w:sz w:val="28"/>
          <w:szCs w:val="28"/>
          <w:lang w:val="en-US" w:eastAsia="zh-CN"/>
        </w:rPr>
      </w:pPr>
    </w:p>
    <w:p w14:paraId="5101F7AA">
      <w:pPr>
        <w:ind w:firstLine="435"/>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7、电路板硬件及设计需求</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305"/>
      </w:tblGrid>
      <w:tr w14:paraId="0822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3506" w:type="dxa"/>
            <w:shd w:val="clear" w:color="auto" w:fill="FFC000"/>
            <w:vAlign w:val="center"/>
          </w:tcPr>
          <w:p w14:paraId="2F1A6594">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技术参数名称</w:t>
            </w:r>
          </w:p>
        </w:tc>
        <w:tc>
          <w:tcPr>
            <w:tcW w:w="3305" w:type="dxa"/>
            <w:shd w:val="clear" w:color="auto" w:fill="FFC000"/>
            <w:vAlign w:val="center"/>
          </w:tcPr>
          <w:p w14:paraId="555705D5">
            <w:pPr>
              <w:pageBreakBefore w:val="0"/>
              <w:widowControl w:val="0"/>
              <w:kinsoku/>
              <w:wordWrap/>
              <w:overflowPunct/>
              <w:topLinePunct w:val="0"/>
              <w:autoSpaceDE/>
              <w:autoSpaceDN/>
              <w:bidi w:val="0"/>
              <w:adjustRightInd/>
              <w:snapToGrid/>
              <w:ind w:firstLine="0"/>
              <w:jc w:val="center"/>
              <w:textAlignment w:val="auto"/>
              <w:rPr>
                <w:rFonts w:hint="eastAsia" w:ascii="仿宋" w:hAnsi="仿宋" w:eastAsia="仿宋" w:cs="仿宋"/>
                <w:bCs/>
                <w:sz w:val="28"/>
                <w:szCs w:val="28"/>
              </w:rPr>
            </w:pPr>
            <w:r>
              <w:rPr>
                <w:rFonts w:hint="eastAsia" w:ascii="仿宋" w:hAnsi="仿宋" w:eastAsia="仿宋" w:cs="仿宋"/>
                <w:bCs/>
                <w:sz w:val="28"/>
                <w:szCs w:val="28"/>
              </w:rPr>
              <w:t>标准值</w:t>
            </w:r>
          </w:p>
        </w:tc>
      </w:tr>
      <w:tr w14:paraId="663C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506" w:type="dxa"/>
            <w:vAlign w:val="center"/>
          </w:tcPr>
          <w:p w14:paraId="4758DB67">
            <w:pPr>
              <w:pageBreakBefore w:val="0"/>
              <w:widowControl w:val="0"/>
              <w:kinsoku/>
              <w:wordWrap/>
              <w:overflowPunct/>
              <w:topLinePunct w:val="0"/>
              <w:autoSpaceDE/>
              <w:autoSpaceDN/>
              <w:bidi w:val="0"/>
              <w:adjustRightInd/>
              <w:snapToGrid/>
              <w:ind w:firstLine="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电路板硬件功能模块</w:t>
            </w:r>
          </w:p>
        </w:tc>
        <w:tc>
          <w:tcPr>
            <w:tcW w:w="3305" w:type="dxa"/>
            <w:vAlign w:val="center"/>
          </w:tcPr>
          <w:p w14:paraId="0D86A685">
            <w:pPr>
              <w:ind w:firstLine="420" w:firstLineChars="200"/>
              <w:rPr>
                <w:rFonts w:hint="eastAsia"/>
              </w:rPr>
            </w:pPr>
            <w:r>
              <w:rPr>
                <w:rFonts w:hint="eastAsia"/>
              </w:rPr>
              <w:t>要求配合利用高压电缆护层环流在线监测装置，生产一个与之配套的可组合型的测温传感器阵列用来全面监测长端封铅，短端封铅，长端接地羊角，短端接地羊角，长端断口，短端断口，线芯，电缆本体等处的全面温度情况，并以3D的形式全面直观的展示出来</w:t>
            </w:r>
          </w:p>
          <w:p w14:paraId="7C174A89">
            <w:pPr>
              <w:pageBreakBefore w:val="0"/>
              <w:widowControl w:val="0"/>
              <w:kinsoku/>
              <w:wordWrap/>
              <w:overflowPunct/>
              <w:topLinePunct w:val="0"/>
              <w:autoSpaceDE/>
              <w:autoSpaceDN/>
              <w:bidi w:val="0"/>
              <w:adjustRightInd/>
              <w:snapToGrid/>
              <w:ind w:firstLine="0"/>
              <w:jc w:val="both"/>
              <w:textAlignment w:val="auto"/>
              <w:rPr>
                <w:rFonts w:hint="default" w:ascii="仿宋" w:hAnsi="仿宋" w:cs="仿宋" w:eastAsiaTheme="minorEastAsia"/>
                <w:sz w:val="24"/>
                <w:szCs w:val="24"/>
                <w:lang w:val="en-US" w:eastAsia="zh-CN"/>
              </w:rPr>
            </w:pPr>
          </w:p>
        </w:tc>
      </w:tr>
    </w:tbl>
    <w:p w14:paraId="22DB5189">
      <w:pPr>
        <w:ind w:firstLine="435"/>
        <w:rPr>
          <w:rFonts w:hint="default"/>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E094B">
    <w:pPr>
      <w:pStyle w:val="5"/>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A803F"/>
    <w:multiLevelType w:val="singleLevel"/>
    <w:tmpl w:val="8AFA803F"/>
    <w:lvl w:ilvl="0" w:tentative="0">
      <w:start w:val="1"/>
      <w:numFmt w:val="decimal"/>
      <w:lvlText w:val="%1."/>
      <w:lvlJc w:val="left"/>
      <w:pPr>
        <w:ind w:left="425" w:hanging="425"/>
      </w:pPr>
      <w:rPr>
        <w:rFonts w:hint="default"/>
      </w:rPr>
    </w:lvl>
  </w:abstractNum>
  <w:abstractNum w:abstractNumId="1">
    <w:nsid w:val="4E803A44"/>
    <w:multiLevelType w:val="multilevel"/>
    <w:tmpl w:val="4E803A44"/>
    <w:lvl w:ilvl="0" w:tentative="0">
      <w:start w:val="1"/>
      <w:numFmt w:val="decimalEnclosedParen"/>
      <w:lvlText w:val="%1."/>
      <w:lvlJc w:val="left"/>
      <w:pPr>
        <w:tabs>
          <w:tab w:val="left" w:pos="839"/>
        </w:tabs>
        <w:ind w:left="839" w:hanging="360"/>
      </w:pPr>
      <w:rPr>
        <w:rFonts w:hint="default" w:ascii="宋体" w:hAnsi="宋体" w:eastAsia="宋体"/>
        <w:sz w:val="21"/>
        <w:szCs w:val="21"/>
      </w:rPr>
    </w:lvl>
    <w:lvl w:ilvl="1" w:tentative="0">
      <w:start w:val="1"/>
      <w:numFmt w:val="lowerLetter"/>
      <w:lvlText w:val="%2)"/>
      <w:lvlJc w:val="left"/>
      <w:pPr>
        <w:tabs>
          <w:tab w:val="left" w:pos="1319"/>
        </w:tabs>
        <w:ind w:left="1319" w:hanging="420"/>
      </w:pPr>
    </w:lvl>
    <w:lvl w:ilvl="2" w:tentative="0">
      <w:start w:val="1"/>
      <w:numFmt w:val="lowerRoman"/>
      <w:lvlText w:val="%3."/>
      <w:lvlJc w:val="right"/>
      <w:pPr>
        <w:tabs>
          <w:tab w:val="left" w:pos="1739"/>
        </w:tabs>
        <w:ind w:left="1739" w:hanging="420"/>
      </w:pPr>
    </w:lvl>
    <w:lvl w:ilvl="3" w:tentative="0">
      <w:start w:val="1"/>
      <w:numFmt w:val="decimal"/>
      <w:lvlText w:val="%4."/>
      <w:lvlJc w:val="left"/>
      <w:pPr>
        <w:tabs>
          <w:tab w:val="left" w:pos="2159"/>
        </w:tabs>
        <w:ind w:left="2159" w:hanging="420"/>
      </w:pPr>
    </w:lvl>
    <w:lvl w:ilvl="4" w:tentative="0">
      <w:start w:val="1"/>
      <w:numFmt w:val="lowerLetter"/>
      <w:lvlText w:val="%5)"/>
      <w:lvlJc w:val="left"/>
      <w:pPr>
        <w:tabs>
          <w:tab w:val="left" w:pos="2579"/>
        </w:tabs>
        <w:ind w:left="2579" w:hanging="420"/>
      </w:pPr>
    </w:lvl>
    <w:lvl w:ilvl="5" w:tentative="0">
      <w:start w:val="1"/>
      <w:numFmt w:val="lowerRoman"/>
      <w:lvlText w:val="%6."/>
      <w:lvlJc w:val="right"/>
      <w:pPr>
        <w:tabs>
          <w:tab w:val="left" w:pos="2999"/>
        </w:tabs>
        <w:ind w:left="2999" w:hanging="420"/>
      </w:pPr>
    </w:lvl>
    <w:lvl w:ilvl="6" w:tentative="0">
      <w:start w:val="1"/>
      <w:numFmt w:val="decimal"/>
      <w:lvlText w:val="%7."/>
      <w:lvlJc w:val="left"/>
      <w:pPr>
        <w:tabs>
          <w:tab w:val="left" w:pos="3419"/>
        </w:tabs>
        <w:ind w:left="3419" w:hanging="420"/>
      </w:pPr>
    </w:lvl>
    <w:lvl w:ilvl="7" w:tentative="0">
      <w:start w:val="1"/>
      <w:numFmt w:val="lowerLetter"/>
      <w:lvlText w:val="%8)"/>
      <w:lvlJc w:val="left"/>
      <w:pPr>
        <w:tabs>
          <w:tab w:val="left" w:pos="3839"/>
        </w:tabs>
        <w:ind w:left="3839" w:hanging="420"/>
      </w:pPr>
    </w:lvl>
    <w:lvl w:ilvl="8" w:tentative="0">
      <w:start w:val="1"/>
      <w:numFmt w:val="lowerRoman"/>
      <w:lvlText w:val="%9."/>
      <w:lvlJc w:val="right"/>
      <w:pPr>
        <w:tabs>
          <w:tab w:val="left" w:pos="4259"/>
        </w:tabs>
        <w:ind w:left="4259"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hmMDg5MDQ3ZWUxMTg2ZjM0NDAxMWVlNmJiNDdlZDUifQ=="/>
  </w:docVars>
  <w:rsids>
    <w:rsidRoot w:val="006D490A"/>
    <w:rsid w:val="00016B3A"/>
    <w:rsid w:val="0003271D"/>
    <w:rsid w:val="00041ECF"/>
    <w:rsid w:val="00060DB5"/>
    <w:rsid w:val="00061826"/>
    <w:rsid w:val="00065071"/>
    <w:rsid w:val="00074F36"/>
    <w:rsid w:val="00076985"/>
    <w:rsid w:val="000945CC"/>
    <w:rsid w:val="000B7E5C"/>
    <w:rsid w:val="000D7916"/>
    <w:rsid w:val="000E267A"/>
    <w:rsid w:val="000F416F"/>
    <w:rsid w:val="000F6144"/>
    <w:rsid w:val="00105C7B"/>
    <w:rsid w:val="00116C03"/>
    <w:rsid w:val="00121575"/>
    <w:rsid w:val="001357B5"/>
    <w:rsid w:val="00144565"/>
    <w:rsid w:val="001500DE"/>
    <w:rsid w:val="00171888"/>
    <w:rsid w:val="00192623"/>
    <w:rsid w:val="00194BE6"/>
    <w:rsid w:val="001950FB"/>
    <w:rsid w:val="001964E3"/>
    <w:rsid w:val="001C1920"/>
    <w:rsid w:val="001C3CA6"/>
    <w:rsid w:val="001E4D96"/>
    <w:rsid w:val="001F76A5"/>
    <w:rsid w:val="002211AD"/>
    <w:rsid w:val="002246FB"/>
    <w:rsid w:val="00237104"/>
    <w:rsid w:val="00250E04"/>
    <w:rsid w:val="002624EB"/>
    <w:rsid w:val="00274923"/>
    <w:rsid w:val="0027716D"/>
    <w:rsid w:val="00277961"/>
    <w:rsid w:val="002D0E23"/>
    <w:rsid w:val="0031246E"/>
    <w:rsid w:val="003221A9"/>
    <w:rsid w:val="00325E34"/>
    <w:rsid w:val="00347747"/>
    <w:rsid w:val="0037380A"/>
    <w:rsid w:val="00375826"/>
    <w:rsid w:val="003821A1"/>
    <w:rsid w:val="003A5BF5"/>
    <w:rsid w:val="003B0B35"/>
    <w:rsid w:val="003E50A1"/>
    <w:rsid w:val="003F4630"/>
    <w:rsid w:val="0044641A"/>
    <w:rsid w:val="00451838"/>
    <w:rsid w:val="00462E15"/>
    <w:rsid w:val="00470F9A"/>
    <w:rsid w:val="004715EB"/>
    <w:rsid w:val="00481E72"/>
    <w:rsid w:val="004F5A1F"/>
    <w:rsid w:val="0054479D"/>
    <w:rsid w:val="00551DD1"/>
    <w:rsid w:val="00580B46"/>
    <w:rsid w:val="00597E87"/>
    <w:rsid w:val="005B7F1A"/>
    <w:rsid w:val="005C6967"/>
    <w:rsid w:val="005C7309"/>
    <w:rsid w:val="005E031C"/>
    <w:rsid w:val="005F2781"/>
    <w:rsid w:val="005F41C7"/>
    <w:rsid w:val="00613F5C"/>
    <w:rsid w:val="0062480B"/>
    <w:rsid w:val="00624DEE"/>
    <w:rsid w:val="00636B3B"/>
    <w:rsid w:val="00652FAB"/>
    <w:rsid w:val="00677811"/>
    <w:rsid w:val="00680AE4"/>
    <w:rsid w:val="00683708"/>
    <w:rsid w:val="00685ABC"/>
    <w:rsid w:val="006A35D5"/>
    <w:rsid w:val="006C78C5"/>
    <w:rsid w:val="006D490A"/>
    <w:rsid w:val="006F0F58"/>
    <w:rsid w:val="00700489"/>
    <w:rsid w:val="00747D1F"/>
    <w:rsid w:val="0075292C"/>
    <w:rsid w:val="007658CE"/>
    <w:rsid w:val="007D611E"/>
    <w:rsid w:val="007F1487"/>
    <w:rsid w:val="00810C7E"/>
    <w:rsid w:val="0081465B"/>
    <w:rsid w:val="0081719F"/>
    <w:rsid w:val="008207CB"/>
    <w:rsid w:val="00845A82"/>
    <w:rsid w:val="00860795"/>
    <w:rsid w:val="008745CD"/>
    <w:rsid w:val="0088396C"/>
    <w:rsid w:val="00890D07"/>
    <w:rsid w:val="00890FF3"/>
    <w:rsid w:val="008A1B0A"/>
    <w:rsid w:val="008B79F5"/>
    <w:rsid w:val="00901DE4"/>
    <w:rsid w:val="00942CD7"/>
    <w:rsid w:val="00960BA9"/>
    <w:rsid w:val="009E3E35"/>
    <w:rsid w:val="009E5F3D"/>
    <w:rsid w:val="009E7973"/>
    <w:rsid w:val="009F5926"/>
    <w:rsid w:val="00A15232"/>
    <w:rsid w:val="00A16EF0"/>
    <w:rsid w:val="00A41285"/>
    <w:rsid w:val="00A45E72"/>
    <w:rsid w:val="00A615FA"/>
    <w:rsid w:val="00A83F9D"/>
    <w:rsid w:val="00AA072E"/>
    <w:rsid w:val="00AB241D"/>
    <w:rsid w:val="00AB6871"/>
    <w:rsid w:val="00AD09C1"/>
    <w:rsid w:val="00AD1EE9"/>
    <w:rsid w:val="00AD3564"/>
    <w:rsid w:val="00AD3673"/>
    <w:rsid w:val="00AE6F5D"/>
    <w:rsid w:val="00AF3A4C"/>
    <w:rsid w:val="00B0530F"/>
    <w:rsid w:val="00B10D9E"/>
    <w:rsid w:val="00B21158"/>
    <w:rsid w:val="00B363D7"/>
    <w:rsid w:val="00B438BE"/>
    <w:rsid w:val="00B53C54"/>
    <w:rsid w:val="00B74189"/>
    <w:rsid w:val="00B94937"/>
    <w:rsid w:val="00BA22B8"/>
    <w:rsid w:val="00BB1C67"/>
    <w:rsid w:val="00BF2DCA"/>
    <w:rsid w:val="00C06177"/>
    <w:rsid w:val="00C27F09"/>
    <w:rsid w:val="00C3534C"/>
    <w:rsid w:val="00C43FC7"/>
    <w:rsid w:val="00C56F89"/>
    <w:rsid w:val="00C63207"/>
    <w:rsid w:val="00C66156"/>
    <w:rsid w:val="00C83CCE"/>
    <w:rsid w:val="00C868DE"/>
    <w:rsid w:val="00C93F8C"/>
    <w:rsid w:val="00C94831"/>
    <w:rsid w:val="00CA3FA8"/>
    <w:rsid w:val="00CC6150"/>
    <w:rsid w:val="00CD48FE"/>
    <w:rsid w:val="00D34B63"/>
    <w:rsid w:val="00D41118"/>
    <w:rsid w:val="00D537EB"/>
    <w:rsid w:val="00D55EA5"/>
    <w:rsid w:val="00D76355"/>
    <w:rsid w:val="00D7695E"/>
    <w:rsid w:val="00D81393"/>
    <w:rsid w:val="00DA32FD"/>
    <w:rsid w:val="00DB19A1"/>
    <w:rsid w:val="00DC2BBF"/>
    <w:rsid w:val="00DC5B30"/>
    <w:rsid w:val="00DC7C84"/>
    <w:rsid w:val="00DE765E"/>
    <w:rsid w:val="00DF5AB3"/>
    <w:rsid w:val="00EA30A6"/>
    <w:rsid w:val="00EA33C2"/>
    <w:rsid w:val="00EA637B"/>
    <w:rsid w:val="00EC53DB"/>
    <w:rsid w:val="00F17DDC"/>
    <w:rsid w:val="00F36D25"/>
    <w:rsid w:val="00F748D2"/>
    <w:rsid w:val="00FA3223"/>
    <w:rsid w:val="00FD2D0F"/>
    <w:rsid w:val="00FE26BD"/>
    <w:rsid w:val="00FE77A1"/>
    <w:rsid w:val="00FF1FA2"/>
    <w:rsid w:val="024C2668"/>
    <w:rsid w:val="06B40452"/>
    <w:rsid w:val="077F11DC"/>
    <w:rsid w:val="08CC6141"/>
    <w:rsid w:val="08F2087D"/>
    <w:rsid w:val="0C5C176E"/>
    <w:rsid w:val="0CC9260A"/>
    <w:rsid w:val="0D8A796A"/>
    <w:rsid w:val="0EBC0F34"/>
    <w:rsid w:val="0FD3737F"/>
    <w:rsid w:val="105557CC"/>
    <w:rsid w:val="15335545"/>
    <w:rsid w:val="166D35B0"/>
    <w:rsid w:val="199C2A95"/>
    <w:rsid w:val="19BC485C"/>
    <w:rsid w:val="24E76989"/>
    <w:rsid w:val="254D49EE"/>
    <w:rsid w:val="277F1B9F"/>
    <w:rsid w:val="2E2F5A2B"/>
    <w:rsid w:val="312928CF"/>
    <w:rsid w:val="379C3DFE"/>
    <w:rsid w:val="3D8C2D9E"/>
    <w:rsid w:val="3DCA1EBD"/>
    <w:rsid w:val="3EC56A5D"/>
    <w:rsid w:val="454B06A7"/>
    <w:rsid w:val="46264BC8"/>
    <w:rsid w:val="47B0720F"/>
    <w:rsid w:val="4D8415CF"/>
    <w:rsid w:val="50E4030F"/>
    <w:rsid w:val="575C25F4"/>
    <w:rsid w:val="5A097BBE"/>
    <w:rsid w:val="5B290ABB"/>
    <w:rsid w:val="620C1D4D"/>
    <w:rsid w:val="68E97035"/>
    <w:rsid w:val="6BA16776"/>
    <w:rsid w:val="722B76DD"/>
    <w:rsid w:val="76524CDD"/>
    <w:rsid w:val="7878163B"/>
    <w:rsid w:val="7A4230FA"/>
    <w:rsid w:val="7DDC3A9E"/>
    <w:rsid w:val="7EC941ED"/>
    <w:rsid w:val="7F2D5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批注框文本 字符"/>
    <w:basedOn w:val="8"/>
    <w:link w:val="3"/>
    <w:semiHidden/>
    <w:qFormat/>
    <w:uiPriority w:val="99"/>
    <w:rPr>
      <w:sz w:val="18"/>
      <w:szCs w:val="18"/>
    </w:rPr>
  </w:style>
  <w:style w:type="paragraph" w:customStyle="1" w:styleId="12">
    <w:name w:val="列出段落1"/>
    <w:basedOn w:val="1"/>
    <w:qFormat/>
    <w:uiPriority w:val="99"/>
    <w:pPr>
      <w:ind w:firstLine="420" w:firstLineChars="200"/>
    </w:pPr>
    <w:rPr>
      <w:rFonts w:ascii="Calibri" w:hAnsi="Calibri" w:eastAsia="宋体" w:cs="Times New Roman"/>
    </w:rPr>
  </w:style>
  <w:style w:type="paragraph"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10E9B-3A7A-432D-9821-F73DF3730D67}">
  <ds:schemaRefs/>
</ds:datastoreItem>
</file>

<file path=docProps/app.xml><?xml version="1.0" encoding="utf-8"?>
<Properties xmlns="http://schemas.openxmlformats.org/officeDocument/2006/extended-properties" xmlns:vt="http://schemas.openxmlformats.org/officeDocument/2006/docPropsVTypes">
  <Template>Normal.dotm</Template>
  <Company>csg</Company>
  <Pages>5</Pages>
  <Words>1533</Words>
  <Characters>1668</Characters>
  <Lines>23</Lines>
  <Paragraphs>6</Paragraphs>
  <TotalTime>0</TotalTime>
  <ScaleCrop>false</ScaleCrop>
  <LinksUpToDate>false</LinksUpToDate>
  <CharactersWithSpaces>1670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2019-10-10T06:47:00Z</dcterms:created>
  <dc:creator>成健</dc:creator>
  <cp:lastModifiedBy>困不归</cp:lastModifiedBy>
  <cp:lastPrinted>2018-10-11T04:28:00Z</cp:lastPrinted>
  <dcterms:modified xsi:type="dcterms:W3CDTF">2024-09-18T14:58:45Z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431A932F68924AEEAD8FEAFB0C144B0A</vt:lpwstr>
  </property>
</Properties>
</file>