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widowControl/>
        <w:numPr>
          <w:ilvl w:val="0"/>
          <w:numId w:val="0"/>
        </w:numPr>
        <w:rPr>
          <w:rFonts w:hint="eastAsia" w:asciiTheme="minorEastAsia" w:hAnsiTheme="minorEastAsia" w:eastAsiaTheme="minorEastAsia" w:cstheme="minorEastAsia"/>
          <w:b/>
          <w:bCs/>
          <w:color w:val="000000"/>
          <w:sz w:val="28"/>
          <w:szCs w:val="28"/>
        </w:rPr>
      </w:pPr>
      <w:r>
        <w:rPr>
          <w:rFonts w:hint="eastAsia" w:asciiTheme="minorEastAsia" w:hAnsiTheme="minorEastAsia" w:eastAsiaTheme="minorEastAsia" w:cstheme="minorEastAsia"/>
          <w:b/>
          <w:bCs/>
          <w:color w:val="000000"/>
          <w:sz w:val="28"/>
          <w:szCs w:val="28"/>
        </w:rPr>
        <w:t>报价文件</w:t>
      </w:r>
    </w:p>
    <w:tbl>
      <w:tblPr>
        <w:tblStyle w:val="5"/>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9"/>
        <w:gridCol w:w="3987"/>
        <w:gridCol w:w="1915"/>
        <w:gridCol w:w="1819"/>
        <w:gridCol w:w="1901"/>
        <w:gridCol w:w="2275"/>
        <w:gridCol w:w="14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4" w:hRule="atLeast"/>
        </w:trPr>
        <w:tc>
          <w:tcPr>
            <w:tcW w:w="5000" w:type="pct"/>
            <w:gridSpan w:val="7"/>
            <w:tcBorders>
              <w:tl2br w:val="nil"/>
              <w:tr2bl w:val="nil"/>
            </w:tcBorders>
            <w:noWrap/>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pPr>
            <w: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t>2024年信通公司基于安运一体化体系的运行安全监测预警关键技术研究及应用（云盾）技术鉴定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4" w:hRule="atLeast"/>
        </w:trPr>
        <w:tc>
          <w:tcPr>
            <w:tcW w:w="275" w:type="pct"/>
            <w:tcBorders>
              <w:tl2br w:val="nil"/>
              <w:tr2bl w:val="nil"/>
            </w:tcBorders>
            <w:noWrap/>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b/>
                <w:bCs/>
                <w:i w:val="0"/>
                <w:iCs w:val="0"/>
                <w:color w:val="000000"/>
                <w:sz w:val="28"/>
                <w:szCs w:val="28"/>
                <w:highlight w:val="none"/>
                <w:u w:val="none"/>
              </w:rPr>
            </w:pPr>
            <w: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t>序号</w:t>
            </w:r>
          </w:p>
        </w:tc>
        <w:tc>
          <w:tcPr>
            <w:tcW w:w="1408" w:type="pct"/>
            <w:tcBorders>
              <w:tl2br w:val="nil"/>
              <w:tr2bl w:val="nil"/>
            </w:tcBorders>
            <w:noWrap w:val="0"/>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pPr>
            <w: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t>采购项目</w:t>
            </w:r>
          </w:p>
        </w:tc>
        <w:tc>
          <w:tcPr>
            <w:tcW w:w="676" w:type="pct"/>
            <w:tcBorders>
              <w:tl2br w:val="nil"/>
              <w:tr2bl w:val="nil"/>
            </w:tcBorders>
            <w:noWrap w:val="0"/>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b/>
                <w:bCs/>
                <w:i w:val="0"/>
                <w:iCs w:val="0"/>
                <w:color w:val="000000"/>
                <w:sz w:val="28"/>
                <w:szCs w:val="28"/>
                <w:highlight w:val="none"/>
                <w:u w:val="none"/>
              </w:rPr>
            </w:pPr>
            <w: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t>采购工作内容</w:t>
            </w:r>
          </w:p>
        </w:tc>
        <w:tc>
          <w:tcPr>
            <w:tcW w:w="642" w:type="pct"/>
            <w:tcBorders>
              <w:tl2br w:val="nil"/>
              <w:tr2bl w:val="nil"/>
            </w:tcBorders>
            <w:noWrap w:val="0"/>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b/>
                <w:bCs/>
                <w:i w:val="0"/>
                <w:iCs w:val="0"/>
                <w:color w:val="000000"/>
                <w:sz w:val="28"/>
                <w:szCs w:val="28"/>
                <w:highlight w:val="none"/>
                <w:u w:val="none"/>
              </w:rPr>
            </w:pPr>
            <w: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t>采购数量（次）</w:t>
            </w:r>
          </w:p>
        </w:tc>
        <w:tc>
          <w:tcPr>
            <w:tcW w:w="671" w:type="pct"/>
            <w:tcBorders>
              <w:tl2br w:val="nil"/>
              <w:tr2bl w:val="nil"/>
            </w:tcBorders>
            <w:noWrap w:val="0"/>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pPr>
            <w: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t>最高限价</w:t>
            </w:r>
          </w:p>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b/>
                <w:bCs/>
                <w:i w:val="0"/>
                <w:iCs w:val="0"/>
                <w:color w:val="000000"/>
                <w:sz w:val="28"/>
                <w:szCs w:val="28"/>
                <w:highlight w:val="none"/>
                <w:u w:val="none"/>
              </w:rPr>
            </w:pPr>
            <w: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t>（元）</w:t>
            </w:r>
          </w:p>
        </w:tc>
        <w:tc>
          <w:tcPr>
            <w:tcW w:w="803" w:type="pct"/>
            <w:tcBorders>
              <w:tl2br w:val="nil"/>
              <w:tr2bl w:val="nil"/>
            </w:tcBorders>
            <w:noWrap w:val="0"/>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b/>
                <w:bCs/>
                <w:i w:val="0"/>
                <w:iCs w:val="0"/>
                <w:color w:val="000000"/>
                <w:sz w:val="28"/>
                <w:szCs w:val="28"/>
                <w:highlight w:val="none"/>
                <w:u w:val="none"/>
              </w:rPr>
            </w:pPr>
            <w: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t>报价小计</w:t>
            </w:r>
            <w: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br w:type="textWrapping"/>
            </w:r>
            <w: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t>（元）</w:t>
            </w:r>
          </w:p>
        </w:tc>
        <w:tc>
          <w:tcPr>
            <w:tcW w:w="522" w:type="pct"/>
            <w:tcBorders>
              <w:tl2br w:val="nil"/>
              <w:tr2bl w:val="nil"/>
            </w:tcBorders>
            <w:noWrap/>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b/>
                <w:bCs/>
                <w:i w:val="0"/>
                <w:iCs w:val="0"/>
                <w:color w:val="000000"/>
                <w:sz w:val="28"/>
                <w:szCs w:val="28"/>
                <w:highlight w:val="none"/>
                <w:u w:val="none"/>
              </w:rPr>
            </w:pPr>
            <w: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275" w:type="pct"/>
            <w:tcBorders>
              <w:tl2br w:val="nil"/>
              <w:tr2bl w:val="nil"/>
            </w:tcBorders>
            <w:noWrap/>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8"/>
                <w:szCs w:val="28"/>
                <w:highlight w:val="none"/>
                <w:u w:val="none"/>
              </w:rPr>
            </w:pPr>
            <w:r>
              <w:rPr>
                <w:rFonts w:hint="eastAsia" w:asciiTheme="minorEastAsia" w:hAnsiTheme="minorEastAsia" w:eastAsiaTheme="minorEastAsia" w:cstheme="minorEastAsia"/>
                <w:i w:val="0"/>
                <w:iCs w:val="0"/>
                <w:color w:val="000000"/>
                <w:kern w:val="0"/>
                <w:sz w:val="28"/>
                <w:szCs w:val="28"/>
                <w:highlight w:val="none"/>
                <w:u w:val="none"/>
                <w:lang w:val="en-US" w:eastAsia="zh-CN" w:bidi="ar"/>
              </w:rPr>
              <w:t>1</w:t>
            </w:r>
          </w:p>
        </w:tc>
        <w:tc>
          <w:tcPr>
            <w:tcW w:w="1408" w:type="pct"/>
            <w:tcBorders>
              <w:tl2br w:val="nil"/>
              <w:tr2bl w:val="nil"/>
            </w:tcBorders>
            <w:noWrap w:val="0"/>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kern w:val="0"/>
                <w:sz w:val="28"/>
                <w:szCs w:val="28"/>
                <w:highlight w:val="none"/>
                <w:u w:val="none"/>
                <w:lang w:val="en-US" w:eastAsia="zh-CN" w:bidi="ar"/>
              </w:rPr>
            </w:pPr>
            <w:r>
              <w:rPr>
                <w:rFonts w:hint="eastAsia" w:asciiTheme="minorEastAsia" w:hAnsiTheme="minorEastAsia" w:eastAsiaTheme="minorEastAsia" w:cstheme="minorEastAsia"/>
                <w:i w:val="0"/>
                <w:iCs w:val="0"/>
                <w:color w:val="000000"/>
                <w:kern w:val="0"/>
                <w:sz w:val="28"/>
                <w:szCs w:val="28"/>
                <w:highlight w:val="none"/>
                <w:u w:val="none"/>
                <w:lang w:val="en-US" w:eastAsia="zh-CN" w:bidi="ar"/>
              </w:rPr>
              <w:t>2024年信通公司基于安运一体化体系的运行安全监测预警关键技术研究及应用（云盾）技术鉴定</w:t>
            </w:r>
          </w:p>
        </w:tc>
        <w:tc>
          <w:tcPr>
            <w:tcW w:w="676" w:type="pct"/>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i w:val="0"/>
                <w:iCs w:val="0"/>
                <w:color w:val="000000"/>
                <w:sz w:val="28"/>
                <w:szCs w:val="28"/>
                <w:highlight w:val="none"/>
                <w:u w:val="none"/>
                <w:lang w:val="en-US" w:eastAsia="zh-CN"/>
              </w:rPr>
            </w:pPr>
            <w:r>
              <w:rPr>
                <w:rFonts w:hint="eastAsia" w:asciiTheme="minorEastAsia" w:hAnsiTheme="minorEastAsia" w:eastAsiaTheme="minorEastAsia" w:cstheme="minorEastAsia"/>
                <w:i w:val="0"/>
                <w:iCs w:val="0"/>
                <w:color w:val="000000"/>
                <w:sz w:val="28"/>
                <w:szCs w:val="28"/>
                <w:highlight w:val="none"/>
                <w:u w:val="none"/>
                <w:lang w:val="en-US" w:eastAsia="zh-CN"/>
              </w:rPr>
              <w:t>技术鉴定服务</w:t>
            </w:r>
          </w:p>
        </w:tc>
        <w:tc>
          <w:tcPr>
            <w:tcW w:w="642" w:type="pct"/>
            <w:tcBorders>
              <w:tl2br w:val="nil"/>
              <w:tr2bl w:val="nil"/>
            </w:tcBorders>
            <w:noWrap/>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8"/>
                <w:szCs w:val="28"/>
                <w:highlight w:val="none"/>
                <w:u w:val="none"/>
                <w:lang w:val="en-US" w:eastAsia="zh-CN"/>
              </w:rPr>
            </w:pPr>
            <w:r>
              <w:rPr>
                <w:rFonts w:hint="eastAsia" w:asciiTheme="minorEastAsia" w:hAnsiTheme="minorEastAsia" w:eastAsiaTheme="minorEastAsia" w:cstheme="minorEastAsia"/>
                <w:i w:val="0"/>
                <w:iCs w:val="0"/>
                <w:color w:val="000000"/>
                <w:sz w:val="28"/>
                <w:szCs w:val="28"/>
                <w:highlight w:val="none"/>
                <w:u w:val="none"/>
                <w:lang w:val="en-US" w:eastAsia="zh-CN"/>
              </w:rPr>
              <w:t>1</w:t>
            </w:r>
          </w:p>
        </w:tc>
        <w:tc>
          <w:tcPr>
            <w:tcW w:w="671" w:type="pct"/>
            <w:tcBorders>
              <w:tl2br w:val="nil"/>
              <w:tr2bl w:val="nil"/>
            </w:tcBorders>
            <w:noWrap/>
            <w:vAlign w:val="center"/>
          </w:tcPr>
          <w:p>
            <w:pPr>
              <w:keepNext w:val="0"/>
              <w:keepLines w:val="0"/>
              <w:widowControl/>
              <w:suppressLineNumbers w:val="0"/>
              <w:tabs>
                <w:tab w:val="left" w:pos="458"/>
              </w:tabs>
              <w:ind w:firstLine="0" w:firstLineChars="0"/>
              <w:jc w:val="center"/>
              <w:textAlignment w:val="center"/>
              <w:rPr>
                <w:rFonts w:hint="default" w:asciiTheme="minorEastAsia" w:hAnsiTheme="minorEastAsia" w:eastAsiaTheme="minorEastAsia" w:cstheme="minorEastAsia"/>
                <w:i w:val="0"/>
                <w:iCs w:val="0"/>
                <w:color w:val="000000"/>
                <w:sz w:val="28"/>
                <w:szCs w:val="28"/>
                <w:highlight w:val="none"/>
                <w:u w:val="none"/>
                <w:lang w:val="en-US" w:eastAsia="zh-CN"/>
              </w:rPr>
            </w:pPr>
            <w:r>
              <w:rPr>
                <w:rFonts w:hint="eastAsia" w:asciiTheme="minorEastAsia" w:hAnsiTheme="minorEastAsia" w:eastAsiaTheme="minorEastAsia" w:cstheme="minorEastAsia"/>
                <w:i w:val="0"/>
                <w:iCs w:val="0"/>
                <w:color w:val="000000"/>
                <w:sz w:val="28"/>
                <w:szCs w:val="28"/>
                <w:highlight w:val="none"/>
                <w:u w:val="none"/>
                <w:lang w:val="en-US" w:eastAsia="zh-CN"/>
              </w:rPr>
              <w:t>42000</w:t>
            </w:r>
          </w:p>
        </w:tc>
        <w:tc>
          <w:tcPr>
            <w:tcW w:w="803" w:type="pct"/>
            <w:tcBorders>
              <w:tl2br w:val="nil"/>
              <w:tr2bl w:val="nil"/>
            </w:tcBorders>
            <w:noWrap/>
            <w:vAlign w:val="center"/>
          </w:tcPr>
          <w:p>
            <w:pPr>
              <w:spacing w:line="240" w:lineRule="auto"/>
              <w:jc w:val="center"/>
              <w:rPr>
                <w:rFonts w:hint="eastAsia" w:asciiTheme="minorEastAsia" w:hAnsiTheme="minorEastAsia" w:eastAsiaTheme="minorEastAsia" w:cstheme="minorEastAsia"/>
                <w:i w:val="0"/>
                <w:iCs w:val="0"/>
                <w:color w:val="000000"/>
                <w:sz w:val="28"/>
                <w:szCs w:val="28"/>
                <w:highlight w:val="none"/>
                <w:u w:val="none"/>
              </w:rPr>
            </w:pPr>
          </w:p>
        </w:tc>
        <w:tc>
          <w:tcPr>
            <w:tcW w:w="522" w:type="pct"/>
            <w:tcBorders>
              <w:tl2br w:val="nil"/>
              <w:tr2bl w:val="nil"/>
            </w:tcBorders>
            <w:noWrap/>
            <w:vAlign w:val="center"/>
          </w:tcPr>
          <w:p>
            <w:pPr>
              <w:spacing w:line="240" w:lineRule="auto"/>
              <w:jc w:val="center"/>
              <w:rPr>
                <w:rFonts w:hint="eastAsia" w:asciiTheme="minorEastAsia" w:hAnsiTheme="minorEastAsia" w:eastAsiaTheme="minorEastAsia" w:cstheme="minorEastAsia"/>
                <w:i w:val="0"/>
                <w:iCs w:val="0"/>
                <w:color w:val="000000"/>
                <w:sz w:val="28"/>
                <w:szCs w:val="28"/>
                <w:highlight w:val="none"/>
                <w:u w:val="none"/>
              </w:rPr>
            </w:pPr>
          </w:p>
        </w:tc>
      </w:tr>
    </w:tbl>
    <w:p>
      <w:pPr>
        <w:rPr>
          <w:rFonts w:hint="eastAsia" w:asciiTheme="minorEastAsia" w:hAnsiTheme="minorEastAsia" w:eastAsiaTheme="minorEastAsia" w:cstheme="minorEastAsia"/>
          <w:sz w:val="28"/>
          <w:szCs w:val="28"/>
        </w:rPr>
      </w:pPr>
    </w:p>
    <w:p>
      <w:pPr>
        <w:pStyle w:val="2"/>
        <w:jc w:val="right"/>
        <w:rPr>
          <w:rFonts w:hint="eastAsia" w:asciiTheme="minorEastAsia" w:hAnsiTheme="minorEastAsia" w:eastAsiaTheme="minorEastAsia" w:cstheme="minorEastAsia"/>
          <w:sz w:val="28"/>
          <w:szCs w:val="28"/>
          <w:lang w:val="en-US" w:eastAsia="zh-CN"/>
        </w:rPr>
      </w:pPr>
      <w:bookmarkStart w:id="0" w:name="_GoBack"/>
      <w:bookmarkEnd w:id="0"/>
      <w:r>
        <w:rPr>
          <w:rFonts w:hint="eastAsia" w:asciiTheme="minorEastAsia" w:hAnsiTheme="minorEastAsia" w:eastAsiaTheme="minorEastAsia" w:cstheme="minorEastAsia"/>
          <w:sz w:val="28"/>
          <w:szCs w:val="28"/>
          <w:lang w:val="en-US" w:eastAsia="zh-CN"/>
        </w:rPr>
        <w:t>单位名称（盖章）：</w:t>
      </w:r>
    </w:p>
    <w:p>
      <w:pPr>
        <w:pStyle w:val="3"/>
        <w:jc w:val="right"/>
        <w:rPr>
          <w:rFonts w:hint="default"/>
          <w:lang w:val="en-US" w:eastAsia="zh-CN"/>
        </w:rPr>
      </w:pPr>
      <w:r>
        <w:rPr>
          <w:rFonts w:hint="eastAsia" w:asciiTheme="minorEastAsia" w:hAnsiTheme="minorEastAsia" w:eastAsiaTheme="minorEastAsia" w:cstheme="minorEastAsia"/>
          <w:b w:val="0"/>
          <w:bCs w:val="0"/>
          <w:kern w:val="2"/>
          <w:sz w:val="28"/>
          <w:szCs w:val="28"/>
          <w:lang w:val="en-US" w:eastAsia="zh-CN" w:bidi="ar-SA"/>
        </w:rPr>
        <w:t>年    月   日</w:t>
      </w:r>
    </w:p>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I0MWIzYjYyOTQ4N2EzNjU2MjA5YzNlOGMwNGRmMGQifQ=="/>
  </w:docVars>
  <w:rsids>
    <w:rsidRoot w:val="2A8A5E29"/>
    <w:rsid w:val="08E500DB"/>
    <w:rsid w:val="10676B47"/>
    <w:rsid w:val="15186E22"/>
    <w:rsid w:val="162F6FD0"/>
    <w:rsid w:val="17595C93"/>
    <w:rsid w:val="1AD62CA4"/>
    <w:rsid w:val="1AFC07EC"/>
    <w:rsid w:val="22031056"/>
    <w:rsid w:val="2A8A5E29"/>
    <w:rsid w:val="2EA17C2D"/>
    <w:rsid w:val="30D01BA7"/>
    <w:rsid w:val="31EA3C32"/>
    <w:rsid w:val="32216284"/>
    <w:rsid w:val="32421616"/>
    <w:rsid w:val="33C71569"/>
    <w:rsid w:val="37F0752F"/>
    <w:rsid w:val="38785278"/>
    <w:rsid w:val="389276C0"/>
    <w:rsid w:val="38DA3DB8"/>
    <w:rsid w:val="38E01351"/>
    <w:rsid w:val="3F7F1678"/>
    <w:rsid w:val="40836138"/>
    <w:rsid w:val="412F2700"/>
    <w:rsid w:val="42725710"/>
    <w:rsid w:val="46827EEC"/>
    <w:rsid w:val="4A7D4C52"/>
    <w:rsid w:val="4C6724C7"/>
    <w:rsid w:val="4CA66C74"/>
    <w:rsid w:val="59215342"/>
    <w:rsid w:val="59DD07BC"/>
    <w:rsid w:val="5D927755"/>
    <w:rsid w:val="6377272F"/>
    <w:rsid w:val="66C8504F"/>
    <w:rsid w:val="6A3A4995"/>
    <w:rsid w:val="6C414631"/>
    <w:rsid w:val="6C9A4C20"/>
    <w:rsid w:val="7691297A"/>
    <w:rsid w:val="7C5147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0" w:firstLineChars="0"/>
      <w:jc w:val="both"/>
    </w:pPr>
    <w:rPr>
      <w:rFonts w:ascii="Calibri" w:hAnsi="Calibri" w:eastAsia="宋体" w:cs="Times New Roman"/>
      <w:kern w:val="2"/>
      <w:sz w:val="24"/>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4">
    <w:name w:val="Normal (Web)"/>
    <w:basedOn w:val="1"/>
    <w:qFormat/>
    <w:uiPriority w:val="0"/>
    <w:pPr>
      <w:spacing w:beforeAutospacing="1" w:afterAutospacing="1"/>
      <w:jc w:val="left"/>
    </w:pPr>
    <w:rPr>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2023-11-20T05:14:00Z</dcterms:created>
  <dc:creator>nongcq</dc:creator>
  <cp:lastModifiedBy>姚晴</cp:lastModifiedBy>
  <dcterms:modified xsi:type="dcterms:W3CDTF">2024-09-27T02:52:05Z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68450AED8E6344EAB77B4AA93795B633</vt:lpwstr>
  </property>
</Properties>
</file>