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pacing w:val="-4"/>
          <w:sz w:val="32"/>
          <w:szCs w:val="32"/>
        </w:rPr>
      </w:pPr>
      <w:r>
        <w:rPr>
          <w:rFonts w:hint="eastAsia"/>
          <w:b/>
          <w:bCs/>
          <w:spacing w:val="-4"/>
          <w:sz w:val="32"/>
          <w:szCs w:val="32"/>
        </w:rPr>
        <w:t>2024年计量中心碳中和评价（零碳认证）服务项目零星采购</w:t>
      </w:r>
    </w:p>
    <w:p>
      <w:pPr>
        <w:jc w:val="center"/>
        <w:rPr>
          <w:rFonts w:hint="default" w:eastAsia="宋体"/>
          <w:spacing w:val="7"/>
          <w:sz w:val="32"/>
          <w:szCs w:val="32"/>
          <w:lang w:val="en-US" w:eastAsia="zh-CN"/>
        </w:rPr>
      </w:pPr>
      <w:r>
        <w:rPr>
          <w:rFonts w:hint="eastAsia" w:eastAsia="宋体"/>
          <w:b/>
          <w:bCs/>
          <w:spacing w:val="-4"/>
          <w:sz w:val="32"/>
          <w:szCs w:val="32"/>
          <w:lang w:val="en-US" w:eastAsia="zh-CN"/>
        </w:rPr>
        <w:t>技术规范书</w:t>
      </w:r>
    </w:p>
    <w:p>
      <w:pPr>
        <w:keepNext w:val="0"/>
        <w:keepLines w:val="0"/>
        <w:pageBreakBefore w:val="0"/>
        <w:numPr>
          <w:ilvl w:val="0"/>
          <w:numId w:val="0"/>
        </w:numPr>
        <w:wordWrap/>
        <w:overflowPunct/>
        <w:topLinePunct w:val="0"/>
        <w:bidi w:val="0"/>
        <w:snapToGrid/>
        <w:spacing w:line="360" w:lineRule="auto"/>
        <w:ind w:firstLine="590" w:firstLineChars="200"/>
        <w:rPr>
          <w:rFonts w:hint="eastAsia" w:ascii="仿宋" w:hAnsi="仿宋" w:eastAsia="仿宋" w:cs="仿宋"/>
          <w:b/>
          <w:bCs/>
          <w:spacing w:val="7"/>
          <w:sz w:val="28"/>
          <w:szCs w:val="28"/>
          <w:lang w:val="en-US" w:eastAsia="zh-CN"/>
        </w:rPr>
      </w:pPr>
    </w:p>
    <w:p>
      <w:pPr>
        <w:keepNext w:val="0"/>
        <w:keepLines w:val="0"/>
        <w:pageBreakBefore w:val="0"/>
        <w:numPr>
          <w:ilvl w:val="0"/>
          <w:numId w:val="0"/>
        </w:numPr>
        <w:wordWrap/>
        <w:overflowPunct/>
        <w:topLinePunct w:val="0"/>
        <w:bidi w:val="0"/>
        <w:snapToGrid/>
        <w:spacing w:line="360" w:lineRule="auto"/>
        <w:ind w:firstLine="590" w:firstLineChars="200"/>
        <w:rPr>
          <w:rFonts w:hint="eastAsia" w:ascii="仿宋" w:hAnsi="仿宋" w:eastAsia="仿宋" w:cs="仿宋"/>
          <w:b w:val="0"/>
          <w:bCs w:val="0"/>
          <w:spacing w:val="7"/>
          <w:sz w:val="28"/>
          <w:szCs w:val="28"/>
          <w:lang w:val="en-US" w:eastAsia="zh-CN"/>
        </w:rPr>
      </w:pPr>
      <w:r>
        <w:rPr>
          <w:rFonts w:hint="eastAsia" w:ascii="仿宋" w:hAnsi="仿宋" w:eastAsia="仿宋" w:cs="仿宋"/>
          <w:b/>
          <w:bCs/>
          <w:spacing w:val="7"/>
          <w:sz w:val="28"/>
          <w:szCs w:val="28"/>
          <w:lang w:val="en-US" w:eastAsia="zh-CN"/>
        </w:rPr>
        <w:t>1.费用预算</w:t>
      </w:r>
      <w:r>
        <w:rPr>
          <w:rFonts w:hint="eastAsia" w:ascii="仿宋" w:hAnsi="仿宋" w:eastAsia="仿宋" w:cs="仿宋"/>
          <w:b w:val="0"/>
          <w:bCs w:val="0"/>
          <w:spacing w:val="7"/>
          <w:sz w:val="28"/>
          <w:szCs w:val="28"/>
          <w:lang w:val="en-US" w:eastAsia="zh-CN"/>
        </w:rPr>
        <w:t>：4.8万元</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.碳中和评价（零碳认证）</w:t>
      </w:r>
      <w:r>
        <w:rPr>
          <w:rFonts w:hint="eastAsia" w:ascii="仿宋" w:hAnsi="仿宋" w:eastAsia="仿宋" w:cs="仿宋"/>
          <w:b/>
          <w:bCs/>
          <w:sz w:val="28"/>
          <w:szCs w:val="28"/>
          <w:lang w:val="en-US" w:eastAsia="zh-CN"/>
        </w:rPr>
        <w:t>主要工作内容</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（1）根据温室气体核查报告，明确温室气体排放量。评估场所可再生能源和资源，核算温室气体减排量，落实温室气体排放抵消购入减排量</w:t>
      </w:r>
      <w:r>
        <w:rPr>
          <w:rFonts w:hint="eastAsia" w:ascii="仿宋" w:hAnsi="仿宋" w:eastAsia="仿宋" w:cs="仿宋"/>
          <w:b w:val="0"/>
          <w:bCs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（2）协助我公司寻找符合的</w:t>
      </w:r>
      <w:bookmarkStart w:id="0" w:name="_GoBack"/>
      <w:bookmarkEnd w:id="0"/>
      <w:r>
        <w:rPr>
          <w:rFonts w:hint="eastAsia" w:ascii="仿宋" w:hAnsi="仿宋" w:eastAsia="仿宋" w:cs="仿宋"/>
          <w:b w:val="0"/>
          <w:bCs w:val="0"/>
          <w:sz w:val="28"/>
          <w:szCs w:val="28"/>
          <w:lang w:val="en-US" w:eastAsia="zh-CN"/>
        </w:rPr>
        <w:t>减排需求和可信赖的碳抵消项目，并协助核实确保所购买的减排量是真实和可追溯。</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left"/>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（3）见</w:t>
      </w:r>
      <w:r>
        <w:rPr>
          <w:rFonts w:hint="eastAsia" w:ascii="仿宋" w:hAnsi="仿宋" w:eastAsia="仿宋" w:cs="仿宋"/>
          <w:b w:val="0"/>
          <w:bCs w:val="0"/>
          <w:sz w:val="28"/>
          <w:szCs w:val="28"/>
        </w:rPr>
        <w:t>证温室气体排放抵消，颁发碳中和认证证书。</w:t>
      </w:r>
    </w:p>
    <w:p>
      <w:pPr>
        <w:keepNext w:val="0"/>
        <w:keepLines w:val="0"/>
        <w:pageBreakBefore w:val="0"/>
        <w:wordWrap/>
        <w:overflowPunct/>
        <w:topLinePunct w:val="0"/>
        <w:bidi w:val="0"/>
        <w:snapToGrid/>
        <w:spacing w:line="360" w:lineRule="auto"/>
        <w:ind w:left="0" w:firstLine="590" w:firstLineChars="200"/>
        <w:rPr>
          <w:rFonts w:hint="eastAsia" w:ascii="仿宋" w:hAnsi="仿宋" w:eastAsia="仿宋" w:cs="仿宋"/>
          <w:b/>
          <w:bCs/>
          <w:spacing w:val="7"/>
          <w:sz w:val="28"/>
          <w:szCs w:val="28"/>
          <w:lang w:val="en-US" w:eastAsia="zh-CN"/>
        </w:rPr>
      </w:pPr>
      <w:r>
        <w:rPr>
          <w:rFonts w:hint="eastAsia" w:ascii="仿宋" w:hAnsi="仿宋" w:eastAsia="仿宋" w:cs="仿宋"/>
          <w:b/>
          <w:bCs/>
          <w:spacing w:val="7"/>
          <w:sz w:val="28"/>
          <w:szCs w:val="28"/>
          <w:lang w:val="en-US" w:eastAsia="zh-CN"/>
        </w:rPr>
        <w:t>3.技术服务要求</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（1）服务标准。符合</w:t>
      </w:r>
      <w:r>
        <w:rPr>
          <w:rFonts w:hint="eastAsia" w:ascii="仿宋" w:hAnsi="仿宋" w:eastAsia="仿宋" w:cs="仿宋"/>
          <w:b w:val="0"/>
          <w:bCs w:val="0"/>
          <w:sz w:val="28"/>
          <w:szCs w:val="28"/>
          <w:lang w:val="en-US" w:eastAsia="zh-CN"/>
        </w:rPr>
        <w:t>国家</w:t>
      </w:r>
      <w:r>
        <w:rPr>
          <w:rFonts w:hint="eastAsia" w:ascii="仿宋" w:hAnsi="仿宋" w:eastAsia="仿宋" w:cs="仿宋"/>
          <w:b w:val="0"/>
          <w:bCs w:val="0"/>
          <w:sz w:val="28"/>
          <w:szCs w:val="28"/>
        </w:rPr>
        <w:t>标准，内容符合</w:t>
      </w:r>
      <w:r>
        <w:rPr>
          <w:rFonts w:hint="eastAsia" w:ascii="仿宋" w:hAnsi="仿宋" w:eastAsia="仿宋" w:cs="仿宋"/>
          <w:b w:val="0"/>
          <w:bCs w:val="0"/>
          <w:sz w:val="28"/>
          <w:szCs w:val="28"/>
          <w:lang w:val="en-US" w:eastAsia="zh-CN"/>
        </w:rPr>
        <w:t>国家</w:t>
      </w:r>
      <w:r>
        <w:rPr>
          <w:rFonts w:hint="eastAsia" w:ascii="仿宋" w:hAnsi="仿宋" w:eastAsia="仿宋" w:cs="仿宋"/>
          <w:b w:val="0"/>
          <w:bCs w:val="0"/>
          <w:sz w:val="28"/>
          <w:szCs w:val="28"/>
        </w:rPr>
        <w:t>规定、充实、有应用价值。服务工作的形式：提供技术服务。</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（2）成果要求：依据ISO14064-1标准对云南电网公司计量中心 2024 年指定的区域开展排放源及排放设施开展温室气体核查工作，根据燃油设备能耗和其他气体逸散量统计结果，</w:t>
      </w:r>
      <w:r>
        <w:rPr>
          <w:rFonts w:hint="eastAsia" w:ascii="仿宋" w:hAnsi="仿宋" w:eastAsia="仿宋" w:cs="仿宋"/>
          <w:b w:val="0"/>
          <w:bCs w:val="0"/>
          <w:sz w:val="28"/>
          <w:szCs w:val="28"/>
          <w:lang w:val="en-US" w:eastAsia="zh-CN"/>
        </w:rPr>
        <w:t>指导</w:t>
      </w:r>
      <w:r>
        <w:rPr>
          <w:rFonts w:hint="eastAsia" w:ascii="仿宋" w:hAnsi="仿宋" w:eastAsia="仿宋" w:cs="仿宋"/>
          <w:b w:val="0"/>
          <w:bCs w:val="0"/>
          <w:sz w:val="28"/>
          <w:szCs w:val="28"/>
        </w:rPr>
        <w:t>云南电网公司计量中心通过市场化行为购买碳信用对剩余碳排放量进行抵消，并对这一过程进行零碳评价认证，</w:t>
      </w:r>
      <w:r>
        <w:rPr>
          <w:rFonts w:hint="eastAsia" w:ascii="仿宋" w:hAnsi="仿宋" w:eastAsia="仿宋" w:cs="仿宋"/>
          <w:b w:val="0"/>
          <w:bCs w:val="0"/>
          <w:sz w:val="28"/>
          <w:szCs w:val="28"/>
          <w:lang w:val="en-US" w:eastAsia="zh-CN"/>
        </w:rPr>
        <w:t>并在2024年11月30日前</w:t>
      </w:r>
      <w:r>
        <w:rPr>
          <w:rFonts w:hint="eastAsia" w:ascii="仿宋" w:hAnsi="仿宋" w:eastAsia="仿宋" w:cs="仿宋"/>
          <w:b w:val="0"/>
          <w:bCs w:val="0"/>
          <w:sz w:val="28"/>
          <w:szCs w:val="28"/>
        </w:rPr>
        <w:t>交付《</w:t>
      </w:r>
      <w:r>
        <w:rPr>
          <w:rFonts w:hint="eastAsia" w:ascii="仿宋" w:hAnsi="仿宋" w:eastAsia="仿宋" w:cs="仿宋"/>
          <w:b w:val="0"/>
          <w:bCs w:val="0"/>
          <w:sz w:val="28"/>
          <w:szCs w:val="28"/>
          <w:lang w:val="en-US" w:eastAsia="zh-CN"/>
        </w:rPr>
        <w:t>碳中和评价</w:t>
      </w:r>
      <w:r>
        <w:rPr>
          <w:rFonts w:hint="eastAsia" w:ascii="仿宋" w:hAnsi="仿宋" w:eastAsia="仿宋" w:cs="仿宋"/>
          <w:b w:val="0"/>
          <w:bCs w:val="0"/>
          <w:sz w:val="28"/>
          <w:szCs w:val="28"/>
        </w:rPr>
        <w:t>报告》</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发放《</w:t>
      </w:r>
      <w:r>
        <w:rPr>
          <w:rFonts w:hint="eastAsia" w:ascii="仿宋" w:hAnsi="仿宋" w:eastAsia="仿宋" w:cs="仿宋"/>
          <w:b w:val="0"/>
          <w:bCs w:val="0"/>
          <w:sz w:val="28"/>
          <w:szCs w:val="28"/>
          <w:lang w:val="en-US" w:eastAsia="zh-CN"/>
        </w:rPr>
        <w:t>碳中和</w:t>
      </w:r>
      <w:r>
        <w:rPr>
          <w:rFonts w:hint="eastAsia" w:ascii="仿宋" w:hAnsi="仿宋" w:eastAsia="仿宋" w:cs="仿宋"/>
          <w:b w:val="0"/>
          <w:bCs w:val="0"/>
          <w:sz w:val="28"/>
          <w:szCs w:val="28"/>
        </w:rPr>
        <w:t>认证证书》。</w:t>
      </w:r>
    </w:p>
    <w:p>
      <w:pPr>
        <w:keepNext w:val="0"/>
        <w:keepLines w:val="0"/>
        <w:pageBreakBefore w:val="0"/>
        <w:wordWrap/>
        <w:overflowPunct/>
        <w:topLinePunct w:val="0"/>
        <w:bidi w:val="0"/>
        <w:snapToGrid/>
        <w:spacing w:line="360" w:lineRule="auto"/>
        <w:ind w:left="0" w:firstLine="590" w:firstLineChars="200"/>
        <w:rPr>
          <w:rFonts w:hint="eastAsia" w:ascii="仿宋" w:hAnsi="仿宋" w:eastAsia="仿宋" w:cs="仿宋"/>
          <w:b/>
          <w:bCs/>
          <w:spacing w:val="7"/>
          <w:sz w:val="28"/>
          <w:szCs w:val="28"/>
          <w:lang w:val="en-US" w:eastAsia="zh-CN"/>
        </w:rPr>
      </w:pPr>
      <w:r>
        <w:rPr>
          <w:rFonts w:hint="eastAsia" w:ascii="仿宋" w:hAnsi="仿宋" w:eastAsia="仿宋" w:cs="仿宋"/>
          <w:b/>
          <w:bCs/>
          <w:spacing w:val="7"/>
          <w:sz w:val="28"/>
          <w:szCs w:val="28"/>
          <w:lang w:val="en-US" w:eastAsia="zh-CN"/>
        </w:rPr>
        <w:t>4.信息安全要求</w:t>
      </w:r>
    </w:p>
    <w:p>
      <w:pPr>
        <w:pStyle w:val="5"/>
        <w:pageBreakBefore w:val="0"/>
        <w:overflowPunct/>
        <w:topLinePunct w:val="0"/>
        <w:bidi w:val="0"/>
        <w:spacing w:line="360" w:lineRule="auto"/>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采购人与成交人签订保密承诺书，不得向第三方提供计量中心园区相关信息，也不得在互联网各类共享平台上发布相关信息。未经采购人书面同意，不得将与项目有关的图片、数据、文件等信息用于任何学术交流、教育培训、技术交流等活动。</w:t>
      </w:r>
    </w:p>
    <w:p>
      <w:pPr>
        <w:pStyle w:val="5"/>
        <w:pageBreakBefore w:val="0"/>
        <w:overflowPunct/>
        <w:topLinePunct w:val="0"/>
        <w:bidi w:val="0"/>
        <w:spacing w:line="360" w:lineRule="auto"/>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2</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成交人应遵循“谁经手，谁使用，谁管理，谁负责”的原则，确保与项目有关的图片、数据、文件等信息，不被非法复制、使用、泄露或破坏。</w:t>
      </w:r>
    </w:p>
    <w:p>
      <w:pPr>
        <w:keepNext w:val="0"/>
        <w:keepLines w:val="0"/>
        <w:pageBreakBefore w:val="0"/>
        <w:wordWrap/>
        <w:overflowPunct/>
        <w:topLinePunct w:val="0"/>
        <w:bidi w:val="0"/>
        <w:snapToGrid/>
        <w:spacing w:line="360" w:lineRule="auto"/>
        <w:ind w:left="0" w:firstLine="590" w:firstLineChars="200"/>
        <w:rPr>
          <w:rFonts w:hint="eastAsia" w:ascii="仿宋" w:hAnsi="仿宋" w:eastAsia="仿宋" w:cs="仿宋"/>
          <w:b/>
          <w:bCs/>
          <w:spacing w:val="7"/>
          <w:sz w:val="28"/>
          <w:szCs w:val="28"/>
          <w:lang w:val="en-US" w:eastAsia="zh-CN"/>
        </w:rPr>
      </w:pPr>
      <w:r>
        <w:rPr>
          <w:rFonts w:hint="eastAsia" w:ascii="仿宋" w:hAnsi="仿宋" w:eastAsia="仿宋" w:cs="仿宋"/>
          <w:b/>
          <w:bCs/>
          <w:spacing w:val="7"/>
          <w:sz w:val="28"/>
          <w:szCs w:val="28"/>
          <w:lang w:val="en-US" w:eastAsia="zh-CN"/>
        </w:rPr>
        <w:t>5.违约责任</w:t>
      </w:r>
    </w:p>
    <w:p>
      <w:pPr>
        <w:spacing w:line="360" w:lineRule="auto"/>
        <w:ind w:firstLine="560" w:firstLineChars="200"/>
        <w:rPr>
          <w:rFonts w:hint="eastAsia" w:ascii="仿宋" w:hAnsi="仿宋" w:eastAsia="仿宋" w:cs="仿宋"/>
          <w:b w:val="0"/>
          <w:bCs w:val="0"/>
          <w:snapToGrid w:val="0"/>
          <w:color w:val="000000"/>
          <w:kern w:val="0"/>
          <w:sz w:val="28"/>
          <w:szCs w:val="28"/>
          <w:lang w:val="en-US" w:eastAsia="zh-CN" w:bidi="ar-SA"/>
        </w:rPr>
      </w:pPr>
      <w:r>
        <w:rPr>
          <w:rFonts w:hint="eastAsia" w:ascii="仿宋" w:hAnsi="仿宋" w:eastAsia="仿宋" w:cs="仿宋"/>
          <w:b w:val="0"/>
          <w:bCs w:val="0"/>
          <w:snapToGrid w:val="0"/>
          <w:color w:val="000000"/>
          <w:kern w:val="0"/>
          <w:sz w:val="28"/>
          <w:szCs w:val="28"/>
          <w:lang w:val="en-US" w:eastAsia="zh-CN" w:bidi="ar-SA"/>
        </w:rPr>
        <w:t>（1）成交人</w:t>
      </w:r>
      <w:r>
        <w:rPr>
          <w:rFonts w:hint="eastAsia" w:ascii="仿宋" w:hAnsi="仿宋" w:eastAsia="仿宋" w:cs="仿宋"/>
          <w:b w:val="0"/>
          <w:bCs w:val="0"/>
          <w:snapToGrid w:val="0"/>
          <w:color w:val="000000"/>
          <w:kern w:val="0"/>
          <w:sz w:val="28"/>
          <w:szCs w:val="28"/>
          <w:lang w:val="en-US" w:eastAsia="zh-CN" w:bidi="ar-SA"/>
        </w:rPr>
        <w:t>迟延交付</w:t>
      </w:r>
      <w:r>
        <w:rPr>
          <w:rFonts w:hint="eastAsia" w:ascii="仿宋" w:hAnsi="仿宋" w:eastAsia="仿宋" w:cs="仿宋"/>
          <w:b w:val="0"/>
          <w:bCs w:val="0"/>
          <w:sz w:val="28"/>
          <w:szCs w:val="28"/>
          <w:lang w:val="en-US" w:eastAsia="zh-CN"/>
        </w:rPr>
        <w:t>约定成果</w:t>
      </w:r>
      <w:r>
        <w:rPr>
          <w:rFonts w:hint="eastAsia" w:ascii="仿宋" w:hAnsi="仿宋" w:eastAsia="仿宋" w:cs="仿宋"/>
          <w:b w:val="0"/>
          <w:bCs w:val="0"/>
          <w:snapToGrid w:val="0"/>
          <w:color w:val="000000"/>
          <w:kern w:val="0"/>
          <w:sz w:val="28"/>
          <w:szCs w:val="28"/>
          <w:lang w:val="en-US" w:eastAsia="zh-CN" w:bidi="ar-SA"/>
        </w:rPr>
        <w:t>的，每迟延一日，应按照技术服务报酬总额的1%向采购人支付违约金。</w:t>
      </w:r>
    </w:p>
    <w:p>
      <w:pPr>
        <w:spacing w:line="360" w:lineRule="auto"/>
        <w:ind w:firstLine="560" w:firstLineChars="200"/>
        <w:rPr>
          <w:rFonts w:hint="eastAsia" w:ascii="仿宋" w:hAnsi="仿宋" w:eastAsia="仿宋" w:cs="仿宋"/>
          <w:b w:val="0"/>
          <w:bCs w:val="0"/>
          <w:snapToGrid w:val="0"/>
          <w:color w:val="000000"/>
          <w:kern w:val="0"/>
          <w:sz w:val="28"/>
          <w:szCs w:val="28"/>
          <w:lang w:val="en-US" w:eastAsia="zh-CN" w:bidi="ar-SA"/>
        </w:rPr>
      </w:pPr>
      <w:r>
        <w:rPr>
          <w:rFonts w:hint="eastAsia" w:ascii="仿宋" w:hAnsi="仿宋" w:eastAsia="仿宋" w:cs="仿宋"/>
          <w:b w:val="0"/>
          <w:bCs w:val="0"/>
          <w:snapToGrid w:val="0"/>
          <w:color w:val="000000"/>
          <w:kern w:val="0"/>
          <w:sz w:val="28"/>
          <w:szCs w:val="28"/>
          <w:lang w:val="en-US" w:eastAsia="zh-CN" w:bidi="ar-SA"/>
        </w:rPr>
        <w:t>（2）</w:t>
      </w:r>
      <w:r>
        <w:rPr>
          <w:rFonts w:hint="eastAsia" w:ascii="仿宋" w:hAnsi="仿宋" w:eastAsia="仿宋" w:cs="仿宋"/>
          <w:b w:val="0"/>
          <w:bCs w:val="0"/>
          <w:snapToGrid w:val="0"/>
          <w:color w:val="000000"/>
          <w:kern w:val="0"/>
          <w:sz w:val="28"/>
          <w:szCs w:val="28"/>
          <w:lang w:val="en-US" w:eastAsia="zh-CN" w:bidi="ar-SA"/>
        </w:rPr>
        <w:t>因</w:t>
      </w:r>
      <w:r>
        <w:rPr>
          <w:rFonts w:hint="eastAsia" w:ascii="仿宋" w:hAnsi="仿宋" w:eastAsia="仿宋" w:cs="仿宋"/>
          <w:b w:val="0"/>
          <w:bCs w:val="0"/>
          <w:snapToGrid w:val="0"/>
          <w:color w:val="000000"/>
          <w:kern w:val="0"/>
          <w:sz w:val="28"/>
          <w:szCs w:val="28"/>
          <w:lang w:val="en-US" w:eastAsia="zh-CN" w:bidi="ar-SA"/>
        </w:rPr>
        <w:t>成交人</w:t>
      </w:r>
      <w:r>
        <w:rPr>
          <w:rFonts w:hint="eastAsia" w:ascii="仿宋" w:hAnsi="仿宋" w:eastAsia="仿宋" w:cs="仿宋"/>
          <w:b w:val="0"/>
          <w:bCs w:val="0"/>
          <w:snapToGrid w:val="0"/>
          <w:color w:val="000000"/>
          <w:kern w:val="0"/>
          <w:sz w:val="28"/>
          <w:szCs w:val="28"/>
          <w:lang w:val="en-US" w:eastAsia="zh-CN" w:bidi="ar-SA"/>
        </w:rPr>
        <w:t>违约导致采购人解除采购的，</w:t>
      </w:r>
      <w:r>
        <w:rPr>
          <w:rFonts w:hint="eastAsia" w:ascii="仿宋" w:hAnsi="仿宋" w:eastAsia="仿宋" w:cs="仿宋"/>
          <w:b w:val="0"/>
          <w:bCs w:val="0"/>
          <w:snapToGrid w:val="0"/>
          <w:color w:val="000000"/>
          <w:kern w:val="0"/>
          <w:sz w:val="28"/>
          <w:szCs w:val="28"/>
          <w:lang w:val="en-US" w:eastAsia="zh-CN" w:bidi="ar-SA"/>
        </w:rPr>
        <w:t>成交人</w:t>
      </w:r>
      <w:r>
        <w:rPr>
          <w:rFonts w:hint="eastAsia" w:ascii="仿宋" w:hAnsi="仿宋" w:eastAsia="仿宋" w:cs="仿宋"/>
          <w:b w:val="0"/>
          <w:bCs w:val="0"/>
          <w:snapToGrid w:val="0"/>
          <w:color w:val="000000"/>
          <w:kern w:val="0"/>
          <w:sz w:val="28"/>
          <w:szCs w:val="28"/>
          <w:lang w:val="en-US" w:eastAsia="zh-CN" w:bidi="ar-SA"/>
        </w:rPr>
        <w:t>除应退还采购人已支付的费用外，还应按照服务报酬总额的10%向</w:t>
      </w:r>
      <w:r>
        <w:rPr>
          <w:rFonts w:hint="eastAsia" w:ascii="仿宋" w:hAnsi="仿宋" w:eastAsia="仿宋" w:cs="仿宋"/>
          <w:b w:val="0"/>
          <w:bCs w:val="0"/>
          <w:sz w:val="28"/>
          <w:szCs w:val="28"/>
          <w:lang w:val="en-US" w:eastAsia="zh-CN"/>
        </w:rPr>
        <w:t>采购人</w:t>
      </w:r>
      <w:r>
        <w:rPr>
          <w:rFonts w:hint="eastAsia" w:ascii="仿宋" w:hAnsi="仿宋" w:eastAsia="仿宋" w:cs="仿宋"/>
          <w:b w:val="0"/>
          <w:bCs w:val="0"/>
          <w:snapToGrid w:val="0"/>
          <w:color w:val="000000"/>
          <w:kern w:val="0"/>
          <w:sz w:val="28"/>
          <w:szCs w:val="28"/>
          <w:lang w:val="en-US" w:eastAsia="zh-CN" w:bidi="ar-SA"/>
        </w:rPr>
        <w:t>支付违约金，违约金不足以弥补</w:t>
      </w:r>
      <w:r>
        <w:rPr>
          <w:rFonts w:hint="eastAsia" w:ascii="仿宋" w:hAnsi="仿宋" w:eastAsia="仿宋" w:cs="仿宋"/>
          <w:b w:val="0"/>
          <w:bCs w:val="0"/>
          <w:sz w:val="28"/>
          <w:szCs w:val="28"/>
          <w:lang w:val="en-US" w:eastAsia="zh-CN"/>
        </w:rPr>
        <w:t>采购人</w:t>
      </w:r>
      <w:r>
        <w:rPr>
          <w:rFonts w:hint="eastAsia" w:ascii="仿宋" w:hAnsi="仿宋" w:eastAsia="仿宋" w:cs="仿宋"/>
          <w:b w:val="0"/>
          <w:bCs w:val="0"/>
          <w:snapToGrid w:val="0"/>
          <w:color w:val="000000"/>
          <w:kern w:val="0"/>
          <w:sz w:val="28"/>
          <w:szCs w:val="28"/>
          <w:lang w:val="en-US" w:eastAsia="zh-CN" w:bidi="ar-SA"/>
        </w:rPr>
        <w:t>损失的，</w:t>
      </w:r>
      <w:r>
        <w:rPr>
          <w:rFonts w:hint="eastAsia" w:ascii="仿宋" w:hAnsi="仿宋" w:eastAsia="仿宋" w:cs="仿宋"/>
          <w:b w:val="0"/>
          <w:bCs w:val="0"/>
          <w:snapToGrid w:val="0"/>
          <w:color w:val="000000"/>
          <w:kern w:val="0"/>
          <w:sz w:val="28"/>
          <w:szCs w:val="28"/>
          <w:lang w:val="en-US" w:eastAsia="zh-CN" w:bidi="ar-SA"/>
        </w:rPr>
        <w:t>成交人</w:t>
      </w:r>
      <w:r>
        <w:rPr>
          <w:rFonts w:hint="eastAsia" w:ascii="仿宋" w:hAnsi="仿宋" w:eastAsia="仿宋" w:cs="仿宋"/>
          <w:b w:val="0"/>
          <w:bCs w:val="0"/>
          <w:snapToGrid w:val="0"/>
          <w:color w:val="000000"/>
          <w:kern w:val="0"/>
          <w:sz w:val="28"/>
          <w:szCs w:val="28"/>
          <w:lang w:val="en-US" w:eastAsia="zh-CN" w:bidi="ar-SA"/>
        </w:rPr>
        <w:t>应赔偿采购人未能弥补的损失。</w:t>
      </w:r>
    </w:p>
    <w:p>
      <w:pPr>
        <w:spacing w:line="360" w:lineRule="auto"/>
        <w:ind w:firstLine="560" w:firstLineChars="200"/>
        <w:rPr>
          <w:rFonts w:hint="eastAsia" w:ascii="仿宋" w:hAnsi="仿宋" w:eastAsia="仿宋" w:cs="仿宋"/>
          <w:b w:val="0"/>
          <w:bCs w:val="0"/>
          <w:snapToGrid w:val="0"/>
          <w:color w:val="000000"/>
          <w:kern w:val="0"/>
          <w:sz w:val="28"/>
          <w:szCs w:val="28"/>
          <w:lang w:val="en-US" w:eastAsia="zh-CN" w:bidi="ar-SA"/>
        </w:rPr>
      </w:pPr>
      <w:r>
        <w:rPr>
          <w:rFonts w:hint="eastAsia" w:ascii="仿宋" w:hAnsi="仿宋" w:eastAsia="仿宋" w:cs="仿宋"/>
          <w:b w:val="0"/>
          <w:bCs w:val="0"/>
          <w:snapToGrid w:val="0"/>
          <w:color w:val="000000"/>
          <w:kern w:val="0"/>
          <w:sz w:val="28"/>
          <w:szCs w:val="28"/>
          <w:lang w:val="en-US" w:eastAsia="zh-CN" w:bidi="ar-SA"/>
        </w:rPr>
        <w:t>（3）因采购人违约导致成交人解除合同的，采购人除按成交人已开展工作支付相应费用外，还应按照技术服务报酬总额的10%向成交人支付违约金，违约金不足以弥补成交人损失的，采购人应赔偿成交人未能弥补的损失。</w:t>
      </w:r>
    </w:p>
    <w:p>
      <w:pPr>
        <w:pStyle w:val="2"/>
        <w:rPr>
          <w:rFonts w:hint="eastAsia"/>
        </w:rPr>
      </w:pPr>
    </w:p>
    <w:sectPr>
      <w:footerReference r:id="rId5"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43F7907"/>
    <w:rsid w:val="11666F49"/>
    <w:rsid w:val="11701755"/>
    <w:rsid w:val="14B61BFB"/>
    <w:rsid w:val="158775E0"/>
    <w:rsid w:val="15A02708"/>
    <w:rsid w:val="16322361"/>
    <w:rsid w:val="1BE069CA"/>
    <w:rsid w:val="1D631052"/>
    <w:rsid w:val="1E9A2F2C"/>
    <w:rsid w:val="1F1220B1"/>
    <w:rsid w:val="2A972868"/>
    <w:rsid w:val="2D1C1D90"/>
    <w:rsid w:val="2D3D2650"/>
    <w:rsid w:val="2D64246B"/>
    <w:rsid w:val="34341731"/>
    <w:rsid w:val="3D0E59F4"/>
    <w:rsid w:val="3D563BE9"/>
    <w:rsid w:val="423179A5"/>
    <w:rsid w:val="456F5F37"/>
    <w:rsid w:val="47DA0270"/>
    <w:rsid w:val="4B025EF0"/>
    <w:rsid w:val="4BD06395"/>
    <w:rsid w:val="4F075432"/>
    <w:rsid w:val="50275F04"/>
    <w:rsid w:val="52812ED5"/>
    <w:rsid w:val="53250D7D"/>
    <w:rsid w:val="55D909B9"/>
    <w:rsid w:val="567A22E3"/>
    <w:rsid w:val="593309E8"/>
    <w:rsid w:val="5CCB7A01"/>
    <w:rsid w:val="5F44415B"/>
    <w:rsid w:val="60844B35"/>
    <w:rsid w:val="61E44F1F"/>
    <w:rsid w:val="63823492"/>
    <w:rsid w:val="64D76173"/>
    <w:rsid w:val="66B32AC5"/>
    <w:rsid w:val="713E6E12"/>
    <w:rsid w:val="73377C4E"/>
    <w:rsid w:val="75C63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keepLines/>
      <w:spacing w:before="100" w:beforeLines="0" w:beforeAutospacing="0" w:after="90" w:afterLines="0" w:afterAutospacing="0" w:line="576" w:lineRule="auto"/>
      <w:outlineLvl w:val="0"/>
    </w:pPr>
    <w:rPr>
      <w:rFonts w:eastAsia="黑体"/>
      <w:b/>
      <w:kern w:val="44"/>
      <w:sz w:val="32"/>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semiHidden/>
    <w:qFormat/>
    <w:uiPriority w:val="0"/>
    <w:rPr>
      <w:rFonts w:ascii="Arial" w:hAnsi="Arial" w:eastAsia="Arial" w:cs="Arial"/>
      <w:sz w:val="21"/>
      <w:szCs w:val="21"/>
      <w:lang w:val="en-US" w:eastAsia="en-US" w:bidi="ar-SA"/>
    </w:rPr>
  </w:style>
  <w:style w:type="paragraph" w:customStyle="1" w:styleId="6">
    <w:name w:val="一级条标题"/>
    <w:basedOn w:val="7"/>
    <w:next w:val="8"/>
    <w:uiPriority w:val="0"/>
    <w:pPr>
      <w:spacing w:line="240" w:lineRule="auto"/>
      <w:ind w:left="420"/>
      <w:outlineLvl w:val="2"/>
    </w:pPr>
    <w:rPr>
      <w:rFonts w:ascii="Times New Roman" w:hAnsi="Times New Roman" w:eastAsia="宋体" w:cs="Times New Roman"/>
    </w:rPr>
  </w:style>
  <w:style w:type="paragraph" w:customStyle="1" w:styleId="7">
    <w:name w:val="章标题"/>
    <w:next w:val="1"/>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8">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9">
    <w:name w:val="Body Text First Indent"/>
    <w:basedOn w:val="5"/>
    <w:unhideWhenUsed/>
    <w:qFormat/>
    <w:uiPriority w:val="99"/>
    <w:pPr>
      <w:ind w:firstLine="420" w:firstLineChars="100"/>
    </w:pPr>
    <w:rPr>
      <w:rFonts w:ascii="Times New Roman" w:hAnsi="Times New Roman" w:eastAsia="宋体" w:cs="Times New Roman"/>
      <w:szCs w:val="20"/>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2024-09-24T03:39:00Z</dcterms:created>
  <dc:creator>37043</dc:creator>
  <cp:lastModifiedBy>杨晓华</cp:lastModifiedBy>
  <dcterms:modified xsi:type="dcterms:W3CDTF">2024-09-24T07:24:10Z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D73CAC6CEBB24BFF8400DB02197184EC</vt:lpwstr>
  </property>
</Properties>
</file>