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snapToGrid w:val="0"/>
        <w:spacing w:line="480" w:lineRule="auto"/>
        <w:ind w:firstLine="0" w:firstLineChars="0"/>
        <w:jc w:val="center"/>
        <w:rPr>
          <w:rFonts w:hint="eastAsia" w:ascii="宋体" w:hAnsi="宋体" w:eastAsia="宋体" w:cs="宋体"/>
          <w:b/>
          <w:bCs w:val="0"/>
          <w:sz w:val="52"/>
          <w:szCs w:val="52"/>
        </w:rPr>
      </w:pPr>
      <w:bookmarkStart w:id="0" w:name="_Toc274902993"/>
      <w:bookmarkStart w:id="1" w:name="_Toc244916004"/>
      <w:bookmarkStart w:id="2" w:name="_Toc371343936"/>
      <w:bookmarkStart w:id="3" w:name="_Toc339216643"/>
      <w:bookmarkStart w:id="4" w:name="_Toc274903054"/>
      <w:bookmarkStart w:id="5" w:name="_Toc339216642"/>
      <w:bookmarkStart w:id="6" w:name="_Toc371453819"/>
      <w:bookmarkStart w:id="7" w:name="_Toc323572795"/>
      <w:bookmarkStart w:id="8" w:name="_Toc371343937"/>
      <w:bookmarkStart w:id="9" w:name="_Toc371453820"/>
      <w:r>
        <w:rPr>
          <w:rFonts w:hint="eastAsia" w:ascii="宋体" w:hAnsi="宋体" w:eastAsia="宋体" w:cs="宋体"/>
          <w:b/>
          <w:bCs w:val="0"/>
          <w:sz w:val="52"/>
          <w:szCs w:val="52"/>
        </w:rPr>
        <w:t>广西电力线路器材厂</w:t>
      </w:r>
      <w:r>
        <w:rPr>
          <w:rFonts w:hint="eastAsia" w:ascii="宋体" w:hAnsi="宋体" w:eastAsia="宋体" w:cs="宋体"/>
          <w:b/>
          <w:bCs w:val="0"/>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both"/>
        <w:rPr>
          <w:rFonts w:hint="eastAsia" w:eastAsia="黑体"/>
          <w:b/>
          <w:color w:val="auto"/>
          <w:sz w:val="48"/>
          <w:szCs w:val="48"/>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2024年第二批废旧物资评估项目技术规范书</w:t>
      </w:r>
    </w:p>
    <w:p>
      <w:pPr>
        <w:spacing w:before="480" w:beforeLines="200" w:line="320" w:lineRule="exact"/>
        <w:jc w:val="both"/>
        <w:rPr>
          <w:rFonts w:hint="eastAsia" w:ascii="宋体" w:hAnsi="宋体" w:cs="宋体"/>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pPr>
        <w:ind w:firstLine="2249" w:firstLineChars="800"/>
        <w:rPr>
          <w:rFonts w:hint="eastAsia" w:ascii="宋体" w:hAnsi="宋体" w:eastAsia="宋体"/>
          <w:b/>
          <w:sz w:val="28"/>
          <w:szCs w:val="28"/>
          <w:lang w:eastAsia="zh-CN"/>
        </w:rPr>
      </w:pPr>
      <w:bookmarkStart w:id="10" w:name="_Toc371153697"/>
      <w:bookmarkStart w:id="11" w:name="_Toc369269815"/>
      <w:bookmarkStart w:id="12" w:name="_Toc371344042"/>
      <w:bookmarkStart w:id="13" w:name="_Toc372699294"/>
      <w:bookmarkStart w:id="14" w:name="_Toc399839020"/>
      <w:r>
        <w:rPr>
          <w:rFonts w:hint="eastAsia" w:ascii="宋体" w:hAnsi="宋体" w:eastAsia="宋体"/>
          <w:b/>
          <w:sz w:val="28"/>
          <w:szCs w:val="28"/>
          <w:lang w:eastAsia="zh-CN"/>
        </w:rPr>
        <w:t>广西电力线路器材厂有限责任公司</w:t>
      </w:r>
    </w:p>
    <w:p>
      <w:pPr>
        <w:ind w:firstLine="3092" w:firstLineChars="1100"/>
        <w:jc w:val="both"/>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24</w:t>
      </w:r>
      <w:r>
        <w:rPr>
          <w:rFonts w:ascii="宋体" w:hAnsi="宋体"/>
          <w:b/>
          <w:sz w:val="28"/>
          <w:szCs w:val="28"/>
        </w:rPr>
        <w:t>年</w:t>
      </w:r>
      <w:r>
        <w:rPr>
          <w:rFonts w:hint="eastAsia" w:ascii="宋体" w:hAnsi="宋体"/>
          <w:b/>
          <w:sz w:val="28"/>
          <w:szCs w:val="28"/>
          <w:lang w:val="en-US" w:eastAsia="zh-CN"/>
        </w:rPr>
        <w:t>9</w:t>
      </w:r>
      <w:r>
        <w:rPr>
          <w:rFonts w:ascii="宋体" w:hAnsi="宋体"/>
          <w:b/>
          <w:sz w:val="28"/>
          <w:szCs w:val="28"/>
        </w:rPr>
        <w:t>月</w:t>
      </w:r>
      <w:r>
        <w:rPr>
          <w:rFonts w:hint="eastAsia" w:ascii="宋体" w:hAnsi="宋体"/>
          <w:b/>
          <w:sz w:val="28"/>
          <w:szCs w:val="28"/>
          <w:lang w:val="en-US" w:eastAsia="zh-CN"/>
        </w:rPr>
        <w:t>13</w:t>
      </w:r>
      <w:r>
        <w:rPr>
          <w:rFonts w:hint="eastAsia" w:ascii="宋体" w:hAnsi="宋体"/>
          <w:b/>
          <w:sz w:val="28"/>
          <w:szCs w:val="28"/>
        </w:rPr>
        <w:t>日</w:t>
      </w:r>
    </w:p>
    <w:p>
      <w:pPr>
        <w:numPr>
          <w:ilvl w:val="0"/>
          <w:numId w:val="0"/>
        </w:numPr>
        <w:adjustRightInd w:val="0"/>
        <w:snapToGrid w:val="0"/>
        <w:spacing w:line="360" w:lineRule="auto"/>
        <w:rPr>
          <w:rFonts w:hint="eastAsia" w:ascii="宋体" w:hAnsi="宋体"/>
          <w:b/>
          <w:bCs/>
          <w:color w:val="auto"/>
          <w:sz w:val="24"/>
          <w:highlight w:val="none"/>
          <w:lang w:val="en-US" w:eastAsia="zh-CN"/>
        </w:rPr>
      </w:pPr>
    </w:p>
    <w:p>
      <w:pPr>
        <w:numPr>
          <w:ilvl w:val="0"/>
          <w:numId w:val="0"/>
        </w:num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广西电力线路器材厂有限责任公司2024年第二批废旧物资评估零星采购项目。</w:t>
      </w:r>
    </w:p>
    <w:p>
      <w:pPr>
        <w:numPr>
          <w:ilvl w:val="0"/>
          <w:numId w:val="0"/>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numPr>
          <w:ilvl w:val="0"/>
          <w:numId w:val="0"/>
        </w:numPr>
        <w:adjustRightInd w:val="0"/>
        <w:snapToGrid w:val="0"/>
        <w:spacing w:line="360" w:lineRule="auto"/>
        <w:ind w:firstLine="481"/>
        <w:rPr>
          <w:rFonts w:hint="default" w:ascii="宋体" w:hAnsi="宋体"/>
          <w:b w:val="0"/>
          <w:bCs w:val="0"/>
          <w:color w:val="auto"/>
          <w:sz w:val="24"/>
          <w:highlight w:val="none"/>
          <w:lang w:val="en-US" w:eastAsia="zh-CN"/>
        </w:rPr>
      </w:pPr>
      <w:r>
        <w:rPr>
          <w:rFonts w:hint="eastAsia"/>
          <w:w w:val="100"/>
          <w:sz w:val="24"/>
          <w:lang w:val="en-US" w:eastAsia="zh-CN"/>
        </w:rPr>
        <w:t>我公司现有一批生产过程产生的废旧物资，预计数量：废钢（边角料）220吨，废杂铁（铁屑氧割铁渣等）70吨，已审批通过进行处置</w:t>
      </w:r>
      <w:r>
        <w:rPr>
          <w:rFonts w:hint="eastAsia"/>
          <w:w w:val="100"/>
          <w:sz w:val="24"/>
          <w:lang w:eastAsia="zh-CN"/>
        </w:rPr>
        <w:t>，</w:t>
      </w:r>
      <w:r>
        <w:rPr>
          <w:rFonts w:hint="eastAsia" w:ascii="宋体" w:hAnsi="宋体"/>
          <w:b w:val="0"/>
          <w:bCs w:val="0"/>
          <w:color w:val="auto"/>
          <w:sz w:val="24"/>
          <w:highlight w:val="none"/>
          <w:lang w:val="en-US" w:eastAsia="zh-CN"/>
        </w:rPr>
        <w:t>按处置相关要求，现进行该</w:t>
      </w:r>
      <w:r>
        <w:rPr>
          <w:rFonts w:hint="eastAsia" w:ascii="宋体" w:hAnsi="宋体"/>
          <w:color w:val="auto"/>
          <w:sz w:val="24"/>
          <w:highlight w:val="none"/>
          <w:lang w:val="en-US" w:eastAsia="zh-CN"/>
        </w:rPr>
        <w:t>批废旧物资评估</w:t>
      </w:r>
      <w:r>
        <w:rPr>
          <w:rFonts w:hint="eastAsia" w:ascii="宋体" w:hAnsi="宋体"/>
          <w:b w:val="0"/>
          <w:bCs w:val="0"/>
          <w:color w:val="auto"/>
          <w:sz w:val="24"/>
          <w:highlight w:val="none"/>
          <w:lang w:val="en-US" w:eastAsia="zh-CN"/>
        </w:rPr>
        <w:t>服务采购。</w:t>
      </w:r>
    </w:p>
    <w:p>
      <w:pPr>
        <w:numPr>
          <w:ilvl w:val="0"/>
          <w:numId w:val="3"/>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numPr>
          <w:ilvl w:val="0"/>
          <w:numId w:val="0"/>
        </w:numPr>
        <w:adjustRightInd w:val="0"/>
        <w:snapToGrid w:val="0"/>
        <w:spacing w:line="360" w:lineRule="auto"/>
        <w:ind w:firstLine="481"/>
        <w:rPr>
          <w:rFonts w:hint="eastAsia" w:ascii="Times New Roman" w:hAnsi="Times New Roman" w:eastAsia="宋体" w:cs="Times New Roman"/>
          <w:w w:val="100"/>
          <w:sz w:val="24"/>
          <w:lang w:val="en-US" w:eastAsia="zh-CN"/>
        </w:rPr>
      </w:pPr>
      <w:r>
        <w:rPr>
          <w:rFonts w:hint="eastAsia" w:ascii="Times New Roman" w:hAnsi="Times New Roman" w:eastAsia="宋体" w:cs="Times New Roman"/>
          <w:w w:val="100"/>
          <w:sz w:val="24"/>
          <w:lang w:val="en-US" w:eastAsia="zh-CN"/>
        </w:rPr>
        <w:t>一批生产过程产生的废旧物资，预计数量：废钢（边角料）220吨，废杂铁（铁屑氧割铁渣等）70吨，现进行评估服务，</w:t>
      </w:r>
      <w:r>
        <w:rPr>
          <w:rFonts w:hint="eastAsia" w:ascii="宋体" w:hAnsi="宋体" w:eastAsia="宋体" w:cs="宋体"/>
          <w:b w:val="0"/>
          <w:bCs/>
          <w:sz w:val="24"/>
          <w:szCs w:val="24"/>
          <w:lang w:val="en-US" w:eastAsia="zh-CN"/>
        </w:rPr>
        <w:t>负责出评估报告等</w:t>
      </w:r>
      <w:r>
        <w:rPr>
          <w:rFonts w:hint="eastAsia" w:ascii="Times New Roman" w:hAnsi="Times New Roman" w:eastAsia="宋体" w:cs="Times New Roman"/>
          <w:w w:val="100"/>
          <w:sz w:val="24"/>
          <w:lang w:val="en-US" w:eastAsia="zh-CN"/>
        </w:rPr>
        <w:t>。</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4、采购方式</w:t>
      </w:r>
    </w:p>
    <w:p>
      <w:pPr>
        <w:adjustRightInd w:val="0"/>
        <w:snapToGrid w:val="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零星采购</w:t>
      </w:r>
    </w:p>
    <w:p>
      <w:pPr>
        <w:adjustRightInd w:val="0"/>
        <w:snapToGrid w:val="0"/>
        <w:spacing w:line="360" w:lineRule="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5、</w:t>
      </w:r>
      <w:r>
        <w:rPr>
          <w:rFonts w:hint="eastAsia" w:ascii="宋体" w:hAnsi="宋体" w:eastAsia="宋体"/>
          <w:b/>
          <w:bCs/>
          <w:color w:val="auto"/>
          <w:sz w:val="24"/>
          <w:highlight w:val="none"/>
          <w:lang w:val="en-US" w:eastAsia="zh-CN"/>
        </w:rPr>
        <w:t>项目类别</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服务</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资质要求</w:t>
      </w:r>
    </w:p>
    <w:tbl>
      <w:tblPr>
        <w:tblStyle w:val="22"/>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4.5</w:t>
            </w:r>
          </w:p>
        </w:tc>
        <w:tc>
          <w:tcPr>
            <w:tcW w:w="7229" w:type="dxa"/>
            <w:vAlign w:val="center"/>
          </w:tcPr>
          <w:p>
            <w:pPr>
              <w:ind w:left="113" w:leftChars="0"/>
              <w:rPr>
                <w:rFonts w:hint="eastAsia" w:ascii="宋体" w:hAnsi="宋体" w:eastAsia="宋体"/>
                <w:sz w:val="24"/>
                <w:highlight w:val="none"/>
                <w:lang w:val="en-US" w:eastAsia="zh-CN"/>
              </w:rPr>
            </w:pPr>
            <w:r>
              <w:rPr>
                <w:rFonts w:hint="eastAsia" w:ascii="宋体" w:hAnsi="宋体"/>
                <w:sz w:val="24"/>
                <w:highlight w:val="none"/>
                <w:lang w:val="en-US" w:eastAsia="zh-CN"/>
              </w:rPr>
              <w:t>南方</w:t>
            </w:r>
            <w:r>
              <w:rPr>
                <w:rFonts w:hint="default" w:ascii="宋体" w:hAnsi="宋体" w:eastAsia="宋体"/>
                <w:sz w:val="24"/>
                <w:highlight w:val="none"/>
                <w:lang w:val="en-US"/>
              </w:rPr>
              <w:t>电网公司2024年度资产评估服务品类资格预审合格</w:t>
            </w:r>
            <w:r>
              <w:rPr>
                <w:rFonts w:hint="eastAsia" w:ascii="宋体" w:hAnsi="宋体"/>
                <w:sz w:val="24"/>
                <w:highlight w:val="none"/>
                <w:lang w:val="en-US" w:eastAsia="zh-CN"/>
              </w:rPr>
              <w:t>公司。</w:t>
            </w:r>
          </w:p>
        </w:tc>
      </w:tr>
    </w:tbl>
    <w:p>
      <w:pPr>
        <w:adjustRightInd w:val="0"/>
        <w:snapToGrid w:val="0"/>
        <w:spacing w:line="360" w:lineRule="auto"/>
        <w:rPr>
          <w:rFonts w:hint="eastAsia" w:ascii="宋体" w:hAnsi="宋体"/>
          <w:b/>
          <w:bCs/>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7、供应商需提供证明文件</w:t>
      </w:r>
    </w:p>
    <w:p>
      <w:pPr>
        <w:adjustRightInd w:val="0"/>
        <w:snapToGrid w:val="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sz w:val="24"/>
          <w:highlight w:val="none"/>
          <w:lang w:val="en-US" w:eastAsia="zh-CN"/>
        </w:rPr>
        <w:t>资产评估资格证书及南方</w:t>
      </w:r>
      <w:r>
        <w:rPr>
          <w:rFonts w:hint="default" w:ascii="宋体" w:hAnsi="宋体" w:eastAsia="宋体"/>
          <w:sz w:val="24"/>
          <w:highlight w:val="none"/>
          <w:lang w:val="en-US"/>
        </w:rPr>
        <w:t>电网公司</w:t>
      </w:r>
      <w:r>
        <w:rPr>
          <w:rFonts w:hint="eastAsia" w:ascii="宋体" w:hAnsi="宋体"/>
          <w:sz w:val="24"/>
          <w:highlight w:val="none"/>
          <w:lang w:val="en-US" w:eastAsia="zh-CN"/>
        </w:rPr>
        <w:t>2024年度资产评估服务品类资格预审合格</w:t>
      </w:r>
      <w:r>
        <w:rPr>
          <w:rFonts w:hint="eastAsia" w:ascii="宋体" w:hAnsi="宋体"/>
          <w:color w:val="auto"/>
          <w:sz w:val="24"/>
          <w:highlight w:val="none"/>
          <w:lang w:val="en-US" w:eastAsia="zh-CN"/>
        </w:rPr>
        <w:t>证明材料</w:t>
      </w:r>
      <w:r>
        <w:rPr>
          <w:rFonts w:hint="eastAsia" w:ascii="宋体" w:hAnsi="宋体" w:eastAsia="宋体"/>
          <w:color w:val="auto"/>
          <w:sz w:val="24"/>
          <w:highlight w:val="none"/>
          <w:lang w:val="en-US" w:eastAsia="zh-CN"/>
        </w:rPr>
        <w:t>。</w:t>
      </w:r>
      <w:bookmarkStart w:id="15" w:name="_GoBack"/>
      <w:bookmarkEnd w:id="15"/>
    </w:p>
    <w:p>
      <w:pPr>
        <w:adjustRightInd w:val="0"/>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8、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p>
      <w:pPr>
        <w:adjustRightInd w:val="0"/>
        <w:snapToGrid w:val="0"/>
        <w:spacing w:line="360" w:lineRule="auto"/>
        <w:rPr>
          <w:rFonts w:hint="eastAsia" w:ascii="宋体" w:hAnsi="宋体"/>
          <w:b/>
          <w:bCs/>
          <w:color w:val="auto"/>
          <w:sz w:val="24"/>
          <w:highlight w:val="none"/>
        </w:rPr>
      </w:pPr>
    </w:p>
    <w:tbl>
      <w:tblPr>
        <w:tblStyle w:val="21"/>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4"/>
                <w:highlight w:val="none"/>
              </w:rPr>
            </w:pPr>
            <w:r>
              <w:rPr>
                <w:rFonts w:hint="eastAsia" w:ascii="宋体" w:hAnsi="宋体" w:eastAsia="宋体"/>
                <w:sz w:val="24"/>
                <w:highlight w:val="none"/>
              </w:rPr>
              <w:t>1</w:t>
            </w:r>
          </w:p>
        </w:tc>
        <w:tc>
          <w:tcPr>
            <w:tcW w:w="2723"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default" w:ascii="宋体" w:hAnsi="宋体" w:eastAsia="宋体"/>
                <w:sz w:val="24"/>
                <w:highlight w:val="none"/>
                <w:lang w:val="en-US" w:eastAsia="zh-CN"/>
              </w:rPr>
              <w:t>2024年第二批废旧物资评估项目</w:t>
            </w:r>
          </w:p>
        </w:tc>
        <w:tc>
          <w:tcPr>
            <w:tcW w:w="2070" w:type="dxa"/>
            <w:tcBorders>
              <w:tl2br w:val="nil"/>
              <w:tr2bl w:val="nil"/>
            </w:tcBorders>
            <w:shd w:val="clear" w:color="auto" w:fill="auto"/>
            <w:vAlign w:val="center"/>
          </w:tcPr>
          <w:p>
            <w:pPr>
              <w:rPr>
                <w:rFonts w:hint="default" w:ascii="宋体" w:hAnsi="宋体" w:eastAsia="宋体"/>
                <w:sz w:val="24"/>
                <w:highlight w:val="none"/>
                <w:lang w:val="en-US" w:eastAsia="zh-CN"/>
              </w:rPr>
            </w:pPr>
            <w:r>
              <w:rPr>
                <w:rFonts w:hint="default"/>
                <w:vertAlign w:val="baseline"/>
                <w:lang w:val="en-US" w:eastAsia="zh-CN"/>
              </w:rPr>
              <w:t>广西宾阳县黎塘镇永安东路224-4号</w:t>
            </w:r>
          </w:p>
        </w:tc>
        <w:tc>
          <w:tcPr>
            <w:tcW w:w="1088" w:type="dxa"/>
            <w:tcBorders>
              <w:tl2br w:val="nil"/>
              <w:tr2bl w:val="nil"/>
            </w:tcBorders>
            <w:shd w:val="clear" w:color="auto" w:fill="auto"/>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6000.00</w:t>
            </w:r>
          </w:p>
        </w:tc>
        <w:tc>
          <w:tcPr>
            <w:tcW w:w="1159"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服务期限1年</w:t>
            </w:r>
          </w:p>
        </w:tc>
      </w:tr>
      <w:bookmarkEnd w:id="10"/>
      <w:bookmarkEnd w:id="11"/>
      <w:bookmarkEnd w:id="12"/>
      <w:bookmarkEnd w:id="13"/>
      <w:bookmarkEnd w:id="14"/>
    </w:tbl>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提供真实有效的6%增值税专用发票。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 </w:t>
      </w:r>
      <w:r>
        <w:rPr>
          <w:rFonts w:hint="eastAsia" w:ascii="宋体" w:hAnsi="宋体" w:cs="宋体"/>
          <w:b/>
          <w:bCs/>
          <w:color w:val="auto"/>
          <w:sz w:val="24"/>
          <w:highlight w:val="none"/>
        </w:rPr>
        <w:t>报价文件格式要求</w:t>
      </w:r>
    </w:p>
    <w:p>
      <w:pPr>
        <w:adjustRightInd w:val="0"/>
        <w:snapToGrid w:val="0"/>
        <w:spacing w:line="360" w:lineRule="auto"/>
        <w:rPr>
          <w:rFonts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sz w:val="24"/>
          <w:highlight w:val="none"/>
          <w:lang w:val="en-US" w:eastAsia="zh-CN"/>
        </w:rPr>
        <w:t>资产评估资格证书及南方</w:t>
      </w:r>
      <w:r>
        <w:rPr>
          <w:rFonts w:hint="default" w:ascii="宋体" w:hAnsi="宋体" w:eastAsia="宋体"/>
          <w:sz w:val="24"/>
          <w:highlight w:val="none"/>
          <w:lang w:val="en-US"/>
        </w:rPr>
        <w:t>电网公司</w:t>
      </w:r>
      <w:r>
        <w:rPr>
          <w:rFonts w:hint="eastAsia" w:ascii="宋体" w:hAnsi="宋体"/>
          <w:sz w:val="24"/>
          <w:highlight w:val="none"/>
          <w:lang w:val="en-US" w:eastAsia="zh-CN"/>
        </w:rPr>
        <w:t>2024年度资产评估服务品类资格预审合格</w:t>
      </w:r>
      <w:r>
        <w:rPr>
          <w:rFonts w:hint="eastAsia" w:ascii="宋体" w:hAnsi="宋体"/>
          <w:color w:val="auto"/>
          <w:sz w:val="24"/>
          <w:highlight w:val="none"/>
          <w:lang w:val="en-US" w:eastAsia="zh-CN"/>
        </w:rPr>
        <w:t>证明材料</w:t>
      </w:r>
      <w:r>
        <w:rPr>
          <w:rFonts w:hint="eastAsia" w:ascii="宋体" w:hAnsi="宋体" w:eastAsia="宋体"/>
          <w:color w:val="auto"/>
          <w:sz w:val="24"/>
          <w:highlight w:val="none"/>
          <w:lang w:val="en-US" w:eastAsia="zh-CN"/>
        </w:rPr>
        <w:t>。</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彩色</w:t>
      </w:r>
      <w:r>
        <w:rPr>
          <w:rFonts w:hint="eastAsia" w:ascii="宋体" w:hAnsi="宋体" w:cs="宋体"/>
          <w:color w:val="auto"/>
          <w:sz w:val="24"/>
          <w:highlight w:val="none"/>
        </w:rPr>
        <w:t>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项目名称：广西电力线路器材厂有限责任公司2024年第二批废旧物资评估零星采购项目</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1"/>
        <w:tblpPr w:leftFromText="180" w:rightFromText="180" w:vertAnchor="text" w:horzAnchor="page" w:tblpX="1165" w:tblpY="244"/>
        <w:tblOverlap w:val="never"/>
        <w:tblW w:w="10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93"/>
        <w:gridCol w:w="1757"/>
        <w:gridCol w:w="1210"/>
        <w:gridCol w:w="1146"/>
        <w:gridCol w:w="1275"/>
        <w:gridCol w:w="1380"/>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35" w:type="dxa"/>
            <w:vAlign w:val="center"/>
          </w:tcPr>
          <w:p>
            <w:pPr>
              <w:widowControl/>
              <w:spacing w:line="360" w:lineRule="exact"/>
              <w:jc w:val="center"/>
              <w:rPr>
                <w:rFonts w:ascii="宋体" w:hAnsi="宋体" w:cs="宋体"/>
                <w:b/>
                <w:bCs/>
                <w:kern w:val="0"/>
                <w:sz w:val="24"/>
              </w:rPr>
            </w:pPr>
            <w:r>
              <w:rPr>
                <w:rFonts w:hint="eastAsia" w:ascii="宋体" w:hAnsi="宋体" w:cs="宋体"/>
                <w:b/>
                <w:bCs/>
                <w:kern w:val="0"/>
                <w:sz w:val="24"/>
              </w:rPr>
              <w:t>序号</w:t>
            </w:r>
          </w:p>
        </w:tc>
        <w:tc>
          <w:tcPr>
            <w:tcW w:w="1393" w:type="dxa"/>
            <w:vAlign w:val="center"/>
          </w:tcPr>
          <w:p>
            <w:pPr>
              <w:keepNext w:val="0"/>
              <w:keepLines w:val="0"/>
              <w:widowControl/>
              <w:suppressLineNumbers w:val="0"/>
              <w:jc w:val="center"/>
              <w:textAlignment w:val="center"/>
              <w:rPr>
                <w:rFonts w:ascii="宋体" w:hAnsi="宋体" w:cs="宋体"/>
                <w:b/>
                <w:bCs/>
                <w:kern w:val="0"/>
                <w:sz w:val="24"/>
              </w:rPr>
            </w:pPr>
            <w:r>
              <w:rPr>
                <w:rFonts w:hint="eastAsia" w:ascii="宋体" w:hAnsi="宋体" w:eastAsia="宋体" w:cs="宋体"/>
                <w:i w:val="0"/>
                <w:iCs w:val="0"/>
                <w:color w:val="000000"/>
                <w:kern w:val="0"/>
                <w:sz w:val="22"/>
                <w:szCs w:val="22"/>
                <w:u w:val="none"/>
                <w:lang w:val="en-US" w:eastAsia="zh-CN" w:bidi="ar"/>
              </w:rPr>
              <w:t>名   称</w:t>
            </w:r>
          </w:p>
        </w:tc>
        <w:tc>
          <w:tcPr>
            <w:tcW w:w="1757" w:type="dxa"/>
            <w:vAlign w:val="center"/>
          </w:tcPr>
          <w:p>
            <w:pPr>
              <w:keepNext w:val="0"/>
              <w:keepLines w:val="0"/>
              <w:widowControl/>
              <w:suppressLineNumbers w:val="0"/>
              <w:jc w:val="center"/>
              <w:textAlignment w:val="center"/>
              <w:rPr>
                <w:rFonts w:hint="default" w:ascii="宋体" w:hAnsi="宋体" w:cs="宋体"/>
                <w:b/>
                <w:bCs/>
                <w:kern w:val="0"/>
                <w:sz w:val="24"/>
                <w:lang w:val="en-US"/>
              </w:rPr>
            </w:pPr>
            <w:r>
              <w:rPr>
                <w:rFonts w:hint="eastAsia" w:ascii="宋体" w:hAnsi="宋体" w:cs="宋体"/>
                <w:i w:val="0"/>
                <w:iCs w:val="0"/>
                <w:color w:val="000000"/>
                <w:kern w:val="0"/>
                <w:sz w:val="22"/>
                <w:szCs w:val="22"/>
                <w:u w:val="none"/>
                <w:lang w:val="en-US" w:eastAsia="zh-CN" w:bidi="ar"/>
              </w:rPr>
              <w:t>评估物资类别</w:t>
            </w:r>
          </w:p>
        </w:tc>
        <w:tc>
          <w:tcPr>
            <w:tcW w:w="1210" w:type="dxa"/>
            <w:vAlign w:val="center"/>
          </w:tcPr>
          <w:p>
            <w:pPr>
              <w:keepNext w:val="0"/>
              <w:keepLines w:val="0"/>
              <w:widowControl/>
              <w:suppressLineNumbers w:val="0"/>
              <w:jc w:val="center"/>
              <w:textAlignment w:val="center"/>
              <w:rPr>
                <w:rFonts w:hint="default" w:ascii="宋体" w:hAnsi="宋体" w:cs="宋体"/>
                <w:b/>
                <w:bCs/>
                <w:kern w:val="0"/>
                <w:sz w:val="24"/>
                <w:lang w:val="en-US"/>
              </w:rPr>
            </w:pPr>
            <w:r>
              <w:rPr>
                <w:rFonts w:hint="eastAsia" w:ascii="宋体" w:hAnsi="宋体" w:eastAsia="宋体" w:cs="宋体"/>
                <w:i w:val="0"/>
                <w:iCs w:val="0"/>
                <w:color w:val="000000"/>
                <w:kern w:val="0"/>
                <w:sz w:val="22"/>
                <w:szCs w:val="22"/>
                <w:u w:val="none"/>
                <w:lang w:val="en-US" w:eastAsia="zh-CN" w:bidi="ar"/>
              </w:rPr>
              <w:t>单位</w:t>
            </w:r>
          </w:p>
        </w:tc>
        <w:tc>
          <w:tcPr>
            <w:tcW w:w="1146" w:type="dxa"/>
            <w:vAlign w:val="center"/>
          </w:tcPr>
          <w:p>
            <w:pPr>
              <w:keepNext w:val="0"/>
              <w:keepLines w:val="0"/>
              <w:widowControl/>
              <w:suppressLineNumbers w:val="0"/>
              <w:jc w:val="center"/>
              <w:textAlignment w:val="center"/>
              <w:rPr>
                <w:rFonts w:hint="eastAsia" w:ascii="宋体" w:hAnsi="宋体" w:cs="宋体"/>
                <w:b/>
                <w:bCs/>
                <w:kern w:val="0"/>
                <w:sz w:val="24"/>
              </w:rPr>
            </w:pPr>
            <w:r>
              <w:rPr>
                <w:rFonts w:hint="eastAsia" w:ascii="宋体" w:hAnsi="宋体" w:eastAsia="宋体" w:cs="宋体"/>
                <w:i w:val="0"/>
                <w:iCs w:val="0"/>
                <w:color w:val="000000"/>
                <w:kern w:val="0"/>
                <w:sz w:val="22"/>
                <w:szCs w:val="22"/>
                <w:u w:val="none"/>
                <w:lang w:val="en-US" w:eastAsia="zh-CN" w:bidi="ar"/>
              </w:rPr>
              <w:t>数量</w:t>
            </w:r>
          </w:p>
        </w:tc>
        <w:tc>
          <w:tcPr>
            <w:tcW w:w="1275" w:type="dxa"/>
            <w:vAlign w:val="center"/>
          </w:tcPr>
          <w:p>
            <w:pPr>
              <w:widowControl/>
              <w:spacing w:line="360" w:lineRule="exact"/>
              <w:jc w:val="left"/>
              <w:rPr>
                <w:rFonts w:ascii="宋体" w:hAnsi="宋体" w:cs="宋体"/>
                <w:b/>
                <w:bCs/>
                <w:kern w:val="0"/>
                <w:sz w:val="24"/>
              </w:rPr>
            </w:pPr>
            <w:r>
              <w:rPr>
                <w:rFonts w:hint="eastAsia" w:ascii="宋体" w:hAnsi="宋体" w:cs="宋体"/>
                <w:b/>
                <w:bCs/>
                <w:kern w:val="0"/>
                <w:sz w:val="24"/>
                <w:lang w:val="en-US" w:eastAsia="zh-CN"/>
              </w:rPr>
              <w:t>单价（元）</w:t>
            </w:r>
          </w:p>
        </w:tc>
        <w:tc>
          <w:tcPr>
            <w:tcW w:w="1380" w:type="dxa"/>
            <w:vAlign w:val="center"/>
          </w:tcPr>
          <w:p>
            <w:pPr>
              <w:widowControl/>
              <w:spacing w:line="360" w:lineRule="exact"/>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总价（元）</w:t>
            </w:r>
          </w:p>
        </w:tc>
        <w:tc>
          <w:tcPr>
            <w:tcW w:w="1380"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2"/>
                <w:sz w:val="28"/>
                <w:szCs w:val="28"/>
                <w:u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rPr>
        <w:tc>
          <w:tcPr>
            <w:tcW w:w="735" w:type="dxa"/>
            <w:vAlign w:val="center"/>
          </w:tcPr>
          <w:p>
            <w:pPr>
              <w:widowControl/>
              <w:spacing w:line="360" w:lineRule="exact"/>
              <w:jc w:val="center"/>
              <w:rPr>
                <w:rFonts w:hint="default" w:ascii="宋体" w:hAnsi="宋体" w:eastAsia="宋体" w:cs="宋体"/>
                <w:kern w:val="0"/>
                <w:sz w:val="28"/>
                <w:szCs w:val="28"/>
                <w:lang w:val="en-US" w:eastAsia="zh-CN"/>
              </w:rPr>
            </w:pPr>
            <w:r>
              <w:rPr>
                <w:rFonts w:hint="eastAsia" w:ascii="宋体" w:hAnsi="宋体" w:cs="宋体"/>
                <w:kern w:val="0"/>
                <w:sz w:val="28"/>
                <w:szCs w:val="28"/>
                <w:lang w:val="en-US" w:eastAsia="zh-CN"/>
              </w:rPr>
              <w:t>1</w:t>
            </w:r>
          </w:p>
        </w:tc>
        <w:tc>
          <w:tcPr>
            <w:tcW w:w="1393" w:type="dxa"/>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废旧物资</w:t>
            </w:r>
          </w:p>
          <w:p>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sz w:val="24"/>
                <w:szCs w:val="24"/>
                <w:lang w:val="en-US" w:eastAsia="zh-CN"/>
              </w:rPr>
              <w:t>资产评估费</w:t>
            </w:r>
          </w:p>
        </w:tc>
        <w:tc>
          <w:tcPr>
            <w:tcW w:w="1757"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废钢（边角料）</w:t>
            </w:r>
            <w:r>
              <w:rPr>
                <w:rFonts w:hint="eastAsia" w:ascii="宋体" w:hAnsi="宋体" w:cs="宋体"/>
                <w:kern w:val="0"/>
                <w:sz w:val="24"/>
                <w:szCs w:val="24"/>
                <w:lang w:val="en-US" w:eastAsia="zh-CN"/>
              </w:rPr>
              <w:t>约220</w:t>
            </w:r>
            <w:r>
              <w:rPr>
                <w:rFonts w:hint="eastAsia" w:ascii="宋体" w:hAnsi="宋体" w:cs="宋体"/>
                <w:i w:val="0"/>
                <w:iCs w:val="0"/>
                <w:color w:val="000000"/>
                <w:kern w:val="0"/>
                <w:sz w:val="24"/>
                <w:szCs w:val="24"/>
                <w:u w:val="none"/>
                <w:lang w:val="en-US" w:eastAsia="zh-CN" w:bidi="ar"/>
              </w:rPr>
              <w:t>吨；</w:t>
            </w:r>
            <w:r>
              <w:rPr>
                <w:rFonts w:hint="eastAsia" w:ascii="宋体" w:hAnsi="宋体" w:cs="宋体"/>
                <w:i w:val="0"/>
                <w:iCs w:val="0"/>
                <w:color w:val="000000"/>
                <w:kern w:val="2"/>
                <w:sz w:val="24"/>
                <w:szCs w:val="24"/>
                <w:u w:val="none"/>
                <w:lang w:val="en-US" w:eastAsia="zh-CN" w:bidi="ar-SA"/>
              </w:rPr>
              <w:t>废杂铁（铁屑氧割铁渣）</w:t>
            </w:r>
            <w:r>
              <w:rPr>
                <w:rFonts w:hint="eastAsia" w:ascii="宋体" w:hAnsi="宋体" w:cs="宋体"/>
                <w:kern w:val="0"/>
                <w:sz w:val="24"/>
                <w:szCs w:val="24"/>
                <w:lang w:val="en-US" w:eastAsia="zh-CN"/>
              </w:rPr>
              <w:t>约70</w:t>
            </w:r>
            <w:r>
              <w:rPr>
                <w:rFonts w:hint="eastAsia" w:ascii="宋体" w:hAnsi="宋体" w:cs="宋体"/>
                <w:i w:val="0"/>
                <w:iCs w:val="0"/>
                <w:color w:val="000000"/>
                <w:kern w:val="0"/>
                <w:sz w:val="24"/>
                <w:szCs w:val="24"/>
                <w:u w:val="none"/>
                <w:lang w:val="en-US" w:eastAsia="zh-CN" w:bidi="ar"/>
              </w:rPr>
              <w:t>吨</w:t>
            </w:r>
          </w:p>
        </w:tc>
        <w:tc>
          <w:tcPr>
            <w:tcW w:w="1210" w:type="dxa"/>
            <w:vAlign w:val="center"/>
          </w:tcPr>
          <w:p>
            <w:pPr>
              <w:keepNext w:val="0"/>
              <w:keepLines w:val="0"/>
              <w:widowControl/>
              <w:suppressLineNumbers w:val="0"/>
              <w:jc w:val="center"/>
              <w:textAlignment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项</w:t>
            </w:r>
          </w:p>
        </w:tc>
        <w:tc>
          <w:tcPr>
            <w:tcW w:w="1146" w:type="dxa"/>
            <w:vAlign w:val="center"/>
          </w:tcPr>
          <w:p>
            <w:pPr>
              <w:keepNext w:val="0"/>
              <w:keepLines w:val="0"/>
              <w:widowControl/>
              <w:suppressLineNumbers w:val="0"/>
              <w:jc w:val="center"/>
              <w:textAlignment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w:t>
            </w:r>
          </w:p>
        </w:tc>
        <w:tc>
          <w:tcPr>
            <w:tcW w:w="1275" w:type="dxa"/>
            <w:vAlign w:val="center"/>
          </w:tcPr>
          <w:p>
            <w:pPr>
              <w:widowControl/>
              <w:spacing w:line="360" w:lineRule="exact"/>
              <w:jc w:val="center"/>
              <w:rPr>
                <w:rFonts w:hint="default" w:ascii="宋体" w:hAnsi="宋体" w:eastAsia="宋体" w:cs="宋体"/>
                <w:kern w:val="0"/>
                <w:sz w:val="24"/>
                <w:szCs w:val="24"/>
                <w:lang w:val="en-US" w:eastAsia="zh-CN"/>
              </w:rPr>
            </w:pPr>
          </w:p>
        </w:tc>
        <w:tc>
          <w:tcPr>
            <w:tcW w:w="1380" w:type="dxa"/>
            <w:vAlign w:val="center"/>
          </w:tcPr>
          <w:p>
            <w:pPr>
              <w:widowControl/>
              <w:spacing w:line="360" w:lineRule="exact"/>
              <w:jc w:val="center"/>
              <w:rPr>
                <w:rFonts w:hint="default" w:ascii="宋体" w:hAnsi="宋体" w:eastAsia="宋体" w:cs="宋体"/>
                <w:kern w:val="0"/>
                <w:sz w:val="24"/>
                <w:szCs w:val="24"/>
                <w:lang w:val="en-US" w:eastAsia="zh-CN"/>
              </w:rPr>
            </w:pPr>
          </w:p>
        </w:tc>
        <w:tc>
          <w:tcPr>
            <w:tcW w:w="1380"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rPr>
        <w:tc>
          <w:tcPr>
            <w:tcW w:w="735" w:type="dxa"/>
            <w:vAlign w:val="center"/>
          </w:tcPr>
          <w:p>
            <w:pPr>
              <w:widowControl/>
              <w:spacing w:line="360" w:lineRule="exact"/>
              <w:jc w:val="center"/>
              <w:rPr>
                <w:rFonts w:hint="default" w:ascii="宋体" w:hAnsi="宋体" w:cs="宋体"/>
                <w:kern w:val="0"/>
                <w:sz w:val="28"/>
                <w:szCs w:val="28"/>
                <w:lang w:val="en-US" w:eastAsia="zh-CN"/>
              </w:rPr>
            </w:pPr>
            <w:r>
              <w:rPr>
                <w:rFonts w:hint="eastAsia" w:ascii="宋体" w:hAnsi="宋体" w:cs="宋体"/>
                <w:kern w:val="0"/>
                <w:sz w:val="28"/>
                <w:szCs w:val="28"/>
                <w:lang w:val="en-US" w:eastAsia="zh-CN"/>
              </w:rPr>
              <w:t>合计</w:t>
            </w:r>
          </w:p>
        </w:tc>
        <w:tc>
          <w:tcPr>
            <w:tcW w:w="1393" w:type="dxa"/>
            <w:vAlign w:val="center"/>
          </w:tcPr>
          <w:p>
            <w:pPr>
              <w:keepNext w:val="0"/>
              <w:keepLines w:val="0"/>
              <w:widowControl/>
              <w:suppressLineNumbers w:val="0"/>
              <w:jc w:val="center"/>
              <w:textAlignment w:val="center"/>
              <w:rPr>
                <w:rFonts w:hint="eastAsia"/>
                <w:sz w:val="24"/>
                <w:szCs w:val="24"/>
                <w:lang w:val="en-US" w:eastAsia="zh-CN"/>
              </w:rPr>
            </w:pPr>
          </w:p>
        </w:tc>
        <w:tc>
          <w:tcPr>
            <w:tcW w:w="1757" w:type="dxa"/>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p>
        </w:tc>
        <w:tc>
          <w:tcPr>
            <w:tcW w:w="1210" w:type="dxa"/>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146" w:type="dxa"/>
            <w:vAlign w:val="center"/>
          </w:tcPr>
          <w:p>
            <w:pPr>
              <w:keepNext w:val="0"/>
              <w:keepLines w:val="0"/>
              <w:widowControl/>
              <w:suppressLineNumbers w:val="0"/>
              <w:jc w:val="center"/>
              <w:textAlignment w:val="center"/>
              <w:rPr>
                <w:rFonts w:hint="eastAsia" w:ascii="宋体" w:hAnsi="宋体" w:cs="宋体"/>
                <w:kern w:val="0"/>
                <w:sz w:val="24"/>
                <w:szCs w:val="24"/>
                <w:lang w:val="en-US" w:eastAsia="zh-CN"/>
              </w:rPr>
            </w:pPr>
          </w:p>
        </w:tc>
        <w:tc>
          <w:tcPr>
            <w:tcW w:w="1275" w:type="dxa"/>
            <w:vAlign w:val="center"/>
          </w:tcPr>
          <w:p>
            <w:pPr>
              <w:widowControl/>
              <w:spacing w:line="360" w:lineRule="exact"/>
              <w:jc w:val="center"/>
              <w:rPr>
                <w:rFonts w:hint="default" w:ascii="宋体" w:hAnsi="宋体" w:eastAsia="宋体" w:cs="宋体"/>
                <w:kern w:val="0"/>
                <w:sz w:val="24"/>
                <w:szCs w:val="24"/>
                <w:lang w:val="en-US" w:eastAsia="zh-CN"/>
              </w:rPr>
            </w:pPr>
          </w:p>
        </w:tc>
        <w:tc>
          <w:tcPr>
            <w:tcW w:w="1380" w:type="dxa"/>
            <w:vAlign w:val="center"/>
          </w:tcPr>
          <w:p>
            <w:pPr>
              <w:widowControl/>
              <w:spacing w:line="360" w:lineRule="exact"/>
              <w:jc w:val="center"/>
              <w:rPr>
                <w:rFonts w:hint="default" w:ascii="宋体" w:hAnsi="宋体" w:eastAsia="宋体" w:cs="宋体"/>
                <w:kern w:val="0"/>
                <w:sz w:val="24"/>
                <w:szCs w:val="24"/>
                <w:lang w:val="en-US" w:eastAsia="zh-CN"/>
              </w:rPr>
            </w:pPr>
          </w:p>
        </w:tc>
        <w:tc>
          <w:tcPr>
            <w:tcW w:w="1380" w:type="dxa"/>
            <w:vAlign w:val="center"/>
          </w:tcPr>
          <w:p>
            <w:pPr>
              <w:keepNext w:val="0"/>
              <w:keepLines w:val="0"/>
              <w:widowControl/>
              <w:suppressLineNumbers w:val="0"/>
              <w:jc w:val="center"/>
              <w:textAlignment w:val="center"/>
              <w:rPr>
                <w:rFonts w:hint="eastAsia" w:ascii="宋体" w:hAnsi="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885" w:type="dxa"/>
            <w:gridSpan w:val="3"/>
            <w:vAlign w:val="center"/>
          </w:tcPr>
          <w:p>
            <w:pPr>
              <w:widowControl/>
              <w:spacing w:line="400" w:lineRule="exact"/>
              <w:jc w:val="center"/>
              <w:rPr>
                <w:rFonts w:hint="default" w:ascii="宋体" w:hAnsi="宋体" w:eastAsia="宋体"/>
                <w:kern w:val="0"/>
                <w:sz w:val="28"/>
                <w:szCs w:val="28"/>
                <w:lang w:val="en-US" w:eastAsia="zh-CN"/>
              </w:rPr>
            </w:pPr>
            <w:r>
              <w:rPr>
                <w:rFonts w:hint="eastAsia" w:ascii="宋体" w:hAnsi="宋体" w:cs="宋体"/>
                <w:kern w:val="0"/>
                <w:sz w:val="28"/>
                <w:szCs w:val="28"/>
              </w:rPr>
              <w:t>合计</w:t>
            </w:r>
            <w:r>
              <w:rPr>
                <w:rFonts w:hint="eastAsia" w:ascii="宋体" w:hAnsi="宋体" w:cs="宋体"/>
                <w:kern w:val="0"/>
                <w:sz w:val="28"/>
                <w:szCs w:val="28"/>
                <w:lang w:val="en-US" w:eastAsia="zh-CN"/>
              </w:rPr>
              <w:t>金额（大写）</w:t>
            </w:r>
          </w:p>
        </w:tc>
        <w:tc>
          <w:tcPr>
            <w:tcW w:w="6391" w:type="dxa"/>
            <w:gridSpan w:val="5"/>
            <w:vAlign w:val="center"/>
          </w:tcPr>
          <w:p>
            <w:pPr>
              <w:widowControl/>
              <w:spacing w:line="400" w:lineRule="exact"/>
              <w:jc w:val="center"/>
              <w:rPr>
                <w:rFonts w:ascii="宋体"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0276" w:type="dxa"/>
            <w:gridSpan w:val="8"/>
            <w:vAlign w:val="center"/>
          </w:tcPr>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主要技术参数：</w:t>
            </w:r>
          </w:p>
          <w:p>
            <w:pPr>
              <w:widowControl/>
              <w:numPr>
                <w:ilvl w:val="0"/>
                <w:numId w:val="0"/>
              </w:numPr>
              <w:spacing w:line="360" w:lineRule="exact"/>
              <w:ind w:left="630" w:leftChars="0"/>
              <w:jc w:val="both"/>
              <w:rPr>
                <w:rFonts w:hint="eastAsia" w:ascii="宋体" w:hAnsi="宋体" w:eastAsia="宋体" w:cs="宋体"/>
                <w:b w:val="0"/>
                <w:bCs/>
                <w:sz w:val="24"/>
                <w:szCs w:val="24"/>
                <w:lang w:eastAsia="zh-CN"/>
              </w:rPr>
            </w:pPr>
            <w:r>
              <w:rPr>
                <w:rFonts w:hint="eastAsia" w:ascii="宋体" w:hAnsi="宋体" w:cs="宋体"/>
                <w:b w:val="0"/>
                <w:bCs/>
                <w:sz w:val="24"/>
                <w:szCs w:val="24"/>
                <w:lang w:val="en-US" w:eastAsia="zh-CN"/>
              </w:rPr>
              <w:t>1、</w:t>
            </w:r>
            <w:r>
              <w:rPr>
                <w:rFonts w:hint="eastAsia" w:ascii="宋体" w:hAnsi="宋体" w:eastAsia="宋体" w:cs="宋体"/>
                <w:b w:val="0"/>
                <w:bCs/>
                <w:sz w:val="24"/>
                <w:szCs w:val="24"/>
                <w:lang w:eastAsia="zh-CN"/>
              </w:rPr>
              <w:t>按</w:t>
            </w:r>
            <w:r>
              <w:rPr>
                <w:rFonts w:hint="eastAsia" w:ascii="宋体" w:hAnsi="宋体" w:eastAsia="宋体" w:cs="宋体"/>
                <w:b w:val="0"/>
                <w:bCs/>
                <w:sz w:val="24"/>
                <w:szCs w:val="24"/>
                <w:lang w:val="en-US" w:eastAsia="zh-CN"/>
              </w:rPr>
              <w:t>南方电网公司、广西电网公司等相关文件精神要求进行评估</w:t>
            </w:r>
            <w:r>
              <w:rPr>
                <w:rFonts w:hint="eastAsia" w:ascii="宋体" w:hAnsi="宋体" w:eastAsia="宋体" w:cs="宋体"/>
                <w:b w:val="0"/>
                <w:bCs/>
                <w:sz w:val="24"/>
                <w:szCs w:val="24"/>
                <w:lang w:eastAsia="zh-CN"/>
              </w:rPr>
              <w:t>；</w:t>
            </w:r>
          </w:p>
          <w:p>
            <w:pPr>
              <w:widowControl/>
              <w:numPr>
                <w:ilvl w:val="0"/>
                <w:numId w:val="0"/>
              </w:numPr>
              <w:spacing w:line="360" w:lineRule="exact"/>
              <w:ind w:firstLine="720" w:firstLineChars="300"/>
              <w:jc w:val="both"/>
              <w:rPr>
                <w:rFonts w:hint="eastAsia" w:ascii="宋体" w:hAnsi="宋体" w:cs="宋体"/>
                <w:b/>
                <w:color w:val="FF0000"/>
                <w:sz w:val="28"/>
                <w:szCs w:val="28"/>
              </w:rPr>
            </w:pPr>
            <w:r>
              <w:rPr>
                <w:rFonts w:hint="eastAsia" w:ascii="宋体" w:hAnsi="宋体" w:eastAsia="宋体" w:cs="宋体"/>
                <w:b w:val="0"/>
                <w:bCs/>
                <w:sz w:val="24"/>
                <w:szCs w:val="24"/>
                <w:lang w:val="en-US" w:eastAsia="zh-CN"/>
              </w:rPr>
              <w:t>2、报价单位负责出评估报告等。</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本次报价为项目总价格，项目最高不得超过￥</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000.00元。</w:t>
      </w:r>
    </w:p>
    <w:p>
      <w:p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2、报价为综合报价，包括</w:t>
      </w:r>
      <w:r>
        <w:rPr>
          <w:rFonts w:hint="eastAsia" w:ascii="宋体" w:hAnsi="宋体" w:cs="宋体"/>
          <w:sz w:val="24"/>
          <w:szCs w:val="24"/>
          <w:lang w:val="en-US" w:eastAsia="zh-CN"/>
        </w:rPr>
        <w:t>人工劳务费、交通费、</w:t>
      </w:r>
      <w:r>
        <w:rPr>
          <w:rFonts w:hint="eastAsia" w:ascii="宋体" w:hAnsi="宋体" w:eastAsia="宋体" w:cs="宋体"/>
          <w:sz w:val="24"/>
          <w:szCs w:val="24"/>
          <w:lang w:val="en-US" w:eastAsia="zh-CN"/>
        </w:rPr>
        <w:t>差旅费及</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﹪增值税费等。</w:t>
      </w:r>
    </w:p>
    <w:p>
      <w:pPr>
        <w:spacing w:line="360" w:lineRule="auto"/>
        <w:jc w:val="both"/>
        <w:rPr>
          <w:rFonts w:hint="eastAsia"/>
          <w:b/>
          <w:bCs/>
          <w:color w:val="auto"/>
          <w:spacing w:val="14"/>
          <w:kern w:val="0"/>
          <w:sz w:val="28"/>
          <w:szCs w:val="28"/>
          <w:highlight w:val="none"/>
        </w:rPr>
      </w:pPr>
      <w:r>
        <w:rPr>
          <w:rFonts w:hint="eastAsia" w:ascii="宋体" w:hAnsi="宋体" w:eastAsia="宋体" w:cs="宋体"/>
          <w:sz w:val="24"/>
          <w:szCs w:val="24"/>
          <w:lang w:val="en-US" w:eastAsia="zh-CN"/>
        </w:rPr>
        <w:t>3、服务地址：广西宾阳县黎塘镇永安东路224-4号。</w:t>
      </w: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eastAsia"/>
          <w:b/>
          <w:bCs/>
          <w:color w:val="auto"/>
          <w:spacing w:val="14"/>
          <w:kern w:val="0"/>
          <w:sz w:val="28"/>
          <w:szCs w:val="28"/>
          <w:highlight w:val="none"/>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eastAsia"/>
          <w:b/>
          <w:bCs/>
          <w:color w:val="auto"/>
          <w:spacing w:val="14"/>
          <w:kern w:val="0"/>
          <w:sz w:val="28"/>
          <w:szCs w:val="28"/>
          <w:highlight w:val="none"/>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ind w:firstLine="1843" w:firstLineChars="600"/>
        <w:jc w:val="left"/>
        <w:outlineLvl w:val="5"/>
        <w:rPr>
          <w:rFonts w:hint="eastAsia"/>
          <w:b/>
          <w:bCs/>
          <w:color w:val="auto"/>
          <w:spacing w:val="13"/>
          <w:kern w:val="0"/>
          <w:sz w:val="28"/>
          <w:szCs w:val="28"/>
          <w:highlight w:val="none"/>
        </w:rPr>
      </w:pPr>
    </w:p>
    <w:p>
      <w:pPr>
        <w:spacing w:line="360" w:lineRule="auto"/>
        <w:ind w:firstLine="1843" w:firstLineChars="600"/>
        <w:jc w:val="left"/>
        <w:outlineLvl w:val="5"/>
        <w:rPr>
          <w:rFonts w:hint="eastAsia"/>
          <w:b/>
          <w:bCs/>
          <w:color w:val="auto"/>
          <w:spacing w:val="13"/>
          <w:kern w:val="0"/>
          <w:sz w:val="28"/>
          <w:szCs w:val="28"/>
          <w:highlight w:val="none"/>
        </w:rPr>
      </w:pPr>
    </w:p>
    <w:p>
      <w:pPr>
        <w:spacing w:line="360" w:lineRule="auto"/>
        <w:ind w:firstLine="1843" w:firstLineChars="600"/>
        <w:jc w:val="left"/>
        <w:outlineLvl w:val="5"/>
        <w:rPr>
          <w:rFonts w:hint="eastAsia"/>
          <w:b/>
          <w:bCs/>
          <w:color w:val="auto"/>
          <w:spacing w:val="13"/>
          <w:kern w:val="0"/>
          <w:sz w:val="28"/>
          <w:szCs w:val="28"/>
          <w:highlight w:val="none"/>
        </w:rPr>
      </w:pPr>
    </w:p>
    <w:p>
      <w:pPr>
        <w:spacing w:line="360" w:lineRule="auto"/>
        <w:ind w:firstLine="1843" w:firstLineChars="600"/>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2E5D2B"/>
    <w:rsid w:val="003008FE"/>
    <w:rsid w:val="00365916"/>
    <w:rsid w:val="003E3323"/>
    <w:rsid w:val="004913D8"/>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D36C84"/>
    <w:rsid w:val="01EB5B10"/>
    <w:rsid w:val="02176E23"/>
    <w:rsid w:val="02865938"/>
    <w:rsid w:val="02E84E1B"/>
    <w:rsid w:val="035F7C75"/>
    <w:rsid w:val="039A1E76"/>
    <w:rsid w:val="03A34D06"/>
    <w:rsid w:val="04501704"/>
    <w:rsid w:val="045E1EC9"/>
    <w:rsid w:val="046B4A83"/>
    <w:rsid w:val="04B64D4F"/>
    <w:rsid w:val="04CA6BD2"/>
    <w:rsid w:val="04F62CC6"/>
    <w:rsid w:val="05701B41"/>
    <w:rsid w:val="059852A9"/>
    <w:rsid w:val="05B044D5"/>
    <w:rsid w:val="05B67AF4"/>
    <w:rsid w:val="05CD2719"/>
    <w:rsid w:val="05F41940"/>
    <w:rsid w:val="060804A0"/>
    <w:rsid w:val="060F4BD6"/>
    <w:rsid w:val="064A46A9"/>
    <w:rsid w:val="06910EC7"/>
    <w:rsid w:val="06AB0929"/>
    <w:rsid w:val="06E64E63"/>
    <w:rsid w:val="070A0B6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CB4276"/>
    <w:rsid w:val="0DF517DA"/>
    <w:rsid w:val="0E2B54C7"/>
    <w:rsid w:val="0E7145BF"/>
    <w:rsid w:val="0E8F38EB"/>
    <w:rsid w:val="0ED2085B"/>
    <w:rsid w:val="0F6A47D7"/>
    <w:rsid w:val="0F7B2D38"/>
    <w:rsid w:val="0FF27226"/>
    <w:rsid w:val="10090346"/>
    <w:rsid w:val="100E20E9"/>
    <w:rsid w:val="10116269"/>
    <w:rsid w:val="101428C2"/>
    <w:rsid w:val="10181260"/>
    <w:rsid w:val="10575A62"/>
    <w:rsid w:val="108F47AF"/>
    <w:rsid w:val="109C7D56"/>
    <w:rsid w:val="11325498"/>
    <w:rsid w:val="114752DA"/>
    <w:rsid w:val="11727245"/>
    <w:rsid w:val="11797585"/>
    <w:rsid w:val="11C13F63"/>
    <w:rsid w:val="11C4398B"/>
    <w:rsid w:val="11DD40A3"/>
    <w:rsid w:val="11F41C82"/>
    <w:rsid w:val="124B085A"/>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CE0DB9"/>
    <w:rsid w:val="15FB7D19"/>
    <w:rsid w:val="161F112E"/>
    <w:rsid w:val="163D0A11"/>
    <w:rsid w:val="169F551D"/>
    <w:rsid w:val="16A076A8"/>
    <w:rsid w:val="16E17FD7"/>
    <w:rsid w:val="17087877"/>
    <w:rsid w:val="170F3531"/>
    <w:rsid w:val="17192215"/>
    <w:rsid w:val="17292A78"/>
    <w:rsid w:val="17F90724"/>
    <w:rsid w:val="17FD51E2"/>
    <w:rsid w:val="181B13EA"/>
    <w:rsid w:val="18377B1D"/>
    <w:rsid w:val="187E67B4"/>
    <w:rsid w:val="188E7C69"/>
    <w:rsid w:val="18DB7358"/>
    <w:rsid w:val="18DC7149"/>
    <w:rsid w:val="18E46631"/>
    <w:rsid w:val="18E65311"/>
    <w:rsid w:val="1968469D"/>
    <w:rsid w:val="19775419"/>
    <w:rsid w:val="197E0408"/>
    <w:rsid w:val="19BA5E2E"/>
    <w:rsid w:val="19FA202D"/>
    <w:rsid w:val="1A1272AA"/>
    <w:rsid w:val="1AD958F4"/>
    <w:rsid w:val="1B0A4145"/>
    <w:rsid w:val="1B0C1C4C"/>
    <w:rsid w:val="1B750DBC"/>
    <w:rsid w:val="1B7A6B81"/>
    <w:rsid w:val="1C27355C"/>
    <w:rsid w:val="1C3C4358"/>
    <w:rsid w:val="1C601D9D"/>
    <w:rsid w:val="1C8D6788"/>
    <w:rsid w:val="1C954E9B"/>
    <w:rsid w:val="1C9949F3"/>
    <w:rsid w:val="1C9B0B55"/>
    <w:rsid w:val="1CE65E64"/>
    <w:rsid w:val="1CF60711"/>
    <w:rsid w:val="1D110334"/>
    <w:rsid w:val="1D113460"/>
    <w:rsid w:val="1D436A68"/>
    <w:rsid w:val="1D4C3D7C"/>
    <w:rsid w:val="1D7651D8"/>
    <w:rsid w:val="1D792C9F"/>
    <w:rsid w:val="1E0A47EB"/>
    <w:rsid w:val="1E41056E"/>
    <w:rsid w:val="1E425E07"/>
    <w:rsid w:val="1E616B96"/>
    <w:rsid w:val="1EA91661"/>
    <w:rsid w:val="1EF814B6"/>
    <w:rsid w:val="1F5A7B28"/>
    <w:rsid w:val="1F8216D4"/>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5B65CEB"/>
    <w:rsid w:val="26B143E9"/>
    <w:rsid w:val="26C64B0B"/>
    <w:rsid w:val="26CF68D5"/>
    <w:rsid w:val="26D06059"/>
    <w:rsid w:val="270D40BA"/>
    <w:rsid w:val="27981887"/>
    <w:rsid w:val="27F77F60"/>
    <w:rsid w:val="289663AC"/>
    <w:rsid w:val="291D3964"/>
    <w:rsid w:val="298B6166"/>
    <w:rsid w:val="29D439C5"/>
    <w:rsid w:val="29DE4455"/>
    <w:rsid w:val="29F6505D"/>
    <w:rsid w:val="29F71DCE"/>
    <w:rsid w:val="2A5D4013"/>
    <w:rsid w:val="2A73216B"/>
    <w:rsid w:val="2AE728D8"/>
    <w:rsid w:val="2B0C214E"/>
    <w:rsid w:val="2BB6604C"/>
    <w:rsid w:val="2BE67C54"/>
    <w:rsid w:val="2BE76C7E"/>
    <w:rsid w:val="2C4634F8"/>
    <w:rsid w:val="2C8A7F2A"/>
    <w:rsid w:val="2CA351F8"/>
    <w:rsid w:val="2CDE5006"/>
    <w:rsid w:val="2CE0294C"/>
    <w:rsid w:val="2D0E4255"/>
    <w:rsid w:val="2D643359"/>
    <w:rsid w:val="2DDB37E6"/>
    <w:rsid w:val="2E0A0EFD"/>
    <w:rsid w:val="2E5F2221"/>
    <w:rsid w:val="2E85335E"/>
    <w:rsid w:val="2E9D0FDA"/>
    <w:rsid w:val="2EB62CF8"/>
    <w:rsid w:val="2ECC1AD7"/>
    <w:rsid w:val="2F1464A6"/>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B44D65"/>
    <w:rsid w:val="31F1799F"/>
    <w:rsid w:val="323B559E"/>
    <w:rsid w:val="32AC098F"/>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A54830"/>
    <w:rsid w:val="35E26F61"/>
    <w:rsid w:val="365259A0"/>
    <w:rsid w:val="365E4C2C"/>
    <w:rsid w:val="36837983"/>
    <w:rsid w:val="36A93D34"/>
    <w:rsid w:val="36BD6F3C"/>
    <w:rsid w:val="36BF4C53"/>
    <w:rsid w:val="36C4459F"/>
    <w:rsid w:val="36CA6E36"/>
    <w:rsid w:val="36CA7098"/>
    <w:rsid w:val="36CE7125"/>
    <w:rsid w:val="36DD06B5"/>
    <w:rsid w:val="37561A92"/>
    <w:rsid w:val="380B19FA"/>
    <w:rsid w:val="38107BBE"/>
    <w:rsid w:val="38180E0D"/>
    <w:rsid w:val="383A560B"/>
    <w:rsid w:val="38592D41"/>
    <w:rsid w:val="385A3B79"/>
    <w:rsid w:val="38723B01"/>
    <w:rsid w:val="38763868"/>
    <w:rsid w:val="38B17DB0"/>
    <w:rsid w:val="393307F8"/>
    <w:rsid w:val="39345BEF"/>
    <w:rsid w:val="399E5A8D"/>
    <w:rsid w:val="39FD6A6D"/>
    <w:rsid w:val="3A482167"/>
    <w:rsid w:val="3A4E0F54"/>
    <w:rsid w:val="3A6C425E"/>
    <w:rsid w:val="3A7115CF"/>
    <w:rsid w:val="3A762EA6"/>
    <w:rsid w:val="3AE871ED"/>
    <w:rsid w:val="3B166795"/>
    <w:rsid w:val="3B3A4A72"/>
    <w:rsid w:val="3B426DFA"/>
    <w:rsid w:val="3B4F1851"/>
    <w:rsid w:val="3BFC35AD"/>
    <w:rsid w:val="3C0C0FD1"/>
    <w:rsid w:val="3C0D22F1"/>
    <w:rsid w:val="3C4F3894"/>
    <w:rsid w:val="3C667FBA"/>
    <w:rsid w:val="3C75750F"/>
    <w:rsid w:val="3CBF09C5"/>
    <w:rsid w:val="3CC9255C"/>
    <w:rsid w:val="3CFD0D4E"/>
    <w:rsid w:val="3CFD24F4"/>
    <w:rsid w:val="3D8F350F"/>
    <w:rsid w:val="3D932ECE"/>
    <w:rsid w:val="3DF002EE"/>
    <w:rsid w:val="3DF6298B"/>
    <w:rsid w:val="3E032F55"/>
    <w:rsid w:val="3E195AFB"/>
    <w:rsid w:val="3E5A5D0F"/>
    <w:rsid w:val="3ED75761"/>
    <w:rsid w:val="3EE60069"/>
    <w:rsid w:val="3F037F80"/>
    <w:rsid w:val="3F5D7C25"/>
    <w:rsid w:val="3F6E7356"/>
    <w:rsid w:val="3F8E2D81"/>
    <w:rsid w:val="3FA920FA"/>
    <w:rsid w:val="3FBF1225"/>
    <w:rsid w:val="40001B24"/>
    <w:rsid w:val="40711ECD"/>
    <w:rsid w:val="407E648F"/>
    <w:rsid w:val="4089046A"/>
    <w:rsid w:val="40CE4481"/>
    <w:rsid w:val="41044933"/>
    <w:rsid w:val="4115326B"/>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412053F"/>
    <w:rsid w:val="44265C90"/>
    <w:rsid w:val="443E1922"/>
    <w:rsid w:val="445544D0"/>
    <w:rsid w:val="44741832"/>
    <w:rsid w:val="44883556"/>
    <w:rsid w:val="44942CE1"/>
    <w:rsid w:val="44ED5E27"/>
    <w:rsid w:val="45081DE6"/>
    <w:rsid w:val="453B2BB3"/>
    <w:rsid w:val="4553205D"/>
    <w:rsid w:val="4566672F"/>
    <w:rsid w:val="4597553F"/>
    <w:rsid w:val="45B96669"/>
    <w:rsid w:val="45DD6DD6"/>
    <w:rsid w:val="45E83F3B"/>
    <w:rsid w:val="46256847"/>
    <w:rsid w:val="467F0616"/>
    <w:rsid w:val="46B251D5"/>
    <w:rsid w:val="46D75F15"/>
    <w:rsid w:val="46DB1D55"/>
    <w:rsid w:val="47794EC5"/>
    <w:rsid w:val="47873FED"/>
    <w:rsid w:val="478A5985"/>
    <w:rsid w:val="47A46EBE"/>
    <w:rsid w:val="47D5260D"/>
    <w:rsid w:val="48077665"/>
    <w:rsid w:val="484E0CAF"/>
    <w:rsid w:val="485A7764"/>
    <w:rsid w:val="48697707"/>
    <w:rsid w:val="487D34CE"/>
    <w:rsid w:val="48812C6D"/>
    <w:rsid w:val="48FA0CCE"/>
    <w:rsid w:val="497E67FC"/>
    <w:rsid w:val="49AB3619"/>
    <w:rsid w:val="49E83BBF"/>
    <w:rsid w:val="49FA4AA8"/>
    <w:rsid w:val="4A340908"/>
    <w:rsid w:val="4A646BE7"/>
    <w:rsid w:val="4A654689"/>
    <w:rsid w:val="4A8955BD"/>
    <w:rsid w:val="4AC61286"/>
    <w:rsid w:val="4AE23D9C"/>
    <w:rsid w:val="4AFB712A"/>
    <w:rsid w:val="4B3F2937"/>
    <w:rsid w:val="4B722F98"/>
    <w:rsid w:val="4B791C20"/>
    <w:rsid w:val="4BDA732C"/>
    <w:rsid w:val="4C362F61"/>
    <w:rsid w:val="4C747C00"/>
    <w:rsid w:val="4C843198"/>
    <w:rsid w:val="4CAE23D4"/>
    <w:rsid w:val="4CF16EBB"/>
    <w:rsid w:val="4CF27A3F"/>
    <w:rsid w:val="4D952847"/>
    <w:rsid w:val="4D9A6D61"/>
    <w:rsid w:val="4DA335EF"/>
    <w:rsid w:val="4DD62762"/>
    <w:rsid w:val="4E111E7F"/>
    <w:rsid w:val="4E1F0A8F"/>
    <w:rsid w:val="4E7D0D54"/>
    <w:rsid w:val="4E9B72CC"/>
    <w:rsid w:val="4EAA6760"/>
    <w:rsid w:val="4ED834AA"/>
    <w:rsid w:val="4EFE4BD1"/>
    <w:rsid w:val="4FB44EC5"/>
    <w:rsid w:val="4FC91CA8"/>
    <w:rsid w:val="4FCE0316"/>
    <w:rsid w:val="4FF36AD1"/>
    <w:rsid w:val="503B6ED8"/>
    <w:rsid w:val="506E60D9"/>
    <w:rsid w:val="50A32F8F"/>
    <w:rsid w:val="50BF75C6"/>
    <w:rsid w:val="50E312B5"/>
    <w:rsid w:val="50F4209B"/>
    <w:rsid w:val="519E2D4E"/>
    <w:rsid w:val="51B306F8"/>
    <w:rsid w:val="51D17917"/>
    <w:rsid w:val="52270962"/>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5108DF"/>
    <w:rsid w:val="55AE0DFF"/>
    <w:rsid w:val="55F857FB"/>
    <w:rsid w:val="560C77A6"/>
    <w:rsid w:val="56927883"/>
    <w:rsid w:val="569D378C"/>
    <w:rsid w:val="56AB6EAC"/>
    <w:rsid w:val="56F56768"/>
    <w:rsid w:val="571C15EB"/>
    <w:rsid w:val="575512DA"/>
    <w:rsid w:val="57A9641E"/>
    <w:rsid w:val="582553F9"/>
    <w:rsid w:val="583F4C58"/>
    <w:rsid w:val="585D55F4"/>
    <w:rsid w:val="58734628"/>
    <w:rsid w:val="58755F79"/>
    <w:rsid w:val="58FF3A11"/>
    <w:rsid w:val="59703A3B"/>
    <w:rsid w:val="59833FEA"/>
    <w:rsid w:val="598F0310"/>
    <w:rsid w:val="59B4187B"/>
    <w:rsid w:val="59FD2825"/>
    <w:rsid w:val="5A0B5058"/>
    <w:rsid w:val="5A1246F1"/>
    <w:rsid w:val="5A2D2676"/>
    <w:rsid w:val="5A546449"/>
    <w:rsid w:val="5A881682"/>
    <w:rsid w:val="5B1F26BA"/>
    <w:rsid w:val="5B2F412D"/>
    <w:rsid w:val="5B316EB3"/>
    <w:rsid w:val="5B406DD0"/>
    <w:rsid w:val="5B4162F2"/>
    <w:rsid w:val="5B5C4B82"/>
    <w:rsid w:val="5B6B1990"/>
    <w:rsid w:val="5B6E2B3B"/>
    <w:rsid w:val="5BB746B8"/>
    <w:rsid w:val="5C270F1D"/>
    <w:rsid w:val="5C8A7D93"/>
    <w:rsid w:val="5C8F3336"/>
    <w:rsid w:val="5C927AE0"/>
    <w:rsid w:val="5CC0247A"/>
    <w:rsid w:val="5CDA582D"/>
    <w:rsid w:val="5CDE243B"/>
    <w:rsid w:val="5D337748"/>
    <w:rsid w:val="5D5D0257"/>
    <w:rsid w:val="5D754213"/>
    <w:rsid w:val="5D837E1D"/>
    <w:rsid w:val="5DAF4A90"/>
    <w:rsid w:val="5DDF1B33"/>
    <w:rsid w:val="5E102188"/>
    <w:rsid w:val="5EA6472F"/>
    <w:rsid w:val="5EBF7956"/>
    <w:rsid w:val="5EC22C27"/>
    <w:rsid w:val="5EEB46FC"/>
    <w:rsid w:val="5F041F5F"/>
    <w:rsid w:val="5F1337E9"/>
    <w:rsid w:val="5F3F4450"/>
    <w:rsid w:val="5F3F6973"/>
    <w:rsid w:val="5F4B3F83"/>
    <w:rsid w:val="5F4E11E7"/>
    <w:rsid w:val="5F587C84"/>
    <w:rsid w:val="5FA75912"/>
    <w:rsid w:val="5FB55714"/>
    <w:rsid w:val="5FE45DE0"/>
    <w:rsid w:val="5FE5141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15119"/>
    <w:rsid w:val="62831CF3"/>
    <w:rsid w:val="62FE7930"/>
    <w:rsid w:val="6315604E"/>
    <w:rsid w:val="638E7B5A"/>
    <w:rsid w:val="63B71B40"/>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5B5086"/>
    <w:rsid w:val="66740FA8"/>
    <w:rsid w:val="670B0B64"/>
    <w:rsid w:val="67522015"/>
    <w:rsid w:val="67C65F33"/>
    <w:rsid w:val="68661537"/>
    <w:rsid w:val="6877638B"/>
    <w:rsid w:val="687810E1"/>
    <w:rsid w:val="68BD7C5B"/>
    <w:rsid w:val="690B57BB"/>
    <w:rsid w:val="693718D7"/>
    <w:rsid w:val="69683C95"/>
    <w:rsid w:val="697D6879"/>
    <w:rsid w:val="69801D62"/>
    <w:rsid w:val="69AB4FCF"/>
    <w:rsid w:val="69AB7271"/>
    <w:rsid w:val="69B27FF1"/>
    <w:rsid w:val="6A5B058F"/>
    <w:rsid w:val="6AFB15BD"/>
    <w:rsid w:val="6B0C7C6D"/>
    <w:rsid w:val="6B545339"/>
    <w:rsid w:val="6B8B15B7"/>
    <w:rsid w:val="6BA04A3E"/>
    <w:rsid w:val="6BEE077B"/>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1956C3"/>
    <w:rsid w:val="724E3782"/>
    <w:rsid w:val="72902DA7"/>
    <w:rsid w:val="72A57890"/>
    <w:rsid w:val="72AD55AD"/>
    <w:rsid w:val="732B4F01"/>
    <w:rsid w:val="73401DD2"/>
    <w:rsid w:val="73673268"/>
    <w:rsid w:val="73B54DDE"/>
    <w:rsid w:val="74255F70"/>
    <w:rsid w:val="743F2AD2"/>
    <w:rsid w:val="7470173A"/>
    <w:rsid w:val="747651D8"/>
    <w:rsid w:val="74CB497C"/>
    <w:rsid w:val="75BD5F6C"/>
    <w:rsid w:val="75F82604"/>
    <w:rsid w:val="76301283"/>
    <w:rsid w:val="764F12F9"/>
    <w:rsid w:val="767874E3"/>
    <w:rsid w:val="768024F8"/>
    <w:rsid w:val="76D7556C"/>
    <w:rsid w:val="77187B21"/>
    <w:rsid w:val="774B1B00"/>
    <w:rsid w:val="775725A0"/>
    <w:rsid w:val="777A2A82"/>
    <w:rsid w:val="78D70170"/>
    <w:rsid w:val="78FE2CC9"/>
    <w:rsid w:val="79123E17"/>
    <w:rsid w:val="791952BB"/>
    <w:rsid w:val="791C4225"/>
    <w:rsid w:val="792B04A4"/>
    <w:rsid w:val="79387F53"/>
    <w:rsid w:val="79572523"/>
    <w:rsid w:val="79EA1711"/>
    <w:rsid w:val="7A31432B"/>
    <w:rsid w:val="7A7D2F58"/>
    <w:rsid w:val="7A8536D8"/>
    <w:rsid w:val="7AE925C7"/>
    <w:rsid w:val="7B327A78"/>
    <w:rsid w:val="7B50712A"/>
    <w:rsid w:val="7B5534BE"/>
    <w:rsid w:val="7B721C6D"/>
    <w:rsid w:val="7C142488"/>
    <w:rsid w:val="7C2D6B7E"/>
    <w:rsid w:val="7C94167F"/>
    <w:rsid w:val="7CBD5C6B"/>
    <w:rsid w:val="7D104923"/>
    <w:rsid w:val="7D580C1E"/>
    <w:rsid w:val="7DB76D14"/>
    <w:rsid w:val="7E6D5DEA"/>
    <w:rsid w:val="7EAC0116"/>
    <w:rsid w:val="7EFB0050"/>
    <w:rsid w:val="7F0B649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paragraph" w:styleId="7">
    <w:name w:val="Normal Indent"/>
    <w:basedOn w:val="1"/>
    <w:unhideWhenUsed/>
    <w:qFormat/>
    <w:uiPriority w:val="99"/>
    <w:pPr>
      <w:ind w:firstLine="420" w:firstLineChars="200"/>
    </w:pPr>
    <w:rPr>
      <w:kern w:val="0"/>
      <w:sz w:val="20"/>
    </w:rPr>
  </w:style>
  <w:style w:type="paragraph" w:styleId="8">
    <w:name w:val="Document Map"/>
    <w:basedOn w:val="1"/>
    <w:link w:val="54"/>
    <w:unhideWhenUsed/>
    <w:qFormat/>
    <w:uiPriority w:val="99"/>
    <w:rPr>
      <w:rFonts w:ascii="宋体"/>
      <w:sz w:val="18"/>
      <w:szCs w:val="18"/>
    </w:rPr>
  </w:style>
  <w:style w:type="paragraph" w:styleId="9">
    <w:name w:val="annotation text"/>
    <w:basedOn w:val="1"/>
    <w:semiHidden/>
    <w:unhideWhenUsed/>
    <w:qFormat/>
    <w:uiPriority w:val="99"/>
    <w:pPr>
      <w:jc w:val="left"/>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7"/>
    <w:qFormat/>
    <w:uiPriority w:val="99"/>
    <w:rPr>
      <w:rFonts w:ascii="宋体" w:hAnsi="Courier New" w:eastAsiaTheme="minorEastAsia" w:cstheme="minorBidi"/>
    </w:rPr>
  </w:style>
  <w:style w:type="paragraph" w:styleId="12">
    <w:name w:val="Balloon Text"/>
    <w:basedOn w:val="1"/>
    <w:link w:val="42"/>
    <w:qFormat/>
    <w:uiPriority w:val="0"/>
    <w:rPr>
      <w:rFonts w:asciiTheme="minorHAnsi" w:hAnsiTheme="minorHAnsi" w:cstheme="minorBidi"/>
      <w:sz w:val="18"/>
      <w:szCs w:val="18"/>
    </w:rPr>
  </w:style>
  <w:style w:type="paragraph" w:styleId="13">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4">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5">
    <w:name w:val="toc 1"/>
    <w:basedOn w:val="1"/>
    <w:next w:val="1"/>
    <w:qFormat/>
    <w:uiPriority w:val="39"/>
    <w:pPr>
      <w:spacing w:beforeLines="50" w:line="360" w:lineRule="auto"/>
    </w:pPr>
    <w:rPr>
      <w:rFonts w:eastAsia="黑体"/>
    </w:rPr>
  </w:style>
  <w:style w:type="paragraph" w:styleId="16">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link w:val="29"/>
    <w:qFormat/>
    <w:uiPriority w:val="0"/>
    <w:pPr>
      <w:spacing w:before="240" w:after="60"/>
      <w:jc w:val="center"/>
      <w:outlineLvl w:val="0"/>
    </w:pPr>
    <w:rPr>
      <w:rFonts w:ascii="Arial" w:hAnsi="Arial" w:cs="Arial" w:eastAsiaTheme="minorEastAsia"/>
      <w:b/>
      <w:bCs/>
      <w:sz w:val="32"/>
      <w:szCs w:val="32"/>
    </w:rPr>
  </w:style>
  <w:style w:type="paragraph" w:styleId="20">
    <w:name w:val="Body Text First Indent"/>
    <w:basedOn w:val="1"/>
    <w:unhideWhenUsed/>
    <w:qFormat/>
    <w:uiPriority w:val="99"/>
    <w:pPr>
      <w:ind w:firstLine="420" w:firstLineChars="100"/>
    </w:pPr>
  </w:style>
  <w:style w:type="table" w:styleId="22">
    <w:name w:val="Table Grid"/>
    <w:basedOn w:val="2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1"/>
    <w:qFormat/>
    <w:uiPriority w:val="0"/>
    <w:rPr>
      <w:rFonts w:ascii="宋体" w:hAnsi="Courier New"/>
      <w:szCs w:val="24"/>
    </w:rPr>
  </w:style>
  <w:style w:type="character" w:customStyle="1" w:styleId="28">
    <w:name w:val="页脚 字符"/>
    <w:link w:val="13"/>
    <w:qFormat/>
    <w:uiPriority w:val="99"/>
    <w:rPr>
      <w:rFonts w:eastAsia="宋体"/>
      <w:sz w:val="18"/>
      <w:szCs w:val="18"/>
    </w:rPr>
  </w:style>
  <w:style w:type="character" w:customStyle="1" w:styleId="29">
    <w:name w:val="标题 字符"/>
    <w:link w:val="19"/>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4"/>
    <w:qFormat/>
    <w:uiPriority w:val="0"/>
    <w:rPr>
      <w:rFonts w:eastAsia="宋体"/>
      <w:sz w:val="18"/>
      <w:szCs w:val="18"/>
    </w:rPr>
  </w:style>
  <w:style w:type="character" w:customStyle="1" w:styleId="33">
    <w:name w:val="页脚 Char1"/>
    <w:basedOn w:val="23"/>
    <w:semiHidden/>
    <w:qFormat/>
    <w:uiPriority w:val="99"/>
    <w:rPr>
      <w:rFonts w:ascii="Times New Roman" w:hAnsi="Times New Roman" w:eastAsia="宋体" w:cs="Times New Roman"/>
      <w:sz w:val="18"/>
      <w:szCs w:val="18"/>
    </w:rPr>
  </w:style>
  <w:style w:type="character" w:customStyle="1" w:styleId="34">
    <w:name w:val="页眉 Char1"/>
    <w:basedOn w:val="23"/>
    <w:semiHidden/>
    <w:qFormat/>
    <w:uiPriority w:val="99"/>
    <w:rPr>
      <w:rFonts w:ascii="Times New Roman" w:hAnsi="Times New Roman" w:eastAsia="宋体" w:cs="Times New Roman"/>
      <w:sz w:val="18"/>
      <w:szCs w:val="18"/>
    </w:rPr>
  </w:style>
  <w:style w:type="character" w:customStyle="1" w:styleId="35">
    <w:name w:val="标题 Char"/>
    <w:basedOn w:val="23"/>
    <w:qFormat/>
    <w:uiPriority w:val="0"/>
    <w:rPr>
      <w:rFonts w:eastAsia="宋体" w:asciiTheme="majorHAnsi" w:hAnsiTheme="majorHAnsi" w:cstheme="majorBidi"/>
      <w:b/>
      <w:bCs/>
      <w:sz w:val="32"/>
      <w:szCs w:val="32"/>
    </w:rPr>
  </w:style>
  <w:style w:type="character" w:customStyle="1" w:styleId="36">
    <w:name w:val="纯文本 Char"/>
    <w:basedOn w:val="23"/>
    <w:qFormat/>
    <w:uiPriority w:val="99"/>
    <w:rPr>
      <w:rFonts w:ascii="宋体" w:hAnsi="Courier New" w:eastAsia="宋体" w:cs="Courier New"/>
      <w:szCs w:val="21"/>
    </w:rPr>
  </w:style>
  <w:style w:type="character" w:customStyle="1" w:styleId="37">
    <w:name w:val="标题 1 字符"/>
    <w:basedOn w:val="23"/>
    <w:link w:val="3"/>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3"/>
    <w:link w:val="4"/>
    <w:qFormat/>
    <w:uiPriority w:val="0"/>
    <w:rPr>
      <w:rFonts w:ascii="Times New Roman" w:hAnsi="Times New Roman" w:eastAsia="黑体" w:cs="Times New Roman"/>
      <w:bCs/>
      <w:kern w:val="2"/>
      <w:sz w:val="21"/>
      <w:szCs w:val="21"/>
      <w:lang w:val="zh-CN"/>
    </w:rPr>
  </w:style>
  <w:style w:type="character" w:customStyle="1" w:styleId="39">
    <w:name w:val="标题 3 字符"/>
    <w:basedOn w:val="23"/>
    <w:link w:val="5"/>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2"/>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3"/>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19"/>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3"/>
    <w:link w:val="8"/>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3"/>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398</Words>
  <Characters>2270</Characters>
  <Lines>18</Lines>
  <Paragraphs>5</Paragraphs>
  <TotalTime>0</TotalTime>
  <ScaleCrop>false</ScaleCrop>
  <LinksUpToDate>false</LinksUpToDate>
  <CharactersWithSpaces>2663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陈瑜谦</cp:lastModifiedBy>
  <cp:lastPrinted>2024-05-14T00:22:00Z</cp:lastPrinted>
  <dcterms:modified xsi:type="dcterms:W3CDTF">2024-09-20T01:33:39Z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FF19A759A12C492580ACDCACB8B5CF17</vt:lpwstr>
  </property>
</Properties>
</file>