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line="348" w:lineRule="auto"/>
        <w:jc w:val="center"/>
        <w:rPr>
          <w:rFonts w:hint="eastAsia" w:ascii="宋体" w:hAnsi="宋体" w:eastAsia="宋体" w:cs="Times New Roman"/>
          <w:sz w:val="28"/>
          <w:szCs w:val="28"/>
          <w:highlight w:val="none"/>
          <w:lang w:eastAsia="zh-CN"/>
        </w:rPr>
      </w:pPr>
      <w:r>
        <w:rPr>
          <w:rFonts w:hint="eastAsia" w:ascii="宋体" w:hAnsi="宋体" w:cs="Times New Roman"/>
          <w:sz w:val="28"/>
          <w:szCs w:val="28"/>
          <w:highlight w:val="none"/>
          <w:lang w:eastAsia="zh-CN"/>
        </w:rPr>
        <w:t>自粘式绝缘材料自动包封装置</w:t>
      </w:r>
    </w:p>
    <w:p>
      <w:pPr>
        <w:numPr>
          <w:ilvl w:val="0"/>
          <w:numId w:val="1"/>
        </w:numPr>
        <w:rPr>
          <w:rFonts w:hint="eastAsia"/>
          <w:sz w:val="30"/>
          <w:szCs w:val="30"/>
          <w:highlight w:val="none"/>
        </w:rPr>
      </w:pPr>
      <w:r>
        <w:rPr>
          <w:rFonts w:hint="eastAsia"/>
          <w:sz w:val="30"/>
          <w:szCs w:val="30"/>
          <w:highlight w:val="none"/>
        </w:rPr>
        <w:t>总则</w:t>
      </w:r>
    </w:p>
    <w:p>
      <w:pPr>
        <w:adjustRightInd w:val="0"/>
        <w:snapToGrid w:val="0"/>
        <w:spacing w:line="348" w:lineRule="auto"/>
        <w:ind w:firstLine="560" w:firstLineChars="200"/>
        <w:rPr>
          <w:rFonts w:hint="eastAsia" w:ascii="宋体" w:hAnsi="宋体"/>
          <w:sz w:val="28"/>
          <w:szCs w:val="28"/>
          <w:highlight w:val="none"/>
        </w:rPr>
      </w:pPr>
      <w:r>
        <w:rPr>
          <w:rFonts w:ascii="宋体" w:hAnsi="宋体"/>
          <w:sz w:val="28"/>
          <w:szCs w:val="28"/>
          <w:highlight w:val="none"/>
        </w:rPr>
        <w:t>1</w:t>
      </w:r>
      <w:r>
        <w:rPr>
          <w:rFonts w:hint="eastAsia" w:ascii="宋体" w:hAnsi="宋体"/>
          <w:sz w:val="28"/>
          <w:szCs w:val="28"/>
          <w:highlight w:val="none"/>
        </w:rPr>
        <w:t>）本技术规范书的使用范围仅限于北海供电局</w:t>
      </w:r>
      <w:r>
        <w:rPr>
          <w:rFonts w:hint="eastAsia"/>
          <w:sz w:val="30"/>
          <w:szCs w:val="30"/>
          <w:highlight w:val="none"/>
          <w:u w:val="single"/>
          <w:lang w:eastAsia="zh-CN"/>
        </w:rPr>
        <w:t>自粘式绝缘材料自动包封装置</w:t>
      </w:r>
      <w:r>
        <w:rPr>
          <w:rFonts w:hint="eastAsia" w:ascii="宋体" w:hAnsi="宋体"/>
          <w:sz w:val="28"/>
          <w:szCs w:val="28"/>
          <w:highlight w:val="none"/>
        </w:rPr>
        <w:t>物资，技术规范书的所有解释权归南方电网广西北海供电局。</w:t>
      </w:r>
    </w:p>
    <w:p>
      <w:pPr>
        <w:adjustRightInd w:val="0"/>
        <w:snapToGrid w:val="0"/>
        <w:spacing w:line="348" w:lineRule="auto"/>
        <w:ind w:firstLine="560" w:firstLineChars="200"/>
        <w:rPr>
          <w:rFonts w:ascii="宋体" w:hAnsi="宋体"/>
          <w:sz w:val="28"/>
          <w:szCs w:val="28"/>
          <w:highlight w:val="none"/>
        </w:rPr>
      </w:pPr>
      <w:r>
        <w:rPr>
          <w:rFonts w:ascii="宋体" w:hAnsi="宋体"/>
          <w:sz w:val="28"/>
          <w:szCs w:val="28"/>
          <w:highlight w:val="none"/>
        </w:rPr>
        <w:t>2</w:t>
      </w:r>
      <w:r>
        <w:rPr>
          <w:rFonts w:hint="eastAsia" w:ascii="宋体" w:hAnsi="宋体"/>
          <w:sz w:val="28"/>
          <w:szCs w:val="28"/>
          <w:highlight w:val="none"/>
        </w:rPr>
        <w:t xml:space="preserve">） </w:t>
      </w:r>
      <w:r>
        <w:rPr>
          <w:rFonts w:ascii="宋体" w:hAnsi="宋体"/>
          <w:sz w:val="28"/>
          <w:szCs w:val="28"/>
          <w:highlight w:val="none"/>
        </w:rPr>
        <w:t>本技术规范书提出的是最低限度的技术要求。</w:t>
      </w:r>
      <w:r>
        <w:rPr>
          <w:rFonts w:hint="eastAsia" w:ascii="宋体" w:hAnsi="宋体"/>
          <w:sz w:val="28"/>
          <w:szCs w:val="28"/>
          <w:highlight w:val="none"/>
        </w:rPr>
        <w:t>凡本招标技术文件中未规定，但在相关物资的行业标准、国家标准或I</w:t>
      </w:r>
      <w:r>
        <w:rPr>
          <w:rFonts w:ascii="宋体" w:hAnsi="宋体"/>
          <w:sz w:val="28"/>
          <w:szCs w:val="28"/>
          <w:highlight w:val="none"/>
        </w:rPr>
        <w:t>EC</w:t>
      </w:r>
      <w:r>
        <w:rPr>
          <w:rFonts w:hint="eastAsia" w:ascii="宋体" w:hAnsi="宋体"/>
          <w:sz w:val="28"/>
          <w:szCs w:val="28"/>
          <w:highlight w:val="none"/>
        </w:rPr>
        <w:t>标准中有规定的规范条文，</w:t>
      </w:r>
      <w:r>
        <w:rPr>
          <w:rFonts w:ascii="宋体" w:hAnsi="宋体"/>
          <w:sz w:val="28"/>
          <w:szCs w:val="28"/>
          <w:highlight w:val="none"/>
        </w:rPr>
        <w:t>投标方应按相</w:t>
      </w:r>
      <w:r>
        <w:rPr>
          <w:rFonts w:hint="eastAsia" w:ascii="宋体" w:hAnsi="宋体"/>
          <w:sz w:val="28"/>
          <w:szCs w:val="28"/>
          <w:highlight w:val="none"/>
        </w:rPr>
        <w:t>关</w:t>
      </w:r>
      <w:r>
        <w:rPr>
          <w:rFonts w:ascii="宋体" w:hAnsi="宋体"/>
          <w:sz w:val="28"/>
          <w:szCs w:val="28"/>
          <w:highlight w:val="none"/>
        </w:rPr>
        <w:t>标准的最高技术要求执行。对国家有关安全、环保等强制性标准，必须满足其要求。</w:t>
      </w:r>
    </w:p>
    <w:p>
      <w:pPr>
        <w:adjustRightInd w:val="0"/>
        <w:snapToGrid w:val="0"/>
        <w:spacing w:line="348" w:lineRule="auto"/>
        <w:ind w:firstLine="560" w:firstLineChars="200"/>
        <w:rPr>
          <w:rFonts w:ascii="宋体" w:hAnsi="宋体"/>
          <w:sz w:val="28"/>
          <w:szCs w:val="28"/>
          <w:highlight w:val="none"/>
        </w:rPr>
      </w:pPr>
      <w:r>
        <w:rPr>
          <w:rFonts w:hint="eastAsia" w:ascii="宋体" w:hAnsi="宋体"/>
          <w:sz w:val="28"/>
          <w:szCs w:val="28"/>
          <w:highlight w:val="none"/>
        </w:rPr>
        <w:t xml:space="preserve">3） </w:t>
      </w:r>
      <w:r>
        <w:rPr>
          <w:rFonts w:ascii="宋体" w:hAnsi="宋体"/>
          <w:sz w:val="28"/>
          <w:szCs w:val="28"/>
          <w:highlight w:val="none"/>
        </w:rPr>
        <w:t>如投标单位提供的技术服务或方案与本技术规范书要求有差异，即使是微小的差异，也应以书面形式言明，并说明原因。如投标单位没有以书面形式对本技术规范书的条文提出异议，</w:t>
      </w:r>
      <w:r>
        <w:rPr>
          <w:rFonts w:hint="eastAsia" w:ascii="宋体" w:hAnsi="宋体"/>
          <w:sz w:val="28"/>
          <w:szCs w:val="28"/>
          <w:highlight w:val="none"/>
        </w:rPr>
        <w:t>则</w:t>
      </w:r>
      <w:r>
        <w:rPr>
          <w:rFonts w:ascii="宋体" w:hAnsi="宋体"/>
          <w:sz w:val="28"/>
          <w:szCs w:val="28"/>
          <w:highlight w:val="none"/>
        </w:rPr>
        <w:t>投标单位提供的产品应完全满足本技术规范书的要求。</w:t>
      </w:r>
    </w:p>
    <w:p>
      <w:pPr>
        <w:adjustRightInd w:val="0"/>
        <w:snapToGrid w:val="0"/>
        <w:spacing w:line="348" w:lineRule="auto"/>
        <w:ind w:firstLine="560" w:firstLineChars="200"/>
        <w:rPr>
          <w:rFonts w:ascii="宋体" w:hAnsi="宋体"/>
          <w:sz w:val="28"/>
          <w:szCs w:val="28"/>
          <w:highlight w:val="none"/>
        </w:rPr>
      </w:pPr>
      <w:r>
        <w:rPr>
          <w:rFonts w:ascii="宋体" w:hAnsi="宋体"/>
          <w:sz w:val="28"/>
          <w:szCs w:val="28"/>
          <w:highlight w:val="none"/>
        </w:rPr>
        <w:t>4</w:t>
      </w:r>
      <w:r>
        <w:rPr>
          <w:rFonts w:hint="eastAsia" w:ascii="宋体" w:hAnsi="宋体"/>
          <w:sz w:val="28"/>
          <w:szCs w:val="28"/>
          <w:highlight w:val="none"/>
        </w:rPr>
        <w:t>）</w:t>
      </w:r>
      <w:r>
        <w:rPr>
          <w:rFonts w:ascii="宋体" w:hAnsi="宋体"/>
          <w:sz w:val="28"/>
          <w:szCs w:val="28"/>
          <w:highlight w:val="none"/>
        </w:rPr>
        <w:t>本技术规范书所使用的标准如遇与投标方所执行的标准不一致时，按技术要求较高的标准执行。</w:t>
      </w:r>
    </w:p>
    <w:p>
      <w:pPr>
        <w:adjustRightInd w:val="0"/>
        <w:snapToGrid w:val="0"/>
        <w:spacing w:line="348" w:lineRule="auto"/>
        <w:ind w:firstLine="560" w:firstLineChars="200"/>
        <w:rPr>
          <w:rFonts w:ascii="宋体" w:hAnsi="宋体"/>
          <w:sz w:val="28"/>
          <w:szCs w:val="28"/>
          <w:highlight w:val="none"/>
        </w:rPr>
      </w:pPr>
      <w:r>
        <w:rPr>
          <w:rFonts w:ascii="宋体" w:hAnsi="宋体"/>
          <w:sz w:val="28"/>
          <w:szCs w:val="28"/>
          <w:highlight w:val="none"/>
        </w:rPr>
        <w:t>5) 本技术规范书未尽事宜，由买、卖双方协商确定。</w:t>
      </w:r>
    </w:p>
    <w:p>
      <w:pPr>
        <w:adjustRightInd w:val="0"/>
        <w:snapToGrid w:val="0"/>
        <w:spacing w:line="348" w:lineRule="auto"/>
        <w:ind w:firstLine="560" w:firstLineChars="200"/>
        <w:rPr>
          <w:rFonts w:ascii="宋体" w:hAnsi="宋体"/>
          <w:sz w:val="28"/>
          <w:szCs w:val="28"/>
          <w:highlight w:val="none"/>
        </w:rPr>
      </w:pPr>
      <w:r>
        <w:rPr>
          <w:rFonts w:ascii="宋体" w:hAnsi="宋体"/>
          <w:sz w:val="28"/>
          <w:szCs w:val="28"/>
          <w:highlight w:val="none"/>
        </w:rPr>
        <w:t>6</w:t>
      </w:r>
      <w:r>
        <w:rPr>
          <w:rFonts w:hint="eastAsia" w:ascii="宋体" w:hAnsi="宋体"/>
          <w:sz w:val="28"/>
          <w:szCs w:val="28"/>
          <w:highlight w:val="none"/>
        </w:rPr>
        <w:t>）</w:t>
      </w:r>
      <w:r>
        <w:rPr>
          <w:rFonts w:ascii="宋体" w:hAnsi="宋体"/>
          <w:sz w:val="28"/>
          <w:szCs w:val="28"/>
          <w:highlight w:val="none"/>
        </w:rPr>
        <w:t>本技术规范书所使用的标准如遇与投标单位所执行的标准发生矛盾时，按较高标准执行，本技术规范书未全部引用应用标准，凡是本技术规范书牵涉的各项内容均按最新标准实施。</w:t>
      </w:r>
    </w:p>
    <w:p>
      <w:pPr>
        <w:adjustRightInd w:val="0"/>
        <w:snapToGrid w:val="0"/>
        <w:spacing w:line="348" w:lineRule="auto"/>
        <w:ind w:firstLine="560" w:firstLineChars="200"/>
        <w:rPr>
          <w:rFonts w:hint="eastAsia" w:ascii="宋体" w:hAnsi="宋体"/>
          <w:sz w:val="28"/>
          <w:szCs w:val="28"/>
          <w:highlight w:val="none"/>
        </w:rPr>
      </w:pPr>
      <w:r>
        <w:rPr>
          <w:rFonts w:ascii="宋体" w:hAnsi="宋体"/>
          <w:sz w:val="28"/>
          <w:szCs w:val="28"/>
          <w:highlight w:val="none"/>
        </w:rPr>
        <w:t>7</w:t>
      </w:r>
      <w:r>
        <w:rPr>
          <w:rFonts w:hint="eastAsia" w:ascii="宋体" w:hAnsi="宋体"/>
          <w:sz w:val="28"/>
          <w:szCs w:val="28"/>
          <w:highlight w:val="none"/>
        </w:rPr>
        <w:t>）</w:t>
      </w:r>
      <w:r>
        <w:rPr>
          <w:rFonts w:ascii="宋体" w:hAnsi="宋体"/>
          <w:sz w:val="28"/>
          <w:szCs w:val="28"/>
          <w:highlight w:val="none"/>
        </w:rPr>
        <w:t>本技术规范书经招、投标双方确认后作为签订合同的技术附件，与合同正文具有同等的法律效力。同时，设备技术规范书未尽事宜，由招、投标双方协商确定。</w:t>
      </w:r>
    </w:p>
    <w:p>
      <w:pPr>
        <w:adjustRightInd w:val="0"/>
        <w:snapToGrid w:val="0"/>
        <w:spacing w:line="348" w:lineRule="auto"/>
        <w:ind w:firstLine="560" w:firstLineChars="200"/>
        <w:rPr>
          <w:rFonts w:hint="eastAsia" w:ascii="宋体" w:hAnsi="宋体"/>
          <w:sz w:val="28"/>
          <w:szCs w:val="28"/>
          <w:highlight w:val="none"/>
        </w:rPr>
      </w:pPr>
      <w:r>
        <w:rPr>
          <w:rFonts w:hint="eastAsia" w:ascii="宋体" w:hAnsi="宋体"/>
          <w:sz w:val="28"/>
          <w:szCs w:val="28"/>
          <w:highlight w:val="none"/>
        </w:rPr>
        <w:t>以上为通用条款，包括但不限于以上内容。</w:t>
      </w:r>
    </w:p>
    <w:p>
      <w:pPr>
        <w:numPr>
          <w:ilvl w:val="0"/>
          <w:numId w:val="1"/>
        </w:numPr>
        <w:rPr>
          <w:rFonts w:hint="eastAsia"/>
          <w:sz w:val="30"/>
          <w:szCs w:val="30"/>
          <w:highlight w:val="none"/>
        </w:rPr>
      </w:pPr>
      <w:r>
        <w:rPr>
          <w:rFonts w:hint="eastAsia"/>
          <w:sz w:val="30"/>
          <w:szCs w:val="30"/>
          <w:highlight w:val="none"/>
        </w:rPr>
        <w:t>工作范围</w:t>
      </w:r>
    </w:p>
    <w:p>
      <w:pPr>
        <w:rPr>
          <w:sz w:val="30"/>
          <w:szCs w:val="30"/>
          <w:highlight w:val="none"/>
        </w:rPr>
      </w:pPr>
      <w:r>
        <w:rPr>
          <w:rFonts w:hint="eastAsia"/>
          <w:sz w:val="30"/>
          <w:szCs w:val="30"/>
          <w:highlight w:val="none"/>
        </w:rPr>
        <w:t>2.1项目概况</w:t>
      </w:r>
    </w:p>
    <w:p>
      <w:pPr>
        <w:adjustRightInd w:val="0"/>
        <w:snapToGrid w:val="0"/>
        <w:spacing w:line="348" w:lineRule="auto"/>
        <w:ind w:firstLine="560" w:firstLineChars="200"/>
        <w:rPr>
          <w:rFonts w:hint="eastAsia" w:ascii="宋体" w:hAnsi="宋体"/>
          <w:sz w:val="28"/>
          <w:szCs w:val="28"/>
          <w:highlight w:val="none"/>
        </w:rPr>
      </w:pPr>
      <w:r>
        <w:rPr>
          <w:rFonts w:hint="eastAsia" w:ascii="宋体" w:hAnsi="宋体"/>
          <w:sz w:val="28"/>
          <w:szCs w:val="28"/>
          <w:highlight w:val="none"/>
        </w:rPr>
        <w:t>在主变低压侧接线中，需要对导体裸露部位缠绕绝缘材料进行包封保护，避免漏电。当前的作业中，普遍采用人工的方式进行缠绕，没有到达很好的包封效果，既不耐用又不美观，存在很多不足之处。</w:t>
      </w:r>
    </w:p>
    <w:p>
      <w:pPr>
        <w:adjustRightInd w:val="0"/>
        <w:snapToGrid w:val="0"/>
        <w:spacing w:line="348" w:lineRule="auto"/>
        <w:ind w:firstLine="560" w:firstLineChars="200"/>
        <w:rPr>
          <w:rFonts w:hint="eastAsia" w:ascii="宋体" w:hAnsi="宋体"/>
          <w:sz w:val="28"/>
          <w:szCs w:val="28"/>
          <w:highlight w:val="none"/>
          <w:lang w:eastAsia="zh-CN"/>
        </w:rPr>
      </w:pPr>
      <w:r>
        <w:rPr>
          <w:rFonts w:hint="eastAsia" w:ascii="宋体" w:hAnsi="宋体"/>
          <w:sz w:val="28"/>
          <w:szCs w:val="28"/>
          <w:highlight w:val="none"/>
          <w:lang w:eastAsia="zh-CN"/>
        </w:rPr>
        <w:t>本项目研发自粘式绝缘材料自动包封装置，</w:t>
      </w:r>
      <w:r>
        <w:rPr>
          <w:rFonts w:hint="eastAsia" w:ascii="宋体" w:hAnsi="宋体"/>
          <w:sz w:val="28"/>
          <w:szCs w:val="28"/>
          <w:highlight w:val="none"/>
        </w:rPr>
        <w:t>该装置为手持式结构，由直流电机带动传动部位，蓄电池供电，随时可充电，操作简单，携带方便，可以对不同规格的线缆进行自动包封，可以达到很好的包封效果。</w:t>
      </w:r>
    </w:p>
    <w:p>
      <w:pPr>
        <w:rPr>
          <w:sz w:val="30"/>
          <w:szCs w:val="30"/>
          <w:highlight w:val="none"/>
        </w:rPr>
      </w:pPr>
      <w:r>
        <w:rPr>
          <w:rFonts w:hint="eastAsia"/>
          <w:sz w:val="30"/>
          <w:szCs w:val="30"/>
          <w:highlight w:val="none"/>
        </w:rPr>
        <w:t>2.2服务范围</w:t>
      </w:r>
    </w:p>
    <w:p>
      <w:pPr>
        <w:pStyle w:val="8"/>
        <w:ind w:left="0" w:leftChars="0" w:firstLine="560" w:firstLineChars="200"/>
        <w:rPr>
          <w:rFonts w:ascii="宋体" w:hAnsi="宋体"/>
          <w:sz w:val="28"/>
          <w:szCs w:val="28"/>
          <w:highlight w:val="none"/>
        </w:rPr>
      </w:pPr>
      <w:r>
        <w:rPr>
          <w:rFonts w:ascii="宋体" w:hAnsi="宋体"/>
          <w:sz w:val="28"/>
          <w:szCs w:val="28"/>
          <w:highlight w:val="none"/>
        </w:rPr>
        <w:t>1</w:t>
      </w:r>
      <w:r>
        <w:rPr>
          <w:rFonts w:hint="eastAsia" w:ascii="宋体" w:hAnsi="宋体"/>
          <w:sz w:val="28"/>
          <w:szCs w:val="28"/>
          <w:highlight w:val="none"/>
        </w:rPr>
        <w:t>）供货需求及供货范围</w:t>
      </w:r>
    </w:p>
    <w:tbl>
      <w:tblPr>
        <w:tblStyle w:val="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7"/>
        <w:gridCol w:w="2025"/>
        <w:gridCol w:w="951"/>
        <w:gridCol w:w="1276"/>
        <w:gridCol w:w="20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7" w:type="dxa"/>
            <w:noWrap w:val="0"/>
            <w:vAlign w:val="center"/>
          </w:tcPr>
          <w:p>
            <w:pPr>
              <w:jc w:val="center"/>
              <w:rPr>
                <w:rFonts w:hint="eastAsia"/>
                <w:b/>
                <w:bCs/>
                <w:sz w:val="28"/>
                <w:szCs w:val="28"/>
                <w:highlight w:val="none"/>
              </w:rPr>
            </w:pPr>
            <w:r>
              <w:rPr>
                <w:rFonts w:hint="eastAsia"/>
                <w:b/>
                <w:bCs/>
                <w:sz w:val="28"/>
                <w:szCs w:val="28"/>
                <w:highlight w:val="none"/>
              </w:rPr>
              <w:t>序号</w:t>
            </w:r>
          </w:p>
        </w:tc>
        <w:tc>
          <w:tcPr>
            <w:tcW w:w="2025" w:type="dxa"/>
            <w:noWrap w:val="0"/>
            <w:vAlign w:val="center"/>
          </w:tcPr>
          <w:p>
            <w:pPr>
              <w:jc w:val="center"/>
              <w:rPr>
                <w:rFonts w:hint="eastAsia"/>
                <w:b/>
                <w:bCs/>
                <w:sz w:val="28"/>
                <w:szCs w:val="28"/>
                <w:highlight w:val="none"/>
              </w:rPr>
            </w:pPr>
            <w:r>
              <w:rPr>
                <w:rFonts w:hint="eastAsia"/>
                <w:b/>
                <w:bCs/>
                <w:sz w:val="28"/>
                <w:szCs w:val="28"/>
                <w:highlight w:val="none"/>
              </w:rPr>
              <w:t>项目名称</w:t>
            </w:r>
          </w:p>
        </w:tc>
        <w:tc>
          <w:tcPr>
            <w:tcW w:w="951" w:type="dxa"/>
            <w:noWrap w:val="0"/>
            <w:vAlign w:val="center"/>
          </w:tcPr>
          <w:p>
            <w:pPr>
              <w:jc w:val="center"/>
              <w:rPr>
                <w:rFonts w:hint="eastAsia"/>
                <w:b/>
                <w:bCs/>
                <w:sz w:val="28"/>
                <w:szCs w:val="28"/>
                <w:highlight w:val="none"/>
              </w:rPr>
            </w:pPr>
            <w:r>
              <w:rPr>
                <w:rFonts w:hint="eastAsia"/>
                <w:b/>
                <w:bCs/>
                <w:sz w:val="28"/>
                <w:szCs w:val="28"/>
                <w:highlight w:val="none"/>
              </w:rPr>
              <w:t>计量单位</w:t>
            </w:r>
          </w:p>
        </w:tc>
        <w:tc>
          <w:tcPr>
            <w:tcW w:w="1276" w:type="dxa"/>
            <w:noWrap w:val="0"/>
            <w:vAlign w:val="center"/>
          </w:tcPr>
          <w:p>
            <w:pPr>
              <w:jc w:val="center"/>
              <w:rPr>
                <w:rFonts w:hint="eastAsia"/>
                <w:b/>
                <w:bCs/>
                <w:sz w:val="28"/>
                <w:szCs w:val="28"/>
                <w:highlight w:val="none"/>
              </w:rPr>
            </w:pPr>
            <w:r>
              <w:rPr>
                <w:rFonts w:hint="eastAsia"/>
                <w:b/>
                <w:bCs/>
                <w:sz w:val="28"/>
                <w:szCs w:val="28"/>
                <w:highlight w:val="none"/>
              </w:rPr>
              <w:t>项目要求数量</w:t>
            </w:r>
          </w:p>
        </w:tc>
        <w:tc>
          <w:tcPr>
            <w:tcW w:w="2035" w:type="dxa"/>
            <w:noWrap w:val="0"/>
            <w:vAlign w:val="center"/>
          </w:tcPr>
          <w:p>
            <w:pPr>
              <w:jc w:val="center"/>
              <w:rPr>
                <w:rFonts w:hint="eastAsia"/>
                <w:b/>
                <w:bCs/>
                <w:sz w:val="28"/>
                <w:szCs w:val="28"/>
                <w:highlight w:val="none"/>
              </w:rPr>
            </w:pPr>
            <w:r>
              <w:rPr>
                <w:rFonts w:hint="eastAsia"/>
                <w:b/>
                <w:bCs/>
                <w:sz w:val="28"/>
                <w:szCs w:val="28"/>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7" w:type="dxa"/>
            <w:noWrap w:val="0"/>
            <w:vAlign w:val="center"/>
          </w:tcPr>
          <w:p>
            <w:pPr>
              <w:jc w:val="center"/>
              <w:rPr>
                <w:rFonts w:hint="eastAsia" w:ascii="宋体" w:hAnsi="宋体"/>
                <w:sz w:val="28"/>
                <w:szCs w:val="28"/>
                <w:highlight w:val="none"/>
              </w:rPr>
            </w:pPr>
            <w:r>
              <w:rPr>
                <w:rFonts w:hint="eastAsia" w:ascii="宋体" w:hAnsi="宋体"/>
                <w:sz w:val="28"/>
                <w:szCs w:val="28"/>
                <w:highlight w:val="none"/>
              </w:rPr>
              <w:t>1</w:t>
            </w:r>
          </w:p>
        </w:tc>
        <w:tc>
          <w:tcPr>
            <w:tcW w:w="2025" w:type="dxa"/>
            <w:noWrap w:val="0"/>
            <w:vAlign w:val="center"/>
          </w:tcPr>
          <w:p>
            <w:pPr>
              <w:jc w:val="center"/>
              <w:rPr>
                <w:rFonts w:hint="eastAsia" w:ascii="宋体" w:hAnsi="宋体" w:eastAsia="宋体"/>
                <w:sz w:val="28"/>
                <w:szCs w:val="28"/>
                <w:highlight w:val="none"/>
                <w:lang w:eastAsia="zh-CN"/>
              </w:rPr>
            </w:pPr>
            <w:r>
              <w:rPr>
                <w:rFonts w:hint="eastAsia" w:ascii="宋体" w:hAnsi="宋体"/>
                <w:sz w:val="28"/>
                <w:szCs w:val="28"/>
                <w:highlight w:val="none"/>
                <w:lang w:eastAsia="zh-CN"/>
              </w:rPr>
              <w:t>自粘式绝缘材料自动包封装置</w:t>
            </w:r>
          </w:p>
        </w:tc>
        <w:tc>
          <w:tcPr>
            <w:tcW w:w="951" w:type="dxa"/>
            <w:noWrap w:val="0"/>
            <w:vAlign w:val="center"/>
          </w:tcPr>
          <w:p>
            <w:pPr>
              <w:jc w:val="center"/>
              <w:rPr>
                <w:rFonts w:hint="eastAsia" w:ascii="宋体" w:hAnsi="宋体" w:eastAsia="宋体"/>
                <w:sz w:val="28"/>
                <w:szCs w:val="28"/>
                <w:highlight w:val="none"/>
                <w:lang w:eastAsia="zh-CN"/>
              </w:rPr>
            </w:pPr>
            <w:r>
              <w:rPr>
                <w:rFonts w:hint="eastAsia" w:ascii="宋体" w:hAnsi="宋体"/>
                <w:sz w:val="28"/>
                <w:szCs w:val="28"/>
                <w:highlight w:val="none"/>
                <w:lang w:val="en-US" w:eastAsia="zh-CN"/>
              </w:rPr>
              <w:t>套</w:t>
            </w:r>
          </w:p>
        </w:tc>
        <w:tc>
          <w:tcPr>
            <w:tcW w:w="1276" w:type="dxa"/>
            <w:noWrap w:val="0"/>
            <w:vAlign w:val="center"/>
          </w:tcPr>
          <w:p>
            <w:pPr>
              <w:jc w:val="center"/>
              <w:rPr>
                <w:rFonts w:hint="eastAsia" w:ascii="宋体" w:hAnsi="宋体"/>
                <w:sz w:val="28"/>
                <w:szCs w:val="28"/>
                <w:highlight w:val="none"/>
              </w:rPr>
            </w:pPr>
            <w:r>
              <w:rPr>
                <w:rFonts w:hint="eastAsia" w:ascii="宋体" w:hAnsi="宋体"/>
                <w:sz w:val="28"/>
                <w:szCs w:val="28"/>
                <w:highlight w:val="none"/>
              </w:rPr>
              <w:t>1</w:t>
            </w:r>
          </w:p>
        </w:tc>
        <w:tc>
          <w:tcPr>
            <w:tcW w:w="2035" w:type="dxa"/>
            <w:noWrap w:val="0"/>
            <w:vAlign w:val="center"/>
          </w:tcPr>
          <w:p>
            <w:pPr>
              <w:jc w:val="center"/>
              <w:rPr>
                <w:rFonts w:hint="eastAsia" w:ascii="宋体" w:hAnsi="宋体"/>
                <w:sz w:val="28"/>
                <w:szCs w:val="28"/>
                <w:highlight w:val="none"/>
              </w:rPr>
            </w:pPr>
            <w:r>
              <w:rPr>
                <w:rFonts w:hint="eastAsia" w:ascii="宋体" w:hAnsi="宋体"/>
                <w:sz w:val="28"/>
                <w:szCs w:val="28"/>
                <w:highlight w:val="none"/>
              </w:rPr>
              <w:t>供应商需提</w:t>
            </w:r>
            <w:r>
              <w:rPr>
                <w:rFonts w:hint="eastAsia" w:ascii="宋体" w:hAnsi="宋体"/>
                <w:sz w:val="28"/>
                <w:szCs w:val="28"/>
                <w:highlight w:val="none"/>
                <w:lang w:eastAsia="zh-CN"/>
              </w:rPr>
              <w:t>供</w:t>
            </w:r>
            <w:bookmarkStart w:id="3" w:name="_GoBack"/>
            <w:bookmarkEnd w:id="3"/>
            <w:r>
              <w:rPr>
                <w:rFonts w:hint="eastAsia" w:ascii="宋体" w:hAnsi="宋体"/>
                <w:sz w:val="28"/>
                <w:szCs w:val="28"/>
                <w:highlight w:val="none"/>
              </w:rPr>
              <w:t>报价明细</w:t>
            </w:r>
          </w:p>
        </w:tc>
      </w:tr>
    </w:tbl>
    <w:p>
      <w:pPr>
        <w:rPr>
          <w:rFonts w:hint="eastAsia"/>
          <w:highlight w:val="none"/>
        </w:rPr>
      </w:pPr>
    </w:p>
    <w:p>
      <w:pPr>
        <w:spacing w:line="360" w:lineRule="auto"/>
        <w:ind w:firstLine="560" w:firstLineChars="200"/>
        <w:rPr>
          <w:rFonts w:ascii="宋体" w:hAnsi="宋体" w:cs="仿宋"/>
          <w:sz w:val="28"/>
          <w:szCs w:val="28"/>
          <w:highlight w:val="none"/>
        </w:rPr>
      </w:pPr>
      <w:r>
        <w:rPr>
          <w:rFonts w:ascii="宋体" w:hAnsi="宋体"/>
          <w:sz w:val="28"/>
          <w:szCs w:val="28"/>
          <w:highlight w:val="none"/>
        </w:rPr>
        <w:t>2</w:t>
      </w:r>
      <w:r>
        <w:rPr>
          <w:rFonts w:hint="eastAsia" w:ascii="宋体" w:hAnsi="宋体"/>
          <w:sz w:val="28"/>
          <w:szCs w:val="28"/>
          <w:highlight w:val="none"/>
        </w:rPr>
        <w:t>）投标方应按本技术规范书的要求提供全新的、合</w:t>
      </w:r>
      <w:r>
        <w:rPr>
          <w:rFonts w:hint="eastAsia" w:ascii="宋体" w:hAnsi="宋体" w:cs="仿宋"/>
          <w:sz w:val="28"/>
          <w:szCs w:val="28"/>
          <w:highlight w:val="none"/>
        </w:rPr>
        <w:t>格的</w:t>
      </w:r>
      <w:r>
        <w:rPr>
          <w:rFonts w:hint="eastAsia" w:ascii="宋体" w:hAnsi="宋体"/>
          <w:sz w:val="28"/>
          <w:szCs w:val="28"/>
          <w:highlight w:val="none"/>
          <w:u w:val="single"/>
          <w:lang w:eastAsia="zh-CN"/>
        </w:rPr>
        <w:t>自粘式绝缘材料自动包封装置</w:t>
      </w:r>
      <w:r>
        <w:rPr>
          <w:rFonts w:hint="eastAsia" w:ascii="宋体" w:hAnsi="宋体" w:cs="仿宋"/>
          <w:sz w:val="28"/>
          <w:szCs w:val="28"/>
          <w:highlight w:val="none"/>
        </w:rPr>
        <w:t>物资以及必要的备品备件（如有）、专用工具（如有）和仪器（如有）。</w:t>
      </w:r>
    </w:p>
    <w:p>
      <w:pPr>
        <w:spacing w:line="360" w:lineRule="auto"/>
        <w:ind w:firstLine="560" w:firstLineChars="200"/>
        <w:rPr>
          <w:rFonts w:ascii="宋体" w:hAnsi="宋体"/>
          <w:sz w:val="28"/>
          <w:szCs w:val="28"/>
          <w:highlight w:val="none"/>
        </w:rPr>
      </w:pPr>
      <w:r>
        <w:rPr>
          <w:rFonts w:ascii="宋体" w:hAnsi="宋体"/>
          <w:sz w:val="28"/>
          <w:szCs w:val="28"/>
          <w:highlight w:val="none"/>
        </w:rPr>
        <w:t>4</w:t>
      </w:r>
      <w:r>
        <w:rPr>
          <w:rFonts w:hint="eastAsia" w:ascii="宋体" w:hAnsi="宋体"/>
          <w:sz w:val="28"/>
          <w:szCs w:val="28"/>
          <w:highlight w:val="none"/>
        </w:rPr>
        <w:t>）投标方须免费提供现场的集中培训，确保业主方在理论、实操和产品维护方面得到培训，熟悉和掌握产品的使用和维护。</w:t>
      </w:r>
    </w:p>
    <w:p>
      <w:pPr>
        <w:spacing w:line="360" w:lineRule="auto"/>
        <w:ind w:firstLine="560" w:firstLineChars="200"/>
        <w:rPr>
          <w:rFonts w:ascii="宋体" w:hAnsi="宋体"/>
          <w:sz w:val="28"/>
          <w:szCs w:val="28"/>
          <w:highlight w:val="none"/>
        </w:rPr>
      </w:pPr>
      <w:r>
        <w:rPr>
          <w:rFonts w:hint="eastAsia" w:ascii="宋体" w:hAnsi="宋体"/>
          <w:sz w:val="28"/>
          <w:szCs w:val="28"/>
          <w:highlight w:val="none"/>
        </w:rPr>
        <w:t>5）验收包括开箱验收和功能验收两部分。</w:t>
      </w:r>
      <w:bookmarkStart w:id="0" w:name="_Toc257812192"/>
      <w:bookmarkStart w:id="1" w:name="_Toc387612876"/>
      <w:bookmarkStart w:id="2" w:name="_Toc341535616"/>
      <w:r>
        <w:rPr>
          <w:rFonts w:hint="eastAsia" w:ascii="宋体" w:hAnsi="宋体"/>
          <w:sz w:val="28"/>
          <w:szCs w:val="28"/>
          <w:highlight w:val="none"/>
        </w:rPr>
        <w:t>其中，开箱验收包括检查产品外包装是否完整；功能验收指装置产品各项指标参数是否与规范书保持一致。</w:t>
      </w:r>
    </w:p>
    <w:bookmarkEnd w:id="0"/>
    <w:bookmarkEnd w:id="1"/>
    <w:bookmarkEnd w:id="2"/>
    <w:p>
      <w:pPr>
        <w:spacing w:line="360" w:lineRule="auto"/>
        <w:ind w:firstLine="560" w:firstLineChars="200"/>
        <w:rPr>
          <w:rFonts w:ascii="宋体" w:hAnsi="宋体"/>
          <w:sz w:val="28"/>
          <w:szCs w:val="28"/>
          <w:highlight w:val="none"/>
        </w:rPr>
      </w:pPr>
      <w:r>
        <w:rPr>
          <w:rFonts w:hint="eastAsia" w:ascii="宋体" w:hAnsi="宋体"/>
          <w:sz w:val="28"/>
          <w:szCs w:val="28"/>
          <w:highlight w:val="none"/>
        </w:rPr>
        <w:t>6）投标人应对所投产品具备技术支持及售后能力，售后服务内容包括但不限于：技术咨询、技术支持、产品培训、产品故障排查处理、故障维修等。</w:t>
      </w:r>
    </w:p>
    <w:p>
      <w:pPr>
        <w:rPr>
          <w:rFonts w:hint="eastAsia"/>
          <w:sz w:val="30"/>
          <w:szCs w:val="30"/>
          <w:highlight w:val="none"/>
        </w:rPr>
      </w:pPr>
      <w:r>
        <w:rPr>
          <w:rFonts w:hint="eastAsia"/>
          <w:sz w:val="30"/>
          <w:szCs w:val="30"/>
          <w:highlight w:val="none"/>
        </w:rPr>
        <w:t>2.3服务内容</w:t>
      </w:r>
    </w:p>
    <w:p>
      <w:pPr>
        <w:pStyle w:val="8"/>
        <w:spacing w:line="360" w:lineRule="auto"/>
        <w:ind w:left="0" w:leftChars="0" w:firstLine="560" w:firstLineChars="200"/>
        <w:rPr>
          <w:rFonts w:ascii="宋体" w:hAnsi="宋体" w:cs="仿宋"/>
          <w:sz w:val="28"/>
          <w:szCs w:val="28"/>
          <w:highlight w:val="none"/>
        </w:rPr>
      </w:pPr>
      <w:r>
        <w:rPr>
          <w:rFonts w:hint="eastAsia" w:ascii="宋体" w:hAnsi="宋体"/>
          <w:sz w:val="28"/>
          <w:szCs w:val="28"/>
          <w:highlight w:val="none"/>
        </w:rPr>
        <w:t>投标方提供</w:t>
      </w:r>
      <w:r>
        <w:rPr>
          <w:rFonts w:hint="eastAsia" w:ascii="宋体" w:hAnsi="宋体" w:cs="仿宋"/>
          <w:sz w:val="28"/>
          <w:szCs w:val="28"/>
          <w:highlight w:val="none"/>
        </w:rPr>
        <w:t>的</w:t>
      </w:r>
      <w:r>
        <w:rPr>
          <w:rFonts w:hint="eastAsia" w:ascii="宋体" w:hAnsi="宋体"/>
          <w:sz w:val="28"/>
          <w:szCs w:val="28"/>
          <w:highlight w:val="none"/>
          <w:u w:val="single"/>
          <w:lang w:eastAsia="zh-CN"/>
        </w:rPr>
        <w:t>自粘式绝缘材料自动包封装置</w:t>
      </w:r>
      <w:r>
        <w:rPr>
          <w:rFonts w:hint="eastAsia" w:ascii="宋体" w:hAnsi="宋体" w:cs="仿宋"/>
          <w:sz w:val="28"/>
          <w:szCs w:val="28"/>
          <w:highlight w:val="none"/>
        </w:rPr>
        <w:t>物资的具体内容见表2</w:t>
      </w:r>
      <w:r>
        <w:rPr>
          <w:rFonts w:ascii="宋体" w:hAnsi="宋体" w:cs="仿宋"/>
          <w:sz w:val="28"/>
          <w:szCs w:val="28"/>
          <w:highlight w:val="none"/>
        </w:rPr>
        <w:t>.1</w:t>
      </w:r>
      <w:r>
        <w:rPr>
          <w:rFonts w:hint="eastAsia" w:ascii="宋体" w:hAnsi="宋体" w:cs="仿宋"/>
          <w:sz w:val="28"/>
          <w:szCs w:val="28"/>
          <w:highlight w:val="none"/>
        </w:rPr>
        <w:t>供货范围及物资内容需求一览表。</w:t>
      </w:r>
    </w:p>
    <w:p>
      <w:pPr>
        <w:jc w:val="center"/>
        <w:rPr>
          <w:rFonts w:ascii="宋体" w:hAnsi="宋体"/>
          <w:b/>
          <w:bCs/>
          <w:sz w:val="24"/>
          <w:highlight w:val="none"/>
        </w:rPr>
      </w:pPr>
      <w:r>
        <w:rPr>
          <w:rFonts w:hint="eastAsia" w:ascii="宋体" w:hAnsi="宋体"/>
          <w:b/>
          <w:bCs/>
          <w:sz w:val="24"/>
          <w:highlight w:val="none"/>
        </w:rPr>
        <w:t>表2</w:t>
      </w:r>
      <w:r>
        <w:rPr>
          <w:rFonts w:ascii="宋体" w:hAnsi="宋体"/>
          <w:b/>
          <w:bCs/>
          <w:sz w:val="24"/>
          <w:highlight w:val="none"/>
        </w:rPr>
        <w:t>.1</w:t>
      </w:r>
      <w:r>
        <w:rPr>
          <w:rFonts w:hint="eastAsia" w:ascii="宋体" w:hAnsi="宋体"/>
          <w:b/>
          <w:bCs/>
          <w:sz w:val="24"/>
          <w:highlight w:val="none"/>
        </w:rPr>
        <w:t>供货范围及物资需求一览表</w:t>
      </w:r>
    </w:p>
    <w:tbl>
      <w:tblPr>
        <w:tblStyle w:val="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59"/>
        <w:gridCol w:w="925"/>
        <w:gridCol w:w="851"/>
        <w:gridCol w:w="708"/>
        <w:gridCol w:w="2953"/>
        <w:gridCol w:w="457"/>
        <w:gridCol w:w="477"/>
        <w:gridCol w:w="824"/>
        <w:gridCol w:w="86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9" w:type="dxa"/>
            <w:vMerge w:val="restart"/>
            <w:noWrap w:val="0"/>
            <w:vAlign w:val="center"/>
          </w:tcPr>
          <w:p>
            <w:pPr>
              <w:pStyle w:val="8"/>
              <w:ind w:left="0" w:leftChars="0"/>
              <w:jc w:val="center"/>
              <w:rPr>
                <w:rFonts w:hint="eastAsia"/>
                <w:b/>
                <w:bCs/>
                <w:sz w:val="24"/>
                <w:highlight w:val="none"/>
              </w:rPr>
            </w:pPr>
            <w:r>
              <w:rPr>
                <w:rFonts w:hint="eastAsia"/>
                <w:b/>
                <w:bCs/>
                <w:sz w:val="24"/>
                <w:highlight w:val="none"/>
              </w:rPr>
              <w:t>序号</w:t>
            </w:r>
          </w:p>
        </w:tc>
        <w:tc>
          <w:tcPr>
            <w:tcW w:w="925" w:type="dxa"/>
            <w:vMerge w:val="restart"/>
            <w:noWrap w:val="0"/>
            <w:vAlign w:val="center"/>
          </w:tcPr>
          <w:p>
            <w:pPr>
              <w:pStyle w:val="8"/>
              <w:ind w:left="0" w:leftChars="0"/>
              <w:jc w:val="center"/>
              <w:rPr>
                <w:rFonts w:hint="eastAsia"/>
                <w:b/>
                <w:bCs/>
                <w:sz w:val="24"/>
                <w:highlight w:val="none"/>
              </w:rPr>
            </w:pPr>
            <w:r>
              <w:rPr>
                <w:rFonts w:hint="eastAsia"/>
                <w:b/>
                <w:bCs/>
                <w:sz w:val="24"/>
                <w:highlight w:val="none"/>
              </w:rPr>
              <w:t>项目名称</w:t>
            </w:r>
          </w:p>
        </w:tc>
        <w:tc>
          <w:tcPr>
            <w:tcW w:w="851" w:type="dxa"/>
            <w:vMerge w:val="restart"/>
            <w:noWrap w:val="0"/>
            <w:vAlign w:val="center"/>
          </w:tcPr>
          <w:p>
            <w:pPr>
              <w:pStyle w:val="8"/>
              <w:ind w:left="0" w:leftChars="0"/>
              <w:jc w:val="center"/>
              <w:rPr>
                <w:rFonts w:hint="eastAsia"/>
                <w:b/>
                <w:bCs/>
                <w:sz w:val="24"/>
                <w:highlight w:val="none"/>
              </w:rPr>
            </w:pPr>
            <w:r>
              <w:rPr>
                <w:rFonts w:hint="eastAsia"/>
                <w:b/>
                <w:bCs/>
                <w:sz w:val="24"/>
                <w:highlight w:val="none"/>
              </w:rPr>
              <w:t>物资名称</w:t>
            </w:r>
          </w:p>
        </w:tc>
        <w:tc>
          <w:tcPr>
            <w:tcW w:w="708" w:type="dxa"/>
            <w:vMerge w:val="restart"/>
            <w:noWrap w:val="0"/>
            <w:vAlign w:val="center"/>
          </w:tcPr>
          <w:p>
            <w:pPr>
              <w:pStyle w:val="8"/>
              <w:ind w:left="0" w:leftChars="0"/>
              <w:jc w:val="center"/>
              <w:rPr>
                <w:rFonts w:hint="eastAsia"/>
                <w:b/>
                <w:bCs/>
                <w:sz w:val="24"/>
                <w:highlight w:val="none"/>
              </w:rPr>
            </w:pPr>
            <w:r>
              <w:rPr>
                <w:rFonts w:hint="eastAsia"/>
                <w:b/>
                <w:bCs/>
                <w:sz w:val="24"/>
                <w:highlight w:val="none"/>
              </w:rPr>
              <w:t>规格型号</w:t>
            </w:r>
          </w:p>
        </w:tc>
        <w:tc>
          <w:tcPr>
            <w:tcW w:w="3887" w:type="dxa"/>
            <w:gridSpan w:val="3"/>
            <w:noWrap w:val="0"/>
            <w:vAlign w:val="center"/>
          </w:tcPr>
          <w:p>
            <w:pPr>
              <w:pStyle w:val="8"/>
              <w:ind w:left="0" w:leftChars="0"/>
              <w:jc w:val="center"/>
              <w:rPr>
                <w:rFonts w:hint="eastAsia"/>
                <w:b/>
                <w:bCs/>
                <w:sz w:val="24"/>
                <w:highlight w:val="none"/>
              </w:rPr>
            </w:pPr>
            <w:r>
              <w:rPr>
                <w:rFonts w:hint="eastAsia"/>
                <w:b/>
                <w:bCs/>
                <w:sz w:val="24"/>
                <w:highlight w:val="none"/>
              </w:rPr>
              <w:t>招标人要求</w:t>
            </w:r>
          </w:p>
        </w:tc>
        <w:tc>
          <w:tcPr>
            <w:tcW w:w="1692" w:type="dxa"/>
            <w:gridSpan w:val="2"/>
            <w:noWrap w:val="0"/>
            <w:vAlign w:val="center"/>
          </w:tcPr>
          <w:p>
            <w:pPr>
              <w:pStyle w:val="8"/>
              <w:ind w:left="0" w:leftChars="0"/>
              <w:jc w:val="center"/>
              <w:rPr>
                <w:rFonts w:hint="eastAsia"/>
                <w:b/>
                <w:bCs/>
                <w:sz w:val="24"/>
                <w:highlight w:val="none"/>
              </w:rPr>
            </w:pPr>
            <w:r>
              <w:rPr>
                <w:rFonts w:hint="eastAsia"/>
                <w:b/>
                <w:bCs/>
                <w:sz w:val="24"/>
                <w:highlight w:val="none"/>
              </w:rPr>
              <w:t>投标人响应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9" w:type="dxa"/>
            <w:vMerge w:val="continue"/>
            <w:noWrap w:val="0"/>
            <w:vAlign w:val="center"/>
          </w:tcPr>
          <w:p>
            <w:pPr>
              <w:pStyle w:val="8"/>
              <w:ind w:left="0" w:leftChars="0"/>
              <w:jc w:val="center"/>
              <w:rPr>
                <w:rFonts w:hint="eastAsia"/>
                <w:b/>
                <w:bCs/>
                <w:sz w:val="24"/>
                <w:highlight w:val="none"/>
              </w:rPr>
            </w:pPr>
          </w:p>
        </w:tc>
        <w:tc>
          <w:tcPr>
            <w:tcW w:w="925" w:type="dxa"/>
            <w:vMerge w:val="continue"/>
            <w:noWrap w:val="0"/>
            <w:vAlign w:val="center"/>
          </w:tcPr>
          <w:p>
            <w:pPr>
              <w:pStyle w:val="8"/>
              <w:ind w:left="0" w:leftChars="0"/>
              <w:jc w:val="center"/>
              <w:rPr>
                <w:rFonts w:hint="eastAsia"/>
                <w:b/>
                <w:bCs/>
                <w:sz w:val="24"/>
                <w:highlight w:val="none"/>
              </w:rPr>
            </w:pPr>
          </w:p>
        </w:tc>
        <w:tc>
          <w:tcPr>
            <w:tcW w:w="851" w:type="dxa"/>
            <w:vMerge w:val="continue"/>
            <w:noWrap w:val="0"/>
            <w:vAlign w:val="center"/>
          </w:tcPr>
          <w:p>
            <w:pPr>
              <w:pStyle w:val="8"/>
              <w:ind w:left="0" w:leftChars="0"/>
              <w:jc w:val="center"/>
              <w:rPr>
                <w:rFonts w:hint="eastAsia"/>
                <w:b/>
                <w:bCs/>
                <w:sz w:val="24"/>
                <w:highlight w:val="none"/>
              </w:rPr>
            </w:pPr>
          </w:p>
        </w:tc>
        <w:tc>
          <w:tcPr>
            <w:tcW w:w="708" w:type="dxa"/>
            <w:vMerge w:val="continue"/>
            <w:noWrap w:val="0"/>
            <w:vAlign w:val="center"/>
          </w:tcPr>
          <w:p>
            <w:pPr>
              <w:pStyle w:val="8"/>
              <w:ind w:left="0" w:leftChars="0"/>
              <w:jc w:val="center"/>
              <w:rPr>
                <w:rFonts w:hint="eastAsia"/>
                <w:b/>
                <w:bCs/>
                <w:sz w:val="24"/>
                <w:highlight w:val="none"/>
              </w:rPr>
            </w:pPr>
          </w:p>
        </w:tc>
        <w:tc>
          <w:tcPr>
            <w:tcW w:w="2953" w:type="dxa"/>
            <w:noWrap w:val="0"/>
            <w:vAlign w:val="center"/>
          </w:tcPr>
          <w:p>
            <w:pPr>
              <w:pStyle w:val="8"/>
              <w:ind w:left="0" w:leftChars="0"/>
              <w:jc w:val="center"/>
              <w:rPr>
                <w:rFonts w:hint="eastAsia"/>
                <w:b/>
                <w:bCs/>
                <w:sz w:val="24"/>
                <w:highlight w:val="none"/>
              </w:rPr>
            </w:pPr>
            <w:r>
              <w:rPr>
                <w:rFonts w:hint="eastAsia"/>
                <w:b/>
                <w:bCs/>
                <w:sz w:val="24"/>
                <w:highlight w:val="none"/>
              </w:rPr>
              <w:t>主要参数</w:t>
            </w:r>
          </w:p>
        </w:tc>
        <w:tc>
          <w:tcPr>
            <w:tcW w:w="457" w:type="dxa"/>
            <w:noWrap w:val="0"/>
            <w:vAlign w:val="center"/>
          </w:tcPr>
          <w:p>
            <w:pPr>
              <w:pStyle w:val="8"/>
              <w:ind w:left="0" w:leftChars="0"/>
              <w:jc w:val="center"/>
              <w:rPr>
                <w:rFonts w:hint="eastAsia"/>
                <w:b/>
                <w:bCs/>
                <w:sz w:val="24"/>
                <w:highlight w:val="none"/>
              </w:rPr>
            </w:pPr>
            <w:r>
              <w:rPr>
                <w:rFonts w:hint="eastAsia"/>
                <w:b/>
                <w:bCs/>
                <w:sz w:val="24"/>
                <w:highlight w:val="none"/>
              </w:rPr>
              <w:t>单位</w:t>
            </w:r>
          </w:p>
        </w:tc>
        <w:tc>
          <w:tcPr>
            <w:tcW w:w="477" w:type="dxa"/>
            <w:noWrap w:val="0"/>
            <w:vAlign w:val="center"/>
          </w:tcPr>
          <w:p>
            <w:pPr>
              <w:pStyle w:val="8"/>
              <w:ind w:left="0" w:leftChars="0"/>
              <w:jc w:val="center"/>
              <w:rPr>
                <w:rFonts w:hint="eastAsia"/>
                <w:b/>
                <w:bCs/>
                <w:sz w:val="24"/>
                <w:highlight w:val="none"/>
              </w:rPr>
            </w:pPr>
            <w:r>
              <w:rPr>
                <w:rFonts w:hint="eastAsia"/>
                <w:b/>
                <w:bCs/>
                <w:sz w:val="24"/>
                <w:highlight w:val="none"/>
              </w:rPr>
              <w:t>数量</w:t>
            </w:r>
          </w:p>
        </w:tc>
        <w:tc>
          <w:tcPr>
            <w:tcW w:w="824" w:type="dxa"/>
            <w:noWrap w:val="0"/>
            <w:vAlign w:val="center"/>
          </w:tcPr>
          <w:p>
            <w:pPr>
              <w:pStyle w:val="8"/>
              <w:ind w:left="0" w:leftChars="0"/>
              <w:jc w:val="center"/>
              <w:rPr>
                <w:rFonts w:hint="eastAsia"/>
                <w:b/>
                <w:bCs/>
                <w:sz w:val="24"/>
                <w:highlight w:val="none"/>
              </w:rPr>
            </w:pPr>
            <w:r>
              <w:rPr>
                <w:rFonts w:hint="eastAsia"/>
                <w:b/>
                <w:bCs/>
                <w:sz w:val="24"/>
                <w:highlight w:val="none"/>
              </w:rPr>
              <w:t>数量</w:t>
            </w:r>
          </w:p>
        </w:tc>
        <w:tc>
          <w:tcPr>
            <w:tcW w:w="868" w:type="dxa"/>
            <w:noWrap w:val="0"/>
            <w:vAlign w:val="center"/>
          </w:tcPr>
          <w:p>
            <w:pPr>
              <w:pStyle w:val="8"/>
              <w:ind w:left="0" w:leftChars="0"/>
              <w:jc w:val="center"/>
              <w:rPr>
                <w:rFonts w:hint="eastAsia"/>
                <w:b/>
                <w:bCs/>
                <w:sz w:val="24"/>
                <w:highlight w:val="none"/>
              </w:rPr>
            </w:pPr>
            <w:r>
              <w:rPr>
                <w:rFonts w:hint="eastAsia"/>
                <w:b/>
                <w:bCs/>
                <w:sz w:val="24"/>
                <w:highlight w:val="none"/>
              </w:rPr>
              <w:t>主要参数响应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9" w:type="dxa"/>
            <w:noWrap w:val="0"/>
            <w:vAlign w:val="center"/>
          </w:tcPr>
          <w:p>
            <w:pPr>
              <w:pStyle w:val="8"/>
              <w:spacing w:before="0" w:beforeAutospacing="0" w:after="0" w:afterAutospacing="0"/>
              <w:ind w:left="0" w:leftChars="0"/>
              <w:jc w:val="left"/>
              <w:rPr>
                <w:rFonts w:hint="eastAsia" w:ascii="宋体" w:hAnsi="宋体"/>
                <w:sz w:val="24"/>
                <w:highlight w:val="none"/>
              </w:rPr>
            </w:pPr>
            <w:r>
              <w:rPr>
                <w:rFonts w:hint="eastAsia" w:ascii="宋体" w:hAnsi="宋体"/>
                <w:sz w:val="24"/>
                <w:highlight w:val="none"/>
              </w:rPr>
              <w:t>1</w:t>
            </w:r>
          </w:p>
        </w:tc>
        <w:tc>
          <w:tcPr>
            <w:tcW w:w="925" w:type="dxa"/>
            <w:noWrap w:val="0"/>
            <w:vAlign w:val="center"/>
          </w:tcPr>
          <w:p>
            <w:pPr>
              <w:pStyle w:val="8"/>
              <w:spacing w:before="0" w:beforeAutospacing="0" w:after="0" w:afterAutospacing="0"/>
              <w:ind w:left="0" w:leftChars="0"/>
              <w:jc w:val="left"/>
              <w:rPr>
                <w:rFonts w:hint="eastAsia" w:ascii="宋体" w:hAnsi="宋体" w:eastAsia="宋体"/>
                <w:sz w:val="24"/>
                <w:highlight w:val="none"/>
                <w:lang w:eastAsia="zh-CN"/>
              </w:rPr>
            </w:pPr>
            <w:r>
              <w:rPr>
                <w:rFonts w:hint="eastAsia" w:ascii="宋体" w:hAnsi="宋体"/>
                <w:sz w:val="24"/>
                <w:highlight w:val="none"/>
                <w:lang w:eastAsia="zh-CN"/>
              </w:rPr>
              <w:t>自粘式绝缘材料自动包封装置</w:t>
            </w:r>
          </w:p>
        </w:tc>
        <w:tc>
          <w:tcPr>
            <w:tcW w:w="851" w:type="dxa"/>
            <w:noWrap w:val="0"/>
            <w:vAlign w:val="center"/>
          </w:tcPr>
          <w:p>
            <w:pPr>
              <w:pStyle w:val="8"/>
              <w:spacing w:before="0" w:beforeAutospacing="0" w:after="0" w:afterAutospacing="0"/>
              <w:ind w:left="0" w:leftChars="0"/>
              <w:jc w:val="left"/>
              <w:rPr>
                <w:rFonts w:hint="eastAsia" w:ascii="宋体" w:hAnsi="宋体" w:eastAsia="宋体"/>
                <w:sz w:val="24"/>
                <w:highlight w:val="none"/>
                <w:lang w:eastAsia="zh-CN"/>
              </w:rPr>
            </w:pPr>
            <w:r>
              <w:rPr>
                <w:rFonts w:hint="eastAsia" w:ascii="宋体" w:hAnsi="宋体"/>
                <w:sz w:val="24"/>
                <w:highlight w:val="none"/>
                <w:lang w:eastAsia="zh-CN"/>
              </w:rPr>
              <w:t>自粘式绝缘材料自动包封装置</w:t>
            </w:r>
          </w:p>
        </w:tc>
        <w:tc>
          <w:tcPr>
            <w:tcW w:w="708" w:type="dxa"/>
            <w:noWrap w:val="0"/>
            <w:vAlign w:val="center"/>
          </w:tcPr>
          <w:p>
            <w:pPr>
              <w:pStyle w:val="8"/>
              <w:spacing w:before="0" w:beforeAutospacing="0" w:after="0" w:afterAutospacing="0"/>
              <w:ind w:left="0" w:leftChars="0"/>
              <w:jc w:val="left"/>
              <w:rPr>
                <w:rFonts w:hint="eastAsia" w:ascii="宋体" w:hAnsi="宋体"/>
                <w:sz w:val="24"/>
                <w:highlight w:val="none"/>
              </w:rPr>
            </w:pPr>
            <w:r>
              <w:rPr>
                <w:rFonts w:hint="eastAsia" w:ascii="宋体" w:hAnsi="宋体"/>
                <w:sz w:val="24"/>
                <w:highlight w:val="none"/>
              </w:rPr>
              <w:t>定制</w:t>
            </w:r>
          </w:p>
        </w:tc>
        <w:tc>
          <w:tcPr>
            <w:tcW w:w="2953" w:type="dxa"/>
            <w:noWrap w:val="0"/>
            <w:vAlign w:val="center"/>
          </w:tcPr>
          <w:p>
            <w:pPr>
              <w:pStyle w:val="8"/>
              <w:spacing w:before="0" w:beforeAutospacing="0" w:after="0" w:afterAutospacing="0"/>
              <w:ind w:left="0" w:leftChars="0"/>
              <w:jc w:val="left"/>
              <w:rPr>
                <w:rFonts w:hint="eastAsia" w:ascii="宋体" w:hAnsi="宋体"/>
                <w:sz w:val="24"/>
                <w:highlight w:val="none"/>
                <w:lang w:eastAsia="zh-CN"/>
              </w:rPr>
            </w:pPr>
            <w:r>
              <w:rPr>
                <w:rFonts w:hint="eastAsia" w:ascii="宋体" w:hAnsi="宋体"/>
                <w:sz w:val="24"/>
                <w:highlight w:val="none"/>
              </w:rPr>
              <w:t>1、研制</w:t>
            </w:r>
            <w:r>
              <w:rPr>
                <w:rFonts w:hint="eastAsia" w:ascii="宋体" w:hAnsi="宋体"/>
                <w:sz w:val="24"/>
                <w:highlight w:val="none"/>
                <w:lang w:eastAsia="zh-CN"/>
              </w:rPr>
              <w:t>自粘式绝缘材料自动包封装置</w:t>
            </w:r>
            <w:r>
              <w:rPr>
                <w:rFonts w:hint="eastAsia" w:ascii="宋体" w:hAnsi="宋体"/>
                <w:sz w:val="24"/>
                <w:highlight w:val="none"/>
              </w:rPr>
              <w:t>,</w:t>
            </w:r>
            <w:r>
              <w:rPr>
                <w:rFonts w:hint="eastAsia" w:ascii="宋体" w:hAnsi="宋体"/>
                <w:sz w:val="24"/>
                <w:highlight w:val="none"/>
                <w:lang w:eastAsia="zh-CN"/>
              </w:rPr>
              <w:t>整体采用自动式缠绕，摈除人工操作的弊端，全面对裸露电线进行包裹。</w:t>
            </w:r>
          </w:p>
          <w:p>
            <w:pPr>
              <w:pStyle w:val="8"/>
              <w:spacing w:before="0" w:beforeAutospacing="0" w:after="0" w:afterAutospacing="0"/>
              <w:ind w:left="0" w:leftChars="0"/>
              <w:jc w:val="left"/>
              <w:rPr>
                <w:rFonts w:hint="eastAsia" w:ascii="宋体" w:hAnsi="宋体"/>
                <w:sz w:val="24"/>
                <w:highlight w:val="none"/>
              </w:rPr>
            </w:pPr>
            <w:r>
              <w:rPr>
                <w:rFonts w:hint="eastAsia" w:ascii="宋体" w:hAnsi="宋体"/>
                <w:sz w:val="24"/>
                <w:highlight w:val="none"/>
                <w:lang w:eastAsia="zh-CN"/>
              </w:rPr>
              <w:t>2、装置具有通用性，可适用于不同规格的缠绕对象，整体操作简便，携带方便，省时省力。</w:t>
            </w:r>
          </w:p>
        </w:tc>
        <w:tc>
          <w:tcPr>
            <w:tcW w:w="457" w:type="dxa"/>
            <w:noWrap w:val="0"/>
            <w:vAlign w:val="center"/>
          </w:tcPr>
          <w:p>
            <w:pPr>
              <w:pStyle w:val="8"/>
              <w:spacing w:before="0" w:beforeAutospacing="0" w:after="0" w:afterAutospacing="0"/>
              <w:ind w:left="0" w:leftChars="0"/>
              <w:jc w:val="left"/>
              <w:rPr>
                <w:rFonts w:hint="eastAsia" w:ascii="宋体" w:hAnsi="宋体" w:eastAsia="宋体"/>
                <w:sz w:val="24"/>
                <w:highlight w:val="none"/>
                <w:lang w:eastAsia="zh-CN"/>
              </w:rPr>
            </w:pPr>
            <w:r>
              <w:rPr>
                <w:rFonts w:hint="eastAsia" w:ascii="宋体" w:hAnsi="宋体"/>
                <w:sz w:val="24"/>
                <w:highlight w:val="none"/>
                <w:lang w:val="en-US" w:eastAsia="zh-CN"/>
              </w:rPr>
              <w:t>套</w:t>
            </w:r>
          </w:p>
        </w:tc>
        <w:tc>
          <w:tcPr>
            <w:tcW w:w="477" w:type="dxa"/>
            <w:noWrap w:val="0"/>
            <w:vAlign w:val="center"/>
          </w:tcPr>
          <w:p>
            <w:pPr>
              <w:pStyle w:val="8"/>
              <w:spacing w:before="0" w:beforeAutospacing="0" w:after="0" w:afterAutospacing="0"/>
              <w:ind w:left="0" w:leftChars="0"/>
              <w:jc w:val="left"/>
              <w:rPr>
                <w:rFonts w:hint="eastAsia" w:ascii="宋体" w:hAnsi="宋体"/>
                <w:sz w:val="24"/>
                <w:highlight w:val="none"/>
              </w:rPr>
            </w:pPr>
            <w:r>
              <w:rPr>
                <w:rFonts w:hint="eastAsia" w:ascii="宋体" w:hAnsi="宋体"/>
                <w:sz w:val="24"/>
                <w:highlight w:val="none"/>
              </w:rPr>
              <w:t>1</w:t>
            </w:r>
          </w:p>
        </w:tc>
        <w:tc>
          <w:tcPr>
            <w:tcW w:w="824" w:type="dxa"/>
            <w:noWrap w:val="0"/>
            <w:vAlign w:val="center"/>
          </w:tcPr>
          <w:p>
            <w:pPr>
              <w:pStyle w:val="8"/>
              <w:spacing w:before="0" w:beforeAutospacing="0" w:after="0" w:afterAutospacing="0"/>
              <w:ind w:left="0" w:leftChars="0"/>
              <w:jc w:val="left"/>
              <w:rPr>
                <w:rFonts w:hint="eastAsia" w:ascii="宋体" w:hAnsi="宋体"/>
                <w:sz w:val="24"/>
                <w:highlight w:val="none"/>
              </w:rPr>
            </w:pPr>
          </w:p>
        </w:tc>
        <w:tc>
          <w:tcPr>
            <w:tcW w:w="868" w:type="dxa"/>
            <w:noWrap w:val="0"/>
            <w:vAlign w:val="center"/>
          </w:tcPr>
          <w:p>
            <w:pPr>
              <w:pStyle w:val="8"/>
              <w:spacing w:before="0" w:beforeAutospacing="0" w:after="0" w:afterAutospacing="0"/>
              <w:ind w:left="0" w:leftChars="0"/>
              <w:jc w:val="left"/>
              <w:rPr>
                <w:rFonts w:hint="eastAsia" w:ascii="宋体" w:hAnsi="宋体"/>
                <w:sz w:val="24"/>
                <w:highlight w:val="none"/>
              </w:rPr>
            </w:pPr>
          </w:p>
        </w:tc>
      </w:tr>
    </w:tbl>
    <w:p>
      <w:pPr>
        <w:spacing w:line="360" w:lineRule="auto"/>
        <w:ind w:left="420"/>
        <w:rPr>
          <w:rFonts w:hint="eastAsia" w:ascii="宋体" w:hAnsi="宋体" w:cs="宋体"/>
          <w:sz w:val="28"/>
          <w:szCs w:val="28"/>
          <w:highlight w:val="none"/>
        </w:rPr>
      </w:pPr>
      <w:r>
        <w:rPr>
          <w:rFonts w:hint="eastAsia" w:ascii="宋体" w:hAnsi="宋体" w:cs="宋体"/>
          <w:sz w:val="28"/>
          <w:szCs w:val="28"/>
          <w:highlight w:val="none"/>
        </w:rPr>
        <w:t>投标方提供的</w:t>
      </w:r>
      <w:r>
        <w:rPr>
          <w:rFonts w:hint="eastAsia" w:ascii="宋体" w:hAnsi="宋体"/>
          <w:sz w:val="28"/>
          <w:szCs w:val="28"/>
          <w:highlight w:val="none"/>
          <w:u w:val="single"/>
          <w:lang w:eastAsia="zh-CN"/>
        </w:rPr>
        <w:t>自粘式绝缘材料自动包封装置</w:t>
      </w:r>
      <w:r>
        <w:rPr>
          <w:rFonts w:hint="eastAsia" w:ascii="宋体" w:hAnsi="宋体" w:cs="宋体"/>
          <w:sz w:val="28"/>
          <w:szCs w:val="28"/>
          <w:highlight w:val="none"/>
        </w:rPr>
        <w:t>其他的具体内容如下：</w:t>
      </w:r>
    </w:p>
    <w:p>
      <w:pPr>
        <w:numPr>
          <w:ilvl w:val="0"/>
          <w:numId w:val="2"/>
        </w:numPr>
        <w:spacing w:line="360" w:lineRule="auto"/>
        <w:rPr>
          <w:rFonts w:hint="eastAsia" w:ascii="宋体" w:hAnsi="宋体" w:cs="宋体"/>
          <w:sz w:val="28"/>
          <w:szCs w:val="28"/>
          <w:highlight w:val="none"/>
        </w:rPr>
      </w:pPr>
      <w:r>
        <w:rPr>
          <w:rFonts w:hint="eastAsia" w:ascii="宋体" w:hAnsi="宋体" w:cs="宋体"/>
          <w:sz w:val="28"/>
          <w:szCs w:val="28"/>
          <w:highlight w:val="none"/>
        </w:rPr>
        <w:t>提交《</w:t>
      </w:r>
      <w:r>
        <w:rPr>
          <w:rFonts w:hint="eastAsia" w:ascii="宋体" w:hAnsi="宋体" w:cs="宋体"/>
          <w:sz w:val="28"/>
          <w:szCs w:val="28"/>
          <w:highlight w:val="none"/>
          <w:lang w:eastAsia="zh-CN"/>
        </w:rPr>
        <w:t>自粘式绝缘材料自动包封装置</w:t>
      </w:r>
      <w:r>
        <w:rPr>
          <w:rFonts w:hint="eastAsia" w:ascii="宋体" w:hAnsi="宋体" w:cs="宋体"/>
          <w:sz w:val="28"/>
          <w:szCs w:val="28"/>
          <w:highlight w:val="none"/>
        </w:rPr>
        <w:t>》技术报告1份；</w:t>
      </w:r>
    </w:p>
    <w:p>
      <w:pPr>
        <w:numPr>
          <w:ilvl w:val="0"/>
          <w:numId w:val="2"/>
        </w:numPr>
        <w:spacing w:line="360" w:lineRule="auto"/>
        <w:rPr>
          <w:rFonts w:hint="eastAsia" w:ascii="宋体" w:hAnsi="宋体" w:cs="宋体"/>
          <w:sz w:val="28"/>
          <w:szCs w:val="28"/>
          <w:highlight w:val="none"/>
        </w:rPr>
      </w:pPr>
      <w:r>
        <w:rPr>
          <w:rFonts w:hint="eastAsia" w:ascii="宋体" w:hAnsi="宋体" w:cs="宋体"/>
          <w:sz w:val="28"/>
          <w:szCs w:val="28"/>
          <w:highlight w:val="none"/>
        </w:rPr>
        <w:t>研制</w:t>
      </w:r>
      <w:r>
        <w:rPr>
          <w:rFonts w:hint="eastAsia" w:ascii="宋体" w:hAnsi="宋体" w:cs="宋体"/>
          <w:sz w:val="28"/>
          <w:szCs w:val="28"/>
          <w:highlight w:val="none"/>
          <w:lang w:eastAsia="zh-CN"/>
        </w:rPr>
        <w:t>自粘式绝缘材料自动包封装置</w:t>
      </w:r>
      <w:r>
        <w:rPr>
          <w:rFonts w:hint="eastAsia" w:ascii="宋体" w:hAnsi="宋体" w:cs="宋体"/>
          <w:sz w:val="28"/>
          <w:szCs w:val="28"/>
          <w:highlight w:val="none"/>
        </w:rPr>
        <w:t xml:space="preserve">1套； </w:t>
      </w:r>
    </w:p>
    <w:p>
      <w:pPr>
        <w:numPr>
          <w:ilvl w:val="0"/>
          <w:numId w:val="2"/>
        </w:numPr>
        <w:spacing w:line="360" w:lineRule="auto"/>
        <w:rPr>
          <w:rFonts w:hint="eastAsia" w:ascii="宋体" w:hAnsi="宋体" w:cs="宋体"/>
          <w:sz w:val="28"/>
          <w:szCs w:val="28"/>
          <w:highlight w:val="none"/>
        </w:rPr>
      </w:pPr>
      <w:r>
        <w:rPr>
          <w:rFonts w:hint="eastAsia" w:ascii="宋体" w:hAnsi="宋体" w:cs="宋体"/>
          <w:sz w:val="28"/>
          <w:szCs w:val="28"/>
          <w:highlight w:val="none"/>
        </w:rPr>
        <w:t>协助申请发明专利1项；</w:t>
      </w:r>
    </w:p>
    <w:p>
      <w:pPr>
        <w:numPr>
          <w:ilvl w:val="0"/>
          <w:numId w:val="1"/>
        </w:numPr>
        <w:rPr>
          <w:rFonts w:hint="eastAsia"/>
          <w:sz w:val="30"/>
          <w:szCs w:val="30"/>
          <w:highlight w:val="none"/>
        </w:rPr>
      </w:pPr>
      <w:r>
        <w:rPr>
          <w:rFonts w:hint="eastAsia"/>
          <w:sz w:val="30"/>
          <w:szCs w:val="30"/>
          <w:highlight w:val="none"/>
        </w:rPr>
        <w:t>应遵循的主要标准</w:t>
      </w:r>
    </w:p>
    <w:p>
      <w:pPr>
        <w:spacing w:line="360" w:lineRule="auto"/>
        <w:ind w:firstLine="560" w:firstLineChars="200"/>
        <w:rPr>
          <w:sz w:val="28"/>
          <w:szCs w:val="28"/>
          <w:highlight w:val="none"/>
        </w:rPr>
      </w:pPr>
      <w:r>
        <w:rPr>
          <w:sz w:val="28"/>
          <w:szCs w:val="28"/>
          <w:highlight w:val="none"/>
        </w:rPr>
        <w:t>除本技术规范特殊规定外</w:t>
      </w:r>
      <w:r>
        <w:rPr>
          <w:rFonts w:hint="eastAsia"/>
          <w:sz w:val="28"/>
          <w:szCs w:val="28"/>
          <w:highlight w:val="none"/>
        </w:rPr>
        <w:t>，</w:t>
      </w:r>
      <w:r>
        <w:rPr>
          <w:sz w:val="28"/>
          <w:szCs w:val="28"/>
          <w:highlight w:val="none"/>
        </w:rPr>
        <w:t>投标方所提供的设备均按规定的标准和规程的最新版本进行设计、制造、试验和安装。如果这些标准内容有矛盾时</w:t>
      </w:r>
      <w:r>
        <w:rPr>
          <w:rFonts w:hint="eastAsia"/>
          <w:sz w:val="28"/>
          <w:szCs w:val="28"/>
          <w:highlight w:val="none"/>
        </w:rPr>
        <w:t>，</w:t>
      </w:r>
      <w:r>
        <w:rPr>
          <w:sz w:val="28"/>
          <w:szCs w:val="28"/>
          <w:highlight w:val="none"/>
        </w:rPr>
        <w:t>应按</w:t>
      </w:r>
      <w:r>
        <w:rPr>
          <w:rFonts w:hint="eastAsia"/>
          <w:sz w:val="28"/>
          <w:szCs w:val="28"/>
          <w:highlight w:val="none"/>
        </w:rPr>
        <w:t>技术要求最</w:t>
      </w:r>
      <w:r>
        <w:rPr>
          <w:sz w:val="28"/>
          <w:szCs w:val="28"/>
          <w:highlight w:val="none"/>
        </w:rPr>
        <w:t>高的条款执行或按双方商定的标准执行。如果投标方选用本技术规范规定以外的标准时</w:t>
      </w:r>
      <w:r>
        <w:rPr>
          <w:rFonts w:hint="eastAsia"/>
          <w:sz w:val="28"/>
          <w:szCs w:val="28"/>
          <w:highlight w:val="none"/>
        </w:rPr>
        <w:t>，</w:t>
      </w:r>
      <w:r>
        <w:rPr>
          <w:sz w:val="28"/>
          <w:szCs w:val="28"/>
          <w:highlight w:val="none"/>
        </w:rPr>
        <w:t>则需提交这种替换标准供审查和分析。仅在投标方已证明替换标准相当或优于技术规范规定的标准</w:t>
      </w:r>
      <w:r>
        <w:rPr>
          <w:rFonts w:hint="eastAsia"/>
          <w:sz w:val="28"/>
          <w:szCs w:val="28"/>
          <w:highlight w:val="none"/>
        </w:rPr>
        <w:t>，</w:t>
      </w:r>
      <w:r>
        <w:rPr>
          <w:sz w:val="28"/>
          <w:szCs w:val="28"/>
          <w:highlight w:val="none"/>
        </w:rPr>
        <w:t>并从招标方处获得书面的认可才能使用。提交供审查的标准应为中文版本。</w:t>
      </w:r>
    </w:p>
    <w:p>
      <w:pPr>
        <w:spacing w:line="360" w:lineRule="auto"/>
        <w:ind w:firstLine="560" w:firstLineChars="200"/>
        <w:rPr>
          <w:sz w:val="28"/>
          <w:szCs w:val="28"/>
          <w:highlight w:val="none"/>
        </w:rPr>
      </w:pPr>
      <w:r>
        <w:rPr>
          <w:rFonts w:hint="eastAsia"/>
          <w:sz w:val="28"/>
          <w:szCs w:val="28"/>
          <w:highlight w:val="none"/>
        </w:rPr>
        <w:t>下列文件对于本技术规范书的应用是必不可少。凡是注日期的引用文件，仅注日期的版本适用于本技术规范书。凡是不注日期的引用文件，其最新版本（包括所有的修改单）适用于本技术规范书：</w:t>
      </w:r>
    </w:p>
    <w:tbl>
      <w:tblPr>
        <w:tblStyle w:val="5"/>
        <w:tblW w:w="85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63"/>
        <w:gridCol w:w="6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4" w:hRule="atLeast"/>
          <w:jc w:val="center"/>
        </w:trPr>
        <w:tc>
          <w:tcPr>
            <w:tcW w:w="2263" w:type="dxa"/>
            <w:noWrap w:val="0"/>
            <w:vAlign w:val="center"/>
          </w:tcPr>
          <w:p>
            <w:pPr>
              <w:spacing w:line="360" w:lineRule="auto"/>
              <w:jc w:val="center"/>
              <w:rPr>
                <w:rFonts w:hint="eastAsia" w:ascii="宋体" w:hAnsi="宋体"/>
                <w:sz w:val="28"/>
                <w:szCs w:val="28"/>
                <w:highlight w:val="none"/>
              </w:rPr>
            </w:pPr>
            <w:r>
              <w:rPr>
                <w:rFonts w:hint="eastAsia" w:ascii="宋体" w:hAnsi="宋体"/>
                <w:sz w:val="28"/>
                <w:szCs w:val="28"/>
                <w:highlight w:val="none"/>
              </w:rPr>
              <w:t>GBT 25198-2010</w:t>
            </w:r>
          </w:p>
        </w:tc>
        <w:tc>
          <w:tcPr>
            <w:tcW w:w="6315" w:type="dxa"/>
            <w:noWrap w:val="0"/>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0"/>
              <w:rPr>
                <w:rFonts w:ascii="宋体" w:hAnsi="宋体"/>
                <w:b/>
                <w:bCs/>
                <w:sz w:val="28"/>
                <w:szCs w:val="28"/>
                <w:highlight w:val="none"/>
              </w:rPr>
            </w:pPr>
            <w:r>
              <w:rPr>
                <w:rFonts w:hint="eastAsia" w:ascii="Helvetica" w:hAnsi="Helvetica"/>
                <w:b w:val="0"/>
                <w:bCs w:val="0"/>
                <w:kern w:val="2"/>
                <w:sz w:val="28"/>
                <w:szCs w:val="28"/>
                <w:highlight w:val="none"/>
                <w:shd w:val="clear" w:color="auto" w:fill="FFFFFF"/>
              </w:rPr>
              <w:t xml:space="preserve"> </w:t>
            </w:r>
            <w:r>
              <w:rPr>
                <w:rFonts w:hint="eastAsia" w:ascii="Helvetica" w:hAnsi="Helvetica"/>
                <w:b w:val="0"/>
                <w:bCs w:val="0"/>
                <w:kern w:val="2"/>
                <w:sz w:val="28"/>
                <w:szCs w:val="28"/>
                <w:highlight w:val="none"/>
                <w:shd w:val="clear" w:color="auto" w:fill="FFFFFF"/>
                <w:lang w:eastAsia="zh-CN"/>
              </w:rPr>
              <w:t>《</w:t>
            </w:r>
            <w:r>
              <w:rPr>
                <w:rFonts w:hint="eastAsia" w:ascii="Helvetica" w:hAnsi="Helvetica"/>
                <w:b w:val="0"/>
                <w:bCs w:val="0"/>
                <w:kern w:val="2"/>
                <w:sz w:val="28"/>
                <w:szCs w:val="28"/>
                <w:highlight w:val="none"/>
                <w:shd w:val="clear" w:color="auto" w:fill="FFFFFF"/>
              </w:rPr>
              <w:t>压力容器封头国家标准行业规范</w:t>
            </w:r>
            <w:r>
              <w:rPr>
                <w:rFonts w:hint="eastAsia" w:ascii="Helvetica" w:hAnsi="Helvetica"/>
                <w:b w:val="0"/>
                <w:bCs w:val="0"/>
                <w:kern w:val="2"/>
                <w:sz w:val="28"/>
                <w:szCs w:val="28"/>
                <w:highlight w:val="none"/>
                <w:shd w:val="clear" w:color="auto" w:fill="FFFFFF"/>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jc w:val="center"/>
        </w:trPr>
        <w:tc>
          <w:tcPr>
            <w:tcW w:w="2263" w:type="dxa"/>
            <w:noWrap w:val="0"/>
            <w:vAlign w:val="center"/>
          </w:tcPr>
          <w:p>
            <w:pPr>
              <w:spacing w:line="360" w:lineRule="auto"/>
              <w:jc w:val="center"/>
              <w:rPr>
                <w:rFonts w:hint="eastAsia" w:ascii="宋体" w:hAnsi="宋体"/>
                <w:sz w:val="28"/>
                <w:szCs w:val="28"/>
                <w:highlight w:val="none"/>
              </w:rPr>
            </w:pPr>
            <w:r>
              <w:rPr>
                <w:rFonts w:hint="eastAsia" w:ascii="宋体" w:hAnsi="宋体"/>
                <w:sz w:val="28"/>
                <w:szCs w:val="28"/>
                <w:highlight w:val="none"/>
              </w:rPr>
              <w:t>GB503112007</w:t>
            </w:r>
          </w:p>
        </w:tc>
        <w:tc>
          <w:tcPr>
            <w:tcW w:w="6315" w:type="dxa"/>
            <w:noWrap w:val="0"/>
            <w:vAlign w:val="center"/>
          </w:tcPr>
          <w:p>
            <w:pPr>
              <w:pStyle w:val="4"/>
              <w:shd w:val="clear" w:color="auto" w:fill="FFFFFF"/>
              <w:spacing w:before="0" w:after="0" w:line="360" w:lineRule="atLeast"/>
              <w:rPr>
                <w:rFonts w:hint="eastAsia" w:ascii="Helvetica" w:hAnsi="Helvetica"/>
                <w:b w:val="0"/>
                <w:bCs w:val="0"/>
                <w:kern w:val="2"/>
                <w:sz w:val="28"/>
                <w:szCs w:val="28"/>
                <w:highlight w:val="none"/>
                <w:shd w:val="clear" w:color="auto" w:fill="FFFFFF"/>
              </w:rPr>
            </w:pPr>
            <w:r>
              <w:rPr>
                <w:rFonts w:hint="eastAsia" w:ascii="Helvetica" w:hAnsi="Helvetica"/>
                <w:b w:val="0"/>
                <w:bCs w:val="0"/>
                <w:kern w:val="2"/>
                <w:sz w:val="28"/>
                <w:szCs w:val="28"/>
                <w:highlight w:val="none"/>
                <w:shd w:val="clear" w:color="auto" w:fill="FFFFFF"/>
              </w:rPr>
              <w:t>《综合布线工程设计规范》</w:t>
            </w:r>
          </w:p>
        </w:tc>
      </w:tr>
    </w:tbl>
    <w:p>
      <w:pPr>
        <w:numPr>
          <w:ilvl w:val="0"/>
          <w:numId w:val="1"/>
        </w:numPr>
        <w:rPr>
          <w:rFonts w:hint="eastAsia"/>
          <w:sz w:val="30"/>
          <w:szCs w:val="30"/>
          <w:highlight w:val="none"/>
        </w:rPr>
      </w:pPr>
      <w:r>
        <w:rPr>
          <w:rFonts w:hint="eastAsia"/>
          <w:sz w:val="30"/>
          <w:szCs w:val="30"/>
          <w:highlight w:val="none"/>
        </w:rPr>
        <w:t>供应商需说明的其他问题</w:t>
      </w:r>
    </w:p>
    <w:p>
      <w:pPr>
        <w:pStyle w:val="8"/>
        <w:snapToGrid w:val="0"/>
        <w:spacing w:before="0" w:beforeAutospacing="0" w:after="0" w:afterAutospacing="0" w:line="360" w:lineRule="auto"/>
        <w:ind w:left="0" w:leftChars="0" w:firstLine="640" w:firstLineChars="200"/>
        <w:jc w:val="left"/>
        <w:rPr>
          <w:rFonts w:hint="eastAsia" w:ascii="宋体" w:hAnsi="宋体" w:cs="宋体"/>
          <w:sz w:val="32"/>
          <w:szCs w:val="32"/>
          <w:highlight w:val="none"/>
        </w:rPr>
      </w:pPr>
      <w:r>
        <w:rPr>
          <w:rFonts w:hint="eastAsia" w:ascii="宋体" w:hAnsi="宋体" w:cs="宋体"/>
          <w:sz w:val="32"/>
          <w:szCs w:val="32"/>
          <w:highlight w:val="none"/>
        </w:rPr>
        <w:t>如有需说明的其他问题，供应商应通过书面形式提交，并盖章。</w:t>
      </w:r>
    </w:p>
    <w:p>
      <w:pPr>
        <w:rPr>
          <w:rFonts w:hint="eastAsia"/>
          <w:sz w:val="30"/>
          <w:szCs w:val="30"/>
          <w:highlight w:val="none"/>
        </w:rPr>
      </w:pPr>
    </w:p>
    <w:p>
      <w:pPr>
        <w:rPr>
          <w:rFonts w:hint="eastAsia"/>
          <w:highlight w:val="none"/>
          <w:lang w:val="en-US" w:eastAsia="zh-CN"/>
        </w:rPr>
      </w:pPr>
    </w:p>
    <w:p>
      <w:pPr>
        <w:rPr>
          <w:highlight w:val="none"/>
        </w:rPr>
      </w:pPr>
    </w:p>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modern"/>
    <w:pitch w:val="default"/>
    <w:sig w:usb0="E0002AFF" w:usb1="C0007843" w:usb2="00000009" w:usb3="00000000" w:csb0="400001FF" w:csb1="FFFF0000"/>
  </w:font>
  <w:font w:name="宋体">
    <w:panose1 w:val="02010600030101010101"/>
    <w:charset w:val="88"/>
    <w:family w:val="swiss"/>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modern"/>
    <w:pitch w:val="default"/>
    <w:sig w:usb0="800002BF" w:usb1="38CF7CFA" w:usb2="00000016" w:usb3="00000000" w:csb0="00040001" w:csb1="00000000"/>
  </w:font>
  <w:font w:name="Helvetica">
    <w:altName w:val="Arial"/>
    <w:panose1 w:val="020B0604020202020204"/>
    <w:charset w:val="00"/>
    <w:family w:val="swiss"/>
    <w:pitch w:val="default"/>
    <w:sig w:usb0="00000000"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529FE5A"/>
    <w:multiLevelType w:val="singleLevel"/>
    <w:tmpl w:val="D529FE5A"/>
    <w:lvl w:ilvl="0" w:tentative="0">
      <w:start w:val="1"/>
      <w:numFmt w:val="decimal"/>
      <w:suff w:val="nothing"/>
      <w:lvlText w:val="%1、"/>
      <w:lvlJc w:val="left"/>
    </w:lvl>
  </w:abstractNum>
  <w:abstractNum w:abstractNumId="1">
    <w:nsid w:val="F8489761"/>
    <w:multiLevelType w:val="singleLevel"/>
    <w:tmpl w:val="F8489761"/>
    <w:lvl w:ilvl="0" w:tentative="0">
      <w:start w:val="1"/>
      <w:numFmt w:val="decimal"/>
      <w:lvlText w:val="(%1)"/>
      <w:lvlJc w:val="left"/>
      <w:pPr>
        <w:tabs>
          <w:tab w:val="left" w:pos="420"/>
        </w:tabs>
        <w:ind w:left="845" w:hanging="425"/>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Q4MWExNjQ2MWFiMWY5Zjk5YTE0ZmQ5OTFhZjUwMmIifQ=="/>
  </w:docVars>
  <w:rsids>
    <w:rsidRoot w:val="5BDC3BC6"/>
    <w:rsid w:val="2F8E055B"/>
    <w:rsid w:val="5BDC3BC6"/>
    <w:rsid w:val="723738D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paragraph" w:styleId="4">
    <w:name w:val="heading 1"/>
    <w:basedOn w:val="1"/>
    <w:next w:val="1"/>
    <w:qFormat/>
    <w:uiPriority w:val="0"/>
    <w:pPr>
      <w:keepNext/>
      <w:keepLines/>
      <w:spacing w:before="340" w:after="330" w:line="578" w:lineRule="auto"/>
      <w:outlineLvl w:val="0"/>
    </w:pPr>
    <w:rPr>
      <w:b/>
      <w:bCs/>
      <w:kern w:val="44"/>
      <w:sz w:val="44"/>
      <w:szCs w:val="44"/>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w:basedOn w:val="3"/>
    <w:next w:val="3"/>
    <w:qFormat/>
    <w:uiPriority w:val="0"/>
    <w:pPr>
      <w:spacing w:after="120" w:line="240" w:lineRule="auto"/>
    </w:pPr>
  </w:style>
  <w:style w:type="paragraph" w:styleId="3">
    <w:name w:val="Title"/>
    <w:basedOn w:val="1"/>
    <w:next w:val="1"/>
    <w:qFormat/>
    <w:uiPriority w:val="0"/>
    <w:pPr>
      <w:spacing w:before="240" w:beforeLines="0" w:after="60" w:afterLines="0"/>
      <w:jc w:val="center"/>
      <w:outlineLvl w:val="0"/>
    </w:pPr>
    <w:rPr>
      <w:rFonts w:ascii="Arial" w:hAnsi="Arial" w:cs="Arial"/>
      <w:b/>
      <w:bCs/>
      <w:sz w:val="32"/>
      <w:szCs w:val="32"/>
    </w:rPr>
  </w:style>
  <w:style w:type="character" w:styleId="7">
    <w:name w:val="Strong"/>
    <w:qFormat/>
    <w:uiPriority w:val="22"/>
    <w:rPr>
      <w:b/>
      <w:bCs/>
    </w:rPr>
  </w:style>
  <w:style w:type="paragraph" w:customStyle="1" w:styleId="8">
    <w:name w:val="目录 21"/>
    <w:basedOn w:val="1"/>
    <w:next w:val="1"/>
    <w:qFormat/>
    <w:uiPriority w:val="0"/>
    <w:pPr>
      <w:spacing w:before="100" w:beforeAutospacing="1" w:after="100" w:afterAutospacing="1" w:line="240" w:lineRule="auto"/>
      <w:ind w:left="420" w:leftChars="200"/>
    </w:pPr>
    <w:rPr>
      <w:rFonts w:cs="Times New Roman"/>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1696</Words>
  <Characters>1730</Characters>
  <Lines>0</Lines>
  <Paragraphs>0</Paragraphs>
  <TotalTime>10</TotalTime>
  <ScaleCrop>false</ScaleCrop>
  <LinksUpToDate>false</LinksUpToDate>
  <CharactersWithSpaces>1736</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2024-09-24T02:22:00Z</dcterms:created>
  <dc:creator>8237476979</dc:creator>
  <cp:lastModifiedBy>夏鹏</cp:lastModifiedBy>
  <dcterms:modified xsi:type="dcterms:W3CDTF">2024-09-25T08:32:55Z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284AC7ABE2E04EA598EE146A1AA9512E_11</vt:lpwstr>
  </property>
</Properties>
</file>