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48" w:lineRule="auto"/>
        <w:jc w:val="center"/>
        <w:rPr>
          <w:rFonts w:hint="eastAsia" w:ascii="宋体" w:hAnsi="宋体" w:eastAsia="宋体" w:cs="Times New Roman"/>
          <w:sz w:val="28"/>
          <w:szCs w:val="28"/>
          <w:highlight w:val="none"/>
          <w:lang w:eastAsia="zh-CN"/>
        </w:rPr>
      </w:pPr>
      <w:r>
        <w:rPr>
          <w:rFonts w:hint="eastAsia" w:ascii="宋体" w:hAnsi="宋体" w:cs="Times New Roman"/>
          <w:sz w:val="28"/>
          <w:szCs w:val="28"/>
          <w:highlight w:val="none"/>
          <w:lang w:eastAsia="zh-CN"/>
        </w:rPr>
        <w:t>一种断路器防跳回路智能试验装置</w:t>
      </w:r>
    </w:p>
    <w:p>
      <w:pPr>
        <w:numPr>
          <w:ilvl w:val="0"/>
          <w:numId w:val="1"/>
        </w:numPr>
        <w:rPr>
          <w:rFonts w:hint="eastAsia"/>
          <w:sz w:val="30"/>
          <w:szCs w:val="30"/>
          <w:highlight w:val="none"/>
        </w:rPr>
      </w:pPr>
      <w:r>
        <w:rPr>
          <w:rFonts w:hint="eastAsia"/>
          <w:sz w:val="30"/>
          <w:szCs w:val="30"/>
          <w:highlight w:val="none"/>
        </w:rPr>
        <w:t>总则</w:t>
      </w:r>
    </w:p>
    <w:p>
      <w:pPr>
        <w:adjustRightInd w:val="0"/>
        <w:snapToGrid w:val="0"/>
        <w:spacing w:line="348" w:lineRule="auto"/>
        <w:ind w:firstLine="560" w:firstLineChars="200"/>
        <w:rPr>
          <w:rFonts w:hint="eastAsia"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）本技术规范书的使用范围仅限于北海供电局</w:t>
      </w:r>
      <w:r>
        <w:rPr>
          <w:rFonts w:hint="eastAsia"/>
          <w:sz w:val="30"/>
          <w:szCs w:val="30"/>
          <w:highlight w:val="none"/>
          <w:u w:val="single"/>
          <w:lang w:eastAsia="zh-CN"/>
        </w:rPr>
        <w:t>一种断路器防跳回路智能试验装置</w:t>
      </w:r>
      <w:r>
        <w:rPr>
          <w:rFonts w:hint="eastAsia" w:ascii="宋体" w:hAnsi="宋体"/>
          <w:sz w:val="28"/>
          <w:szCs w:val="28"/>
          <w:highlight w:val="none"/>
        </w:rPr>
        <w:t>物资，技术规范书的所有解释权归南方电网广西北海供电局。</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2</w:t>
      </w:r>
      <w:r>
        <w:rPr>
          <w:rFonts w:hint="eastAsia" w:ascii="宋体" w:hAnsi="宋体"/>
          <w:sz w:val="28"/>
          <w:szCs w:val="28"/>
          <w:highlight w:val="none"/>
        </w:rPr>
        <w:t xml:space="preserve">） </w:t>
      </w:r>
      <w:r>
        <w:rPr>
          <w:rFonts w:ascii="宋体" w:hAnsi="宋体"/>
          <w:sz w:val="28"/>
          <w:szCs w:val="28"/>
          <w:highlight w:val="none"/>
        </w:rPr>
        <w:t>本技术规范书提出的是最低限度的技术要求。</w:t>
      </w:r>
      <w:r>
        <w:rPr>
          <w:rFonts w:hint="eastAsia" w:ascii="宋体" w:hAnsi="宋体"/>
          <w:sz w:val="28"/>
          <w:szCs w:val="28"/>
          <w:highlight w:val="none"/>
        </w:rPr>
        <w:t>凡本招标技术文件中未规定，但在相关物资的行业标准、国家标准或I</w:t>
      </w:r>
      <w:r>
        <w:rPr>
          <w:rFonts w:ascii="宋体" w:hAnsi="宋体"/>
          <w:sz w:val="28"/>
          <w:szCs w:val="28"/>
          <w:highlight w:val="none"/>
        </w:rPr>
        <w:t>EC</w:t>
      </w:r>
      <w:r>
        <w:rPr>
          <w:rFonts w:hint="eastAsia" w:ascii="宋体" w:hAnsi="宋体"/>
          <w:sz w:val="28"/>
          <w:szCs w:val="28"/>
          <w:highlight w:val="none"/>
        </w:rPr>
        <w:t>标准中有规定的规范条文，</w:t>
      </w:r>
      <w:r>
        <w:rPr>
          <w:rFonts w:ascii="宋体" w:hAnsi="宋体"/>
          <w:sz w:val="28"/>
          <w:szCs w:val="28"/>
          <w:highlight w:val="none"/>
        </w:rPr>
        <w:t>投标方应按相</w:t>
      </w:r>
      <w:r>
        <w:rPr>
          <w:rFonts w:hint="eastAsia" w:ascii="宋体" w:hAnsi="宋体"/>
          <w:sz w:val="28"/>
          <w:szCs w:val="28"/>
          <w:highlight w:val="none"/>
        </w:rPr>
        <w:t>关</w:t>
      </w:r>
      <w:r>
        <w:rPr>
          <w:rFonts w:ascii="宋体" w:hAnsi="宋体"/>
          <w:sz w:val="28"/>
          <w:szCs w:val="28"/>
          <w:highlight w:val="none"/>
        </w:rPr>
        <w:t>标准的最高技术要求执行。对国家有关安全、环保等强制性标准，必须满足其要求。</w:t>
      </w:r>
    </w:p>
    <w:p>
      <w:pPr>
        <w:adjustRightInd w:val="0"/>
        <w:snapToGrid w:val="0"/>
        <w:spacing w:line="348" w:lineRule="auto"/>
        <w:ind w:firstLine="560" w:firstLineChars="200"/>
        <w:rPr>
          <w:rFonts w:ascii="宋体" w:hAnsi="宋体"/>
          <w:sz w:val="28"/>
          <w:szCs w:val="28"/>
          <w:highlight w:val="none"/>
        </w:rPr>
      </w:pPr>
      <w:r>
        <w:rPr>
          <w:rFonts w:hint="eastAsia" w:ascii="宋体" w:hAnsi="宋体"/>
          <w:sz w:val="28"/>
          <w:szCs w:val="28"/>
          <w:highlight w:val="none"/>
        </w:rPr>
        <w:t xml:space="preserve">3） </w:t>
      </w:r>
      <w:r>
        <w:rPr>
          <w:rFonts w:ascii="宋体" w:hAnsi="宋体"/>
          <w:sz w:val="28"/>
          <w:szCs w:val="28"/>
          <w:highlight w:val="none"/>
        </w:rPr>
        <w:t>如投标单位提供的技术服务或方案与本技术规范书要求有差异，即使是微小的差异，也应以书面形式言明，并说明原因。如投标单位没有以书面形式对本技术规范书的条文提出异议，</w:t>
      </w:r>
      <w:r>
        <w:rPr>
          <w:rFonts w:hint="eastAsia" w:ascii="宋体" w:hAnsi="宋体"/>
          <w:sz w:val="28"/>
          <w:szCs w:val="28"/>
          <w:highlight w:val="none"/>
        </w:rPr>
        <w:t>则</w:t>
      </w:r>
      <w:r>
        <w:rPr>
          <w:rFonts w:ascii="宋体" w:hAnsi="宋体"/>
          <w:sz w:val="28"/>
          <w:szCs w:val="28"/>
          <w:highlight w:val="none"/>
        </w:rPr>
        <w:t>投标单位提供的产品应完全满足本技术规范书的要求。</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4</w:t>
      </w:r>
      <w:r>
        <w:rPr>
          <w:rFonts w:hint="eastAsia" w:ascii="宋体" w:hAnsi="宋体"/>
          <w:sz w:val="28"/>
          <w:szCs w:val="28"/>
          <w:highlight w:val="none"/>
        </w:rPr>
        <w:t>）</w:t>
      </w:r>
      <w:r>
        <w:rPr>
          <w:rFonts w:ascii="宋体" w:hAnsi="宋体"/>
          <w:sz w:val="28"/>
          <w:szCs w:val="28"/>
          <w:highlight w:val="none"/>
        </w:rPr>
        <w:t>本技术规范书所使用的标准如遇与投标方所执行的标准不一致时，按技术要求较高的标准执行。</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5) 本技术规范书未尽事宜，由买、卖双方协商确定。</w:t>
      </w:r>
    </w:p>
    <w:p>
      <w:pPr>
        <w:adjustRightInd w:val="0"/>
        <w:snapToGrid w:val="0"/>
        <w:spacing w:line="348" w:lineRule="auto"/>
        <w:ind w:firstLine="560" w:firstLineChars="200"/>
        <w:rPr>
          <w:rFonts w:ascii="宋体" w:hAnsi="宋体"/>
          <w:sz w:val="28"/>
          <w:szCs w:val="28"/>
          <w:highlight w:val="none"/>
        </w:rPr>
      </w:pPr>
      <w:r>
        <w:rPr>
          <w:rFonts w:ascii="宋体" w:hAnsi="宋体"/>
          <w:sz w:val="28"/>
          <w:szCs w:val="28"/>
          <w:highlight w:val="none"/>
        </w:rPr>
        <w:t>6</w:t>
      </w:r>
      <w:r>
        <w:rPr>
          <w:rFonts w:hint="eastAsia" w:ascii="宋体" w:hAnsi="宋体"/>
          <w:sz w:val="28"/>
          <w:szCs w:val="28"/>
          <w:highlight w:val="none"/>
        </w:rPr>
        <w:t>）</w:t>
      </w:r>
      <w:r>
        <w:rPr>
          <w:rFonts w:ascii="宋体" w:hAnsi="宋体"/>
          <w:sz w:val="28"/>
          <w:szCs w:val="28"/>
          <w:highlight w:val="none"/>
        </w:rPr>
        <w:t>本技术规范书所使用的标准如遇与投标单位所执行的标准发生矛盾时，按较高标准执行，本技术规范书未全部引用应用标准，凡是本技术规范书牵涉的各项内容均按最新标准实施。</w:t>
      </w:r>
    </w:p>
    <w:p>
      <w:pPr>
        <w:adjustRightInd w:val="0"/>
        <w:snapToGrid w:val="0"/>
        <w:spacing w:line="348" w:lineRule="auto"/>
        <w:ind w:firstLine="560" w:firstLineChars="200"/>
        <w:rPr>
          <w:rFonts w:hint="eastAsia" w:ascii="宋体" w:hAnsi="宋体"/>
          <w:sz w:val="28"/>
          <w:szCs w:val="28"/>
          <w:highlight w:val="none"/>
        </w:rPr>
      </w:pPr>
      <w:r>
        <w:rPr>
          <w:rFonts w:ascii="宋体" w:hAnsi="宋体"/>
          <w:sz w:val="28"/>
          <w:szCs w:val="28"/>
          <w:highlight w:val="none"/>
        </w:rPr>
        <w:t>7</w:t>
      </w:r>
      <w:r>
        <w:rPr>
          <w:rFonts w:hint="eastAsia" w:ascii="宋体" w:hAnsi="宋体"/>
          <w:sz w:val="28"/>
          <w:szCs w:val="28"/>
          <w:highlight w:val="none"/>
        </w:rPr>
        <w:t>）</w:t>
      </w:r>
      <w:r>
        <w:rPr>
          <w:rFonts w:ascii="宋体" w:hAnsi="宋体"/>
          <w:sz w:val="28"/>
          <w:szCs w:val="28"/>
          <w:highlight w:val="none"/>
        </w:rPr>
        <w:t>本技术规范书经招、投标双方确认后作为签订合同的技术附件，与合同正文具有同等的法律效力。同时，设备技术规范书未尽事宜，由招、投标双方协商确定。</w:t>
      </w:r>
    </w:p>
    <w:p>
      <w:pPr>
        <w:adjustRightInd w:val="0"/>
        <w:snapToGrid w:val="0"/>
        <w:spacing w:line="348" w:lineRule="auto"/>
        <w:ind w:firstLine="560" w:firstLineChars="200"/>
        <w:rPr>
          <w:rFonts w:hint="eastAsia" w:ascii="宋体" w:hAnsi="宋体"/>
          <w:sz w:val="28"/>
          <w:szCs w:val="28"/>
          <w:highlight w:val="none"/>
        </w:rPr>
      </w:pPr>
      <w:r>
        <w:rPr>
          <w:rFonts w:hint="eastAsia" w:ascii="宋体" w:hAnsi="宋体"/>
          <w:sz w:val="28"/>
          <w:szCs w:val="28"/>
          <w:highlight w:val="none"/>
        </w:rPr>
        <w:t>以上为通用条款，包括但不限于以上内容。</w:t>
      </w:r>
    </w:p>
    <w:p>
      <w:pPr>
        <w:numPr>
          <w:ilvl w:val="0"/>
          <w:numId w:val="1"/>
        </w:numPr>
        <w:rPr>
          <w:rFonts w:hint="eastAsia"/>
          <w:sz w:val="30"/>
          <w:szCs w:val="30"/>
          <w:highlight w:val="none"/>
        </w:rPr>
      </w:pPr>
      <w:r>
        <w:rPr>
          <w:rFonts w:hint="eastAsia"/>
          <w:sz w:val="30"/>
          <w:szCs w:val="30"/>
          <w:highlight w:val="none"/>
        </w:rPr>
        <w:t>工作范围</w:t>
      </w:r>
    </w:p>
    <w:p>
      <w:pPr>
        <w:rPr>
          <w:sz w:val="30"/>
          <w:szCs w:val="30"/>
          <w:highlight w:val="none"/>
        </w:rPr>
      </w:pPr>
      <w:r>
        <w:rPr>
          <w:rFonts w:hint="eastAsia"/>
          <w:sz w:val="30"/>
          <w:szCs w:val="30"/>
          <w:highlight w:val="none"/>
        </w:rPr>
        <w:t>2.1项目概况</w:t>
      </w:r>
    </w:p>
    <w:p>
      <w:pPr>
        <w:spacing w:line="360" w:lineRule="auto"/>
        <w:ind w:firstLine="560" w:firstLineChars="200"/>
        <w:rPr>
          <w:rFonts w:hint="eastAsia" w:ascii="宋体" w:hAnsi="宋体" w:eastAsia="宋体" w:cs="Times New Roman"/>
          <w:sz w:val="28"/>
          <w:szCs w:val="28"/>
          <w:highlight w:val="none"/>
          <w:lang w:val="en-US" w:eastAsia="zh-CN"/>
        </w:rPr>
      </w:pPr>
      <w:r>
        <w:rPr>
          <w:rFonts w:hint="default" w:ascii="宋体" w:hAnsi="宋体" w:eastAsia="宋体" w:cs="Times New Roman"/>
          <w:sz w:val="28"/>
          <w:szCs w:val="28"/>
          <w:highlight w:val="none"/>
          <w:lang w:val="en-US" w:eastAsia="zh-CN"/>
        </w:rPr>
        <w:t>目前在电力系统运行过程中，断路器机构同时收到跳闸和合闸信号的情况时有发生，在手动或自动装置合闸时，如果操作控制开关未复归或控制开关触点、自动装置触点卡住，此时保护动作使断路器跳闸而发生多次“跳</w:t>
      </w:r>
      <w:r>
        <w:rPr>
          <w:rFonts w:hint="eastAsia" w:ascii="宋体" w:hAnsi="宋体" w:eastAsia="宋体" w:cs="Times New Roman"/>
          <w:sz w:val="28"/>
          <w:szCs w:val="28"/>
          <w:highlight w:val="none"/>
          <w:lang w:val="en-US" w:eastAsia="zh-CN"/>
        </w:rPr>
        <w:t>-</w:t>
      </w:r>
      <w:r>
        <w:rPr>
          <w:rFonts w:hint="default" w:ascii="宋体" w:hAnsi="宋体" w:eastAsia="宋体" w:cs="Times New Roman"/>
          <w:sz w:val="28"/>
          <w:szCs w:val="28"/>
          <w:highlight w:val="none"/>
          <w:lang w:val="en-US" w:eastAsia="zh-CN"/>
        </w:rPr>
        <w:t>合”现象，这种现象称为跳跃。断路器发生跳跃故障对断路器非常危险，容易引起机构损伤，甚至引起断路器爆炸，造成事故扩大，所以必须采取闭锁措施。</w:t>
      </w:r>
    </w:p>
    <w:p>
      <w:pPr>
        <w:spacing w:line="360" w:lineRule="auto"/>
        <w:ind w:firstLine="560" w:firstLineChars="200"/>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本项目研发一种断路器防跳回路智能试验装置，</w:t>
      </w:r>
      <w:r>
        <w:rPr>
          <w:rFonts w:hint="eastAsia" w:ascii="宋体" w:hAnsi="宋体" w:eastAsia="宋体" w:cs="Times New Roman"/>
          <w:sz w:val="28"/>
          <w:szCs w:val="28"/>
          <w:highlight w:val="none"/>
          <w:lang w:val="en-US" w:eastAsia="zh-CN"/>
        </w:rPr>
        <w:t>本装置</w:t>
      </w:r>
      <w:r>
        <w:rPr>
          <w:rFonts w:hint="default" w:ascii="宋体" w:hAnsi="宋体" w:eastAsia="宋体" w:cs="Times New Roman"/>
          <w:sz w:val="28"/>
          <w:szCs w:val="28"/>
          <w:highlight w:val="none"/>
          <w:lang w:val="en-US" w:eastAsia="zh-CN"/>
        </w:rPr>
        <w:t>能够对采用不同形式防跳回路功能完好性的测试，并且在试验中克服了传统试验方法存在的问题，体现出</w:t>
      </w:r>
      <w:r>
        <w:rPr>
          <w:rFonts w:hint="eastAsia" w:ascii="宋体" w:hAnsi="宋体" w:eastAsia="宋体" w:cs="Times New Roman"/>
          <w:sz w:val="28"/>
          <w:szCs w:val="28"/>
          <w:highlight w:val="none"/>
          <w:lang w:val="en-US" w:eastAsia="zh-CN"/>
        </w:rPr>
        <w:t>了</w:t>
      </w:r>
      <w:r>
        <w:rPr>
          <w:rFonts w:hint="default" w:ascii="宋体" w:hAnsi="宋体" w:eastAsia="宋体" w:cs="Times New Roman"/>
          <w:sz w:val="28"/>
          <w:szCs w:val="28"/>
          <w:highlight w:val="none"/>
          <w:lang w:val="en-US" w:eastAsia="zh-CN"/>
        </w:rPr>
        <w:t>操作的简便</w:t>
      </w:r>
      <w:r>
        <w:rPr>
          <w:rFonts w:hint="eastAsia" w:ascii="宋体" w:hAnsi="宋体" w:eastAsia="宋体" w:cs="Times New Roman"/>
          <w:sz w:val="28"/>
          <w:szCs w:val="28"/>
          <w:highlight w:val="none"/>
          <w:lang w:val="en-US" w:eastAsia="zh-CN"/>
        </w:rPr>
        <w:t>、</w:t>
      </w:r>
      <w:r>
        <w:rPr>
          <w:rFonts w:hint="default" w:ascii="宋体" w:hAnsi="宋体" w:eastAsia="宋体" w:cs="Times New Roman"/>
          <w:sz w:val="28"/>
          <w:szCs w:val="28"/>
          <w:highlight w:val="none"/>
          <w:lang w:val="en-US" w:eastAsia="zh-CN"/>
        </w:rPr>
        <w:t>检验的精准等优势，确保了断路器能够安全稳定的运行</w:t>
      </w:r>
      <w:r>
        <w:rPr>
          <w:rFonts w:hint="eastAsia" w:ascii="宋体" w:hAnsi="宋体" w:eastAsia="宋体" w:cs="Times New Roman"/>
          <w:sz w:val="28"/>
          <w:szCs w:val="28"/>
          <w:highlight w:val="none"/>
          <w:lang w:val="en-US" w:eastAsia="zh-CN"/>
        </w:rPr>
        <w:t>，本装置操作简单，结构设计合理，仅需一人便可完成，对</w:t>
      </w:r>
      <w:r>
        <w:rPr>
          <w:rFonts w:hint="default" w:ascii="宋体" w:hAnsi="宋体" w:eastAsia="宋体" w:cs="Times New Roman"/>
          <w:sz w:val="28"/>
          <w:szCs w:val="28"/>
          <w:highlight w:val="none"/>
          <w:lang w:val="en-US" w:eastAsia="zh-CN"/>
        </w:rPr>
        <w:t>工作效率有了显著的提升。</w:t>
      </w:r>
    </w:p>
    <w:p>
      <w:pPr>
        <w:rPr>
          <w:sz w:val="30"/>
          <w:szCs w:val="30"/>
          <w:highlight w:val="none"/>
        </w:rPr>
      </w:pPr>
      <w:r>
        <w:rPr>
          <w:rFonts w:hint="eastAsia"/>
          <w:sz w:val="30"/>
          <w:szCs w:val="30"/>
          <w:highlight w:val="none"/>
        </w:rPr>
        <w:t>2.2服务范围</w:t>
      </w:r>
    </w:p>
    <w:p>
      <w:pPr>
        <w:pStyle w:val="11"/>
        <w:ind w:left="0" w:leftChars="0"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）供货需求及供货范围</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025"/>
        <w:gridCol w:w="951"/>
        <w:gridCol w:w="1276"/>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b/>
                <w:bCs/>
                <w:sz w:val="28"/>
                <w:szCs w:val="28"/>
                <w:highlight w:val="none"/>
              </w:rPr>
            </w:pPr>
            <w:r>
              <w:rPr>
                <w:rFonts w:hint="eastAsia"/>
                <w:b/>
                <w:bCs/>
                <w:sz w:val="28"/>
                <w:szCs w:val="28"/>
                <w:highlight w:val="none"/>
              </w:rPr>
              <w:t>序号</w:t>
            </w:r>
          </w:p>
        </w:tc>
        <w:tc>
          <w:tcPr>
            <w:tcW w:w="2025" w:type="dxa"/>
            <w:noWrap w:val="0"/>
            <w:vAlign w:val="center"/>
          </w:tcPr>
          <w:p>
            <w:pPr>
              <w:jc w:val="center"/>
              <w:rPr>
                <w:rFonts w:hint="eastAsia"/>
                <w:b/>
                <w:bCs/>
                <w:sz w:val="28"/>
                <w:szCs w:val="28"/>
                <w:highlight w:val="none"/>
              </w:rPr>
            </w:pPr>
            <w:r>
              <w:rPr>
                <w:rFonts w:hint="eastAsia"/>
                <w:b/>
                <w:bCs/>
                <w:sz w:val="28"/>
                <w:szCs w:val="28"/>
                <w:highlight w:val="none"/>
              </w:rPr>
              <w:t>项目名称</w:t>
            </w:r>
          </w:p>
        </w:tc>
        <w:tc>
          <w:tcPr>
            <w:tcW w:w="951" w:type="dxa"/>
            <w:noWrap w:val="0"/>
            <w:vAlign w:val="center"/>
          </w:tcPr>
          <w:p>
            <w:pPr>
              <w:jc w:val="center"/>
              <w:rPr>
                <w:rFonts w:hint="eastAsia"/>
                <w:b/>
                <w:bCs/>
                <w:sz w:val="28"/>
                <w:szCs w:val="28"/>
                <w:highlight w:val="none"/>
              </w:rPr>
            </w:pPr>
            <w:r>
              <w:rPr>
                <w:rFonts w:hint="eastAsia"/>
                <w:b/>
                <w:bCs/>
                <w:sz w:val="28"/>
                <w:szCs w:val="28"/>
                <w:highlight w:val="none"/>
              </w:rPr>
              <w:t>计量单位</w:t>
            </w:r>
          </w:p>
        </w:tc>
        <w:tc>
          <w:tcPr>
            <w:tcW w:w="1276" w:type="dxa"/>
            <w:noWrap w:val="0"/>
            <w:vAlign w:val="center"/>
          </w:tcPr>
          <w:p>
            <w:pPr>
              <w:jc w:val="center"/>
              <w:rPr>
                <w:rFonts w:hint="eastAsia"/>
                <w:b/>
                <w:bCs/>
                <w:sz w:val="28"/>
                <w:szCs w:val="28"/>
                <w:highlight w:val="none"/>
              </w:rPr>
            </w:pPr>
            <w:r>
              <w:rPr>
                <w:rFonts w:hint="eastAsia"/>
                <w:b/>
                <w:bCs/>
                <w:sz w:val="28"/>
                <w:szCs w:val="28"/>
                <w:highlight w:val="none"/>
              </w:rPr>
              <w:t>项目要求数量</w:t>
            </w:r>
          </w:p>
        </w:tc>
        <w:tc>
          <w:tcPr>
            <w:tcW w:w="2035" w:type="dxa"/>
            <w:noWrap w:val="0"/>
            <w:vAlign w:val="center"/>
          </w:tcPr>
          <w:p>
            <w:pPr>
              <w:jc w:val="center"/>
              <w:rPr>
                <w:rFonts w:hint="eastAsia"/>
                <w:b/>
                <w:bCs/>
                <w:sz w:val="28"/>
                <w:szCs w:val="28"/>
                <w:highlight w:val="none"/>
              </w:rPr>
            </w:pPr>
            <w:r>
              <w:rPr>
                <w:rFonts w:hint="eastAsia"/>
                <w:b/>
                <w:bCs/>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1</w:t>
            </w:r>
          </w:p>
        </w:tc>
        <w:tc>
          <w:tcPr>
            <w:tcW w:w="2025" w:type="dxa"/>
            <w:noWrap w:val="0"/>
            <w:vAlign w:val="center"/>
          </w:tcPr>
          <w:p>
            <w:pPr>
              <w:jc w:val="center"/>
              <w:rPr>
                <w:rFonts w:hint="eastAsia" w:ascii="宋体" w:hAnsi="宋体" w:eastAsia="宋体"/>
                <w:sz w:val="28"/>
                <w:szCs w:val="28"/>
                <w:highlight w:val="none"/>
                <w:lang w:eastAsia="zh-CN"/>
              </w:rPr>
            </w:pPr>
            <w:r>
              <w:rPr>
                <w:rFonts w:hint="eastAsia" w:ascii="宋体" w:hAnsi="宋体"/>
                <w:sz w:val="28"/>
                <w:szCs w:val="28"/>
                <w:highlight w:val="none"/>
                <w:lang w:eastAsia="zh-CN"/>
              </w:rPr>
              <w:t>一种断路器防跳回路智能试验装置</w:t>
            </w:r>
          </w:p>
        </w:tc>
        <w:tc>
          <w:tcPr>
            <w:tcW w:w="951" w:type="dxa"/>
            <w:noWrap w:val="0"/>
            <w:vAlign w:val="center"/>
          </w:tcPr>
          <w:p>
            <w:pPr>
              <w:jc w:val="center"/>
              <w:rPr>
                <w:rFonts w:hint="eastAsia" w:ascii="宋体" w:hAnsi="宋体" w:eastAsia="宋体"/>
                <w:sz w:val="28"/>
                <w:szCs w:val="28"/>
                <w:highlight w:val="none"/>
                <w:lang w:eastAsia="zh-CN"/>
              </w:rPr>
            </w:pPr>
            <w:r>
              <w:rPr>
                <w:rFonts w:hint="eastAsia" w:ascii="宋体" w:hAnsi="宋体"/>
                <w:sz w:val="28"/>
                <w:szCs w:val="28"/>
                <w:highlight w:val="none"/>
                <w:lang w:val="en-US" w:eastAsia="zh-CN"/>
              </w:rPr>
              <w:t>台</w:t>
            </w:r>
          </w:p>
        </w:tc>
        <w:tc>
          <w:tcPr>
            <w:tcW w:w="1276"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1</w:t>
            </w:r>
          </w:p>
        </w:tc>
        <w:tc>
          <w:tcPr>
            <w:tcW w:w="2035" w:type="dxa"/>
            <w:noWrap w:val="0"/>
            <w:vAlign w:val="center"/>
          </w:tcPr>
          <w:p>
            <w:pPr>
              <w:jc w:val="center"/>
              <w:rPr>
                <w:rFonts w:hint="eastAsia" w:ascii="宋体" w:hAnsi="宋体"/>
                <w:sz w:val="28"/>
                <w:szCs w:val="28"/>
                <w:highlight w:val="none"/>
              </w:rPr>
            </w:pPr>
            <w:r>
              <w:rPr>
                <w:rFonts w:hint="eastAsia" w:ascii="宋体" w:hAnsi="宋体"/>
                <w:sz w:val="28"/>
                <w:szCs w:val="28"/>
                <w:highlight w:val="none"/>
              </w:rPr>
              <w:t>供应商需</w:t>
            </w:r>
            <w:r>
              <w:rPr>
                <w:rFonts w:hint="eastAsia" w:ascii="宋体" w:hAnsi="宋体"/>
                <w:sz w:val="28"/>
                <w:szCs w:val="28"/>
                <w:highlight w:val="none"/>
                <w:lang w:eastAsia="zh-CN"/>
              </w:rPr>
              <w:t>提供</w:t>
            </w:r>
            <w:bookmarkStart w:id="3" w:name="_GoBack"/>
            <w:bookmarkEnd w:id="3"/>
            <w:r>
              <w:rPr>
                <w:rFonts w:hint="eastAsia" w:ascii="宋体" w:hAnsi="宋体"/>
                <w:sz w:val="28"/>
                <w:szCs w:val="28"/>
                <w:highlight w:val="none"/>
              </w:rPr>
              <w:t>报价明细</w:t>
            </w:r>
          </w:p>
        </w:tc>
      </w:tr>
    </w:tbl>
    <w:p>
      <w:pPr>
        <w:rPr>
          <w:rFonts w:hint="eastAsia"/>
          <w:highlight w:val="none"/>
        </w:rPr>
      </w:pPr>
    </w:p>
    <w:p>
      <w:pPr>
        <w:spacing w:line="360" w:lineRule="auto"/>
        <w:ind w:firstLine="560" w:firstLineChars="200"/>
        <w:rPr>
          <w:rFonts w:ascii="宋体" w:hAnsi="宋体" w:cs="仿宋"/>
          <w:sz w:val="28"/>
          <w:szCs w:val="28"/>
          <w:highlight w:val="none"/>
        </w:rPr>
      </w:pPr>
      <w:r>
        <w:rPr>
          <w:rFonts w:ascii="宋体" w:hAnsi="宋体"/>
          <w:sz w:val="28"/>
          <w:szCs w:val="28"/>
          <w:highlight w:val="none"/>
        </w:rPr>
        <w:t>2</w:t>
      </w:r>
      <w:r>
        <w:rPr>
          <w:rFonts w:hint="eastAsia" w:ascii="宋体" w:hAnsi="宋体"/>
          <w:sz w:val="28"/>
          <w:szCs w:val="28"/>
          <w:highlight w:val="none"/>
        </w:rPr>
        <w:t>）投标方应按本技术规范书的要求提供全新的、合</w:t>
      </w:r>
      <w:r>
        <w:rPr>
          <w:rFonts w:hint="eastAsia" w:ascii="宋体" w:hAnsi="宋体" w:cs="仿宋"/>
          <w:sz w:val="28"/>
          <w:szCs w:val="28"/>
          <w:highlight w:val="none"/>
        </w:rPr>
        <w:t>格的</w:t>
      </w:r>
      <w:r>
        <w:rPr>
          <w:rFonts w:hint="eastAsia" w:ascii="宋体" w:hAnsi="宋体"/>
          <w:sz w:val="28"/>
          <w:szCs w:val="28"/>
          <w:highlight w:val="none"/>
          <w:u w:val="single"/>
          <w:lang w:eastAsia="zh-CN"/>
        </w:rPr>
        <w:t>一种断路器防跳回路智能试验装置</w:t>
      </w:r>
      <w:r>
        <w:rPr>
          <w:rFonts w:hint="eastAsia" w:ascii="宋体" w:hAnsi="宋体" w:cs="仿宋"/>
          <w:sz w:val="28"/>
          <w:szCs w:val="28"/>
          <w:highlight w:val="none"/>
        </w:rPr>
        <w:t>物资以及必要的备品备件（如有）、专用工具（如有）和仪器（如有）。</w:t>
      </w:r>
    </w:p>
    <w:p>
      <w:pPr>
        <w:spacing w:line="360" w:lineRule="auto"/>
        <w:ind w:firstLine="560" w:firstLineChars="200"/>
        <w:rPr>
          <w:rFonts w:ascii="宋体" w:hAnsi="宋体"/>
          <w:sz w:val="28"/>
          <w:szCs w:val="28"/>
          <w:highlight w:val="none"/>
        </w:rPr>
      </w:pPr>
      <w:r>
        <w:rPr>
          <w:rFonts w:ascii="宋体" w:hAnsi="宋体"/>
          <w:sz w:val="28"/>
          <w:szCs w:val="28"/>
          <w:highlight w:val="none"/>
        </w:rPr>
        <w:t>4</w:t>
      </w:r>
      <w:r>
        <w:rPr>
          <w:rFonts w:hint="eastAsia" w:ascii="宋体" w:hAnsi="宋体"/>
          <w:sz w:val="28"/>
          <w:szCs w:val="28"/>
          <w:highlight w:val="none"/>
        </w:rPr>
        <w:t>）投标方须免费提供现场的集中培训，确保业主方在理论、实操和产品维护方面得到培训，熟悉和掌握产品的使用和维护。</w:t>
      </w:r>
    </w:p>
    <w:p>
      <w:pPr>
        <w:spacing w:line="360" w:lineRule="auto"/>
        <w:ind w:firstLine="560" w:firstLineChars="200"/>
        <w:rPr>
          <w:rFonts w:ascii="宋体" w:hAnsi="宋体"/>
          <w:sz w:val="28"/>
          <w:szCs w:val="28"/>
          <w:highlight w:val="none"/>
        </w:rPr>
      </w:pPr>
      <w:r>
        <w:rPr>
          <w:rFonts w:hint="eastAsia" w:ascii="宋体" w:hAnsi="宋体"/>
          <w:sz w:val="28"/>
          <w:szCs w:val="28"/>
          <w:highlight w:val="none"/>
        </w:rPr>
        <w:t>5）验收包括开箱验收和功能验收两部分。</w:t>
      </w:r>
      <w:bookmarkStart w:id="0" w:name="_Toc387612876"/>
      <w:bookmarkStart w:id="1" w:name="_Toc341535616"/>
      <w:bookmarkStart w:id="2" w:name="_Toc257812192"/>
      <w:r>
        <w:rPr>
          <w:rFonts w:hint="eastAsia" w:ascii="宋体" w:hAnsi="宋体"/>
          <w:sz w:val="28"/>
          <w:szCs w:val="28"/>
          <w:highlight w:val="none"/>
        </w:rPr>
        <w:t>其中，开箱验收包括检查产品外包装是否完整；功能验收指装置产品各项指标参数是否与规范书保持一致。</w:t>
      </w:r>
    </w:p>
    <w:bookmarkEnd w:id="0"/>
    <w:bookmarkEnd w:id="1"/>
    <w:bookmarkEnd w:id="2"/>
    <w:p>
      <w:pPr>
        <w:spacing w:line="360" w:lineRule="auto"/>
        <w:ind w:firstLine="560" w:firstLineChars="200"/>
        <w:rPr>
          <w:rFonts w:ascii="宋体" w:hAnsi="宋体"/>
          <w:sz w:val="28"/>
          <w:szCs w:val="28"/>
          <w:highlight w:val="none"/>
        </w:rPr>
      </w:pPr>
      <w:r>
        <w:rPr>
          <w:rFonts w:hint="eastAsia" w:ascii="宋体" w:hAnsi="宋体"/>
          <w:sz w:val="28"/>
          <w:szCs w:val="28"/>
          <w:highlight w:val="none"/>
        </w:rPr>
        <w:t>6）投标人应对所投产品具备技术支持及售后能力，售后服务内容包括但不限于：技术咨询、技术支持、产品培训、产品故障排查处理、故障维修等。</w:t>
      </w:r>
    </w:p>
    <w:p>
      <w:pPr>
        <w:rPr>
          <w:rFonts w:hint="eastAsia"/>
          <w:sz w:val="30"/>
          <w:szCs w:val="30"/>
          <w:highlight w:val="none"/>
        </w:rPr>
      </w:pPr>
      <w:r>
        <w:rPr>
          <w:rFonts w:hint="eastAsia"/>
          <w:sz w:val="30"/>
          <w:szCs w:val="30"/>
          <w:highlight w:val="none"/>
        </w:rPr>
        <w:t>2.3服务内容</w:t>
      </w:r>
    </w:p>
    <w:p>
      <w:pPr>
        <w:pStyle w:val="11"/>
        <w:spacing w:line="360" w:lineRule="auto"/>
        <w:ind w:left="0" w:leftChars="0" w:firstLine="560" w:firstLineChars="200"/>
        <w:rPr>
          <w:rFonts w:ascii="宋体" w:hAnsi="宋体" w:cs="仿宋"/>
          <w:sz w:val="28"/>
          <w:szCs w:val="28"/>
          <w:highlight w:val="none"/>
        </w:rPr>
      </w:pPr>
      <w:r>
        <w:rPr>
          <w:rFonts w:hint="eastAsia" w:ascii="宋体" w:hAnsi="宋体"/>
          <w:sz w:val="28"/>
          <w:szCs w:val="28"/>
          <w:highlight w:val="none"/>
        </w:rPr>
        <w:t>投标方提供</w:t>
      </w:r>
      <w:r>
        <w:rPr>
          <w:rFonts w:hint="eastAsia" w:ascii="宋体" w:hAnsi="宋体" w:cs="仿宋"/>
          <w:sz w:val="28"/>
          <w:szCs w:val="28"/>
          <w:highlight w:val="none"/>
        </w:rPr>
        <w:t>的</w:t>
      </w:r>
      <w:r>
        <w:rPr>
          <w:rFonts w:hint="eastAsia" w:ascii="宋体" w:hAnsi="宋体"/>
          <w:sz w:val="28"/>
          <w:szCs w:val="28"/>
          <w:highlight w:val="none"/>
          <w:u w:val="single"/>
          <w:lang w:eastAsia="zh-CN"/>
        </w:rPr>
        <w:t>一种断路器防跳回路智能试验装置</w:t>
      </w:r>
      <w:r>
        <w:rPr>
          <w:rFonts w:hint="eastAsia" w:ascii="宋体" w:hAnsi="宋体" w:cs="仿宋"/>
          <w:sz w:val="28"/>
          <w:szCs w:val="28"/>
          <w:highlight w:val="none"/>
        </w:rPr>
        <w:t>物资的具体内容见表2</w:t>
      </w:r>
      <w:r>
        <w:rPr>
          <w:rFonts w:ascii="宋体" w:hAnsi="宋体" w:cs="仿宋"/>
          <w:sz w:val="28"/>
          <w:szCs w:val="28"/>
          <w:highlight w:val="none"/>
        </w:rPr>
        <w:t>.1</w:t>
      </w:r>
      <w:r>
        <w:rPr>
          <w:rFonts w:hint="eastAsia" w:ascii="宋体" w:hAnsi="宋体" w:cs="仿宋"/>
          <w:sz w:val="28"/>
          <w:szCs w:val="28"/>
          <w:highlight w:val="none"/>
        </w:rPr>
        <w:t>供货范围及物资内容需求一览表。</w:t>
      </w:r>
    </w:p>
    <w:p>
      <w:pPr>
        <w:jc w:val="center"/>
        <w:rPr>
          <w:rFonts w:ascii="宋体" w:hAnsi="宋体"/>
          <w:b/>
          <w:bCs/>
          <w:sz w:val="24"/>
          <w:highlight w:val="none"/>
        </w:rPr>
      </w:pPr>
      <w:r>
        <w:rPr>
          <w:rFonts w:hint="eastAsia" w:ascii="宋体" w:hAnsi="宋体"/>
          <w:b/>
          <w:bCs/>
          <w:sz w:val="24"/>
          <w:highlight w:val="none"/>
        </w:rPr>
        <w:t>表2</w:t>
      </w:r>
      <w:r>
        <w:rPr>
          <w:rFonts w:ascii="宋体" w:hAnsi="宋体"/>
          <w:b/>
          <w:bCs/>
          <w:sz w:val="24"/>
          <w:highlight w:val="none"/>
        </w:rPr>
        <w:t>.1</w:t>
      </w:r>
      <w:r>
        <w:rPr>
          <w:rFonts w:hint="eastAsia" w:ascii="宋体" w:hAnsi="宋体"/>
          <w:b/>
          <w:bCs/>
          <w:sz w:val="24"/>
          <w:highlight w:val="none"/>
        </w:rPr>
        <w:t>供货范围及物资需求一览表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
        <w:gridCol w:w="925"/>
        <w:gridCol w:w="851"/>
        <w:gridCol w:w="708"/>
        <w:gridCol w:w="2953"/>
        <w:gridCol w:w="457"/>
        <w:gridCol w:w="477"/>
        <w:gridCol w:w="824"/>
        <w:gridCol w:w="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9" w:type="dxa"/>
            <w:vMerge w:val="restart"/>
            <w:noWrap w:val="0"/>
            <w:vAlign w:val="center"/>
          </w:tcPr>
          <w:p>
            <w:pPr>
              <w:pStyle w:val="11"/>
              <w:ind w:left="0" w:leftChars="0"/>
              <w:jc w:val="center"/>
              <w:rPr>
                <w:rFonts w:hint="eastAsia"/>
                <w:b/>
                <w:bCs/>
                <w:sz w:val="24"/>
                <w:highlight w:val="none"/>
              </w:rPr>
            </w:pPr>
            <w:r>
              <w:rPr>
                <w:rFonts w:hint="eastAsia"/>
                <w:b/>
                <w:bCs/>
                <w:sz w:val="24"/>
                <w:highlight w:val="none"/>
              </w:rPr>
              <w:t>序号</w:t>
            </w:r>
          </w:p>
        </w:tc>
        <w:tc>
          <w:tcPr>
            <w:tcW w:w="925" w:type="dxa"/>
            <w:vMerge w:val="restart"/>
            <w:noWrap w:val="0"/>
            <w:vAlign w:val="center"/>
          </w:tcPr>
          <w:p>
            <w:pPr>
              <w:pStyle w:val="11"/>
              <w:ind w:left="0" w:leftChars="0"/>
              <w:jc w:val="center"/>
              <w:rPr>
                <w:rFonts w:hint="eastAsia"/>
                <w:b/>
                <w:bCs/>
                <w:sz w:val="24"/>
                <w:highlight w:val="none"/>
              </w:rPr>
            </w:pPr>
            <w:r>
              <w:rPr>
                <w:rFonts w:hint="eastAsia"/>
                <w:b/>
                <w:bCs/>
                <w:sz w:val="24"/>
                <w:highlight w:val="none"/>
              </w:rPr>
              <w:t>项目名称</w:t>
            </w:r>
          </w:p>
        </w:tc>
        <w:tc>
          <w:tcPr>
            <w:tcW w:w="851" w:type="dxa"/>
            <w:vMerge w:val="restart"/>
            <w:noWrap w:val="0"/>
            <w:vAlign w:val="center"/>
          </w:tcPr>
          <w:p>
            <w:pPr>
              <w:pStyle w:val="11"/>
              <w:ind w:left="0" w:leftChars="0"/>
              <w:jc w:val="center"/>
              <w:rPr>
                <w:rFonts w:hint="eastAsia"/>
                <w:b/>
                <w:bCs/>
                <w:sz w:val="24"/>
                <w:highlight w:val="none"/>
              </w:rPr>
            </w:pPr>
            <w:r>
              <w:rPr>
                <w:rFonts w:hint="eastAsia"/>
                <w:b/>
                <w:bCs/>
                <w:sz w:val="24"/>
                <w:highlight w:val="none"/>
              </w:rPr>
              <w:t>物资名称</w:t>
            </w:r>
          </w:p>
        </w:tc>
        <w:tc>
          <w:tcPr>
            <w:tcW w:w="708" w:type="dxa"/>
            <w:vMerge w:val="restart"/>
            <w:noWrap w:val="0"/>
            <w:vAlign w:val="center"/>
          </w:tcPr>
          <w:p>
            <w:pPr>
              <w:pStyle w:val="11"/>
              <w:ind w:left="0" w:leftChars="0"/>
              <w:jc w:val="center"/>
              <w:rPr>
                <w:rFonts w:hint="eastAsia"/>
                <w:b/>
                <w:bCs/>
                <w:sz w:val="24"/>
                <w:highlight w:val="none"/>
              </w:rPr>
            </w:pPr>
            <w:r>
              <w:rPr>
                <w:rFonts w:hint="eastAsia"/>
                <w:b/>
                <w:bCs/>
                <w:sz w:val="24"/>
                <w:highlight w:val="none"/>
              </w:rPr>
              <w:t>规格型号</w:t>
            </w:r>
          </w:p>
        </w:tc>
        <w:tc>
          <w:tcPr>
            <w:tcW w:w="3887" w:type="dxa"/>
            <w:gridSpan w:val="3"/>
            <w:noWrap w:val="0"/>
            <w:vAlign w:val="center"/>
          </w:tcPr>
          <w:p>
            <w:pPr>
              <w:pStyle w:val="11"/>
              <w:ind w:left="0" w:leftChars="0"/>
              <w:jc w:val="center"/>
              <w:rPr>
                <w:rFonts w:hint="eastAsia"/>
                <w:b/>
                <w:bCs/>
                <w:sz w:val="24"/>
                <w:highlight w:val="none"/>
              </w:rPr>
            </w:pPr>
            <w:r>
              <w:rPr>
                <w:rFonts w:hint="eastAsia"/>
                <w:b/>
                <w:bCs/>
                <w:sz w:val="24"/>
                <w:highlight w:val="none"/>
              </w:rPr>
              <w:t>招标人要求</w:t>
            </w:r>
          </w:p>
        </w:tc>
        <w:tc>
          <w:tcPr>
            <w:tcW w:w="1692" w:type="dxa"/>
            <w:gridSpan w:val="2"/>
            <w:noWrap w:val="0"/>
            <w:vAlign w:val="center"/>
          </w:tcPr>
          <w:p>
            <w:pPr>
              <w:pStyle w:val="11"/>
              <w:ind w:left="0" w:leftChars="0"/>
              <w:jc w:val="center"/>
              <w:rPr>
                <w:rFonts w:hint="eastAsia"/>
                <w:b/>
                <w:bCs/>
                <w:sz w:val="24"/>
                <w:highlight w:val="none"/>
              </w:rPr>
            </w:pPr>
            <w:r>
              <w:rPr>
                <w:rFonts w:hint="eastAsia"/>
                <w:b/>
                <w:bCs/>
                <w:sz w:val="24"/>
                <w:highlight w:val="none"/>
              </w:rPr>
              <w:t>投标人响应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vMerge w:val="continue"/>
            <w:noWrap w:val="0"/>
            <w:vAlign w:val="center"/>
          </w:tcPr>
          <w:p>
            <w:pPr>
              <w:pStyle w:val="11"/>
              <w:ind w:left="0" w:leftChars="0"/>
              <w:jc w:val="center"/>
              <w:rPr>
                <w:rFonts w:hint="eastAsia"/>
                <w:b/>
                <w:bCs/>
                <w:sz w:val="24"/>
                <w:highlight w:val="none"/>
              </w:rPr>
            </w:pPr>
          </w:p>
        </w:tc>
        <w:tc>
          <w:tcPr>
            <w:tcW w:w="925" w:type="dxa"/>
            <w:vMerge w:val="continue"/>
            <w:noWrap w:val="0"/>
            <w:vAlign w:val="center"/>
          </w:tcPr>
          <w:p>
            <w:pPr>
              <w:pStyle w:val="11"/>
              <w:ind w:left="0" w:leftChars="0"/>
              <w:jc w:val="center"/>
              <w:rPr>
                <w:rFonts w:hint="eastAsia"/>
                <w:b/>
                <w:bCs/>
                <w:sz w:val="24"/>
                <w:highlight w:val="none"/>
              </w:rPr>
            </w:pPr>
          </w:p>
        </w:tc>
        <w:tc>
          <w:tcPr>
            <w:tcW w:w="851" w:type="dxa"/>
            <w:vMerge w:val="continue"/>
            <w:noWrap w:val="0"/>
            <w:vAlign w:val="center"/>
          </w:tcPr>
          <w:p>
            <w:pPr>
              <w:pStyle w:val="11"/>
              <w:ind w:left="0" w:leftChars="0"/>
              <w:jc w:val="center"/>
              <w:rPr>
                <w:rFonts w:hint="eastAsia"/>
                <w:b/>
                <w:bCs/>
                <w:sz w:val="24"/>
                <w:highlight w:val="none"/>
              </w:rPr>
            </w:pPr>
          </w:p>
        </w:tc>
        <w:tc>
          <w:tcPr>
            <w:tcW w:w="708" w:type="dxa"/>
            <w:vMerge w:val="continue"/>
            <w:noWrap w:val="0"/>
            <w:vAlign w:val="center"/>
          </w:tcPr>
          <w:p>
            <w:pPr>
              <w:pStyle w:val="11"/>
              <w:ind w:left="0" w:leftChars="0"/>
              <w:jc w:val="center"/>
              <w:rPr>
                <w:rFonts w:hint="eastAsia"/>
                <w:b/>
                <w:bCs/>
                <w:sz w:val="24"/>
                <w:highlight w:val="none"/>
              </w:rPr>
            </w:pPr>
          </w:p>
        </w:tc>
        <w:tc>
          <w:tcPr>
            <w:tcW w:w="2953" w:type="dxa"/>
            <w:noWrap w:val="0"/>
            <w:vAlign w:val="center"/>
          </w:tcPr>
          <w:p>
            <w:pPr>
              <w:pStyle w:val="11"/>
              <w:ind w:left="0" w:leftChars="0"/>
              <w:jc w:val="center"/>
              <w:rPr>
                <w:rFonts w:hint="eastAsia"/>
                <w:b/>
                <w:bCs/>
                <w:sz w:val="24"/>
                <w:highlight w:val="none"/>
              </w:rPr>
            </w:pPr>
            <w:r>
              <w:rPr>
                <w:rFonts w:hint="eastAsia"/>
                <w:b/>
                <w:bCs/>
                <w:sz w:val="24"/>
                <w:highlight w:val="none"/>
              </w:rPr>
              <w:t>主要参数</w:t>
            </w:r>
          </w:p>
        </w:tc>
        <w:tc>
          <w:tcPr>
            <w:tcW w:w="457" w:type="dxa"/>
            <w:noWrap w:val="0"/>
            <w:vAlign w:val="center"/>
          </w:tcPr>
          <w:p>
            <w:pPr>
              <w:pStyle w:val="11"/>
              <w:ind w:left="0" w:leftChars="0"/>
              <w:jc w:val="center"/>
              <w:rPr>
                <w:rFonts w:hint="eastAsia"/>
                <w:b/>
                <w:bCs/>
                <w:sz w:val="24"/>
                <w:highlight w:val="none"/>
              </w:rPr>
            </w:pPr>
            <w:r>
              <w:rPr>
                <w:rFonts w:hint="eastAsia"/>
                <w:b/>
                <w:bCs/>
                <w:sz w:val="24"/>
                <w:highlight w:val="none"/>
              </w:rPr>
              <w:t>单位</w:t>
            </w:r>
          </w:p>
        </w:tc>
        <w:tc>
          <w:tcPr>
            <w:tcW w:w="477" w:type="dxa"/>
            <w:noWrap w:val="0"/>
            <w:vAlign w:val="center"/>
          </w:tcPr>
          <w:p>
            <w:pPr>
              <w:pStyle w:val="11"/>
              <w:ind w:left="0" w:leftChars="0"/>
              <w:jc w:val="center"/>
              <w:rPr>
                <w:rFonts w:hint="eastAsia"/>
                <w:b/>
                <w:bCs/>
                <w:sz w:val="24"/>
                <w:highlight w:val="none"/>
              </w:rPr>
            </w:pPr>
            <w:r>
              <w:rPr>
                <w:rFonts w:hint="eastAsia"/>
                <w:b/>
                <w:bCs/>
                <w:sz w:val="24"/>
                <w:highlight w:val="none"/>
              </w:rPr>
              <w:t>数量</w:t>
            </w:r>
          </w:p>
        </w:tc>
        <w:tc>
          <w:tcPr>
            <w:tcW w:w="824" w:type="dxa"/>
            <w:noWrap w:val="0"/>
            <w:vAlign w:val="center"/>
          </w:tcPr>
          <w:p>
            <w:pPr>
              <w:pStyle w:val="11"/>
              <w:ind w:left="0" w:leftChars="0"/>
              <w:jc w:val="center"/>
              <w:rPr>
                <w:rFonts w:hint="eastAsia"/>
                <w:b/>
                <w:bCs/>
                <w:sz w:val="24"/>
                <w:highlight w:val="none"/>
              </w:rPr>
            </w:pPr>
            <w:r>
              <w:rPr>
                <w:rFonts w:hint="eastAsia"/>
                <w:b/>
                <w:bCs/>
                <w:sz w:val="24"/>
                <w:highlight w:val="none"/>
              </w:rPr>
              <w:t>数量</w:t>
            </w:r>
          </w:p>
        </w:tc>
        <w:tc>
          <w:tcPr>
            <w:tcW w:w="868" w:type="dxa"/>
            <w:noWrap w:val="0"/>
            <w:vAlign w:val="center"/>
          </w:tcPr>
          <w:p>
            <w:pPr>
              <w:pStyle w:val="11"/>
              <w:ind w:left="0" w:leftChars="0"/>
              <w:jc w:val="center"/>
              <w:rPr>
                <w:rFonts w:hint="eastAsia"/>
                <w:b/>
                <w:bCs/>
                <w:sz w:val="24"/>
                <w:highlight w:val="none"/>
              </w:rPr>
            </w:pPr>
            <w:r>
              <w:rPr>
                <w:rFonts w:hint="eastAsia"/>
                <w:b/>
                <w:bCs/>
                <w:sz w:val="24"/>
                <w:highlight w:val="none"/>
              </w:rPr>
              <w:t>主要参数响应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9" w:type="dxa"/>
            <w:noWrap w:val="0"/>
            <w:vAlign w:val="center"/>
          </w:tcPr>
          <w:p>
            <w:pPr>
              <w:pStyle w:val="11"/>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1</w:t>
            </w:r>
          </w:p>
        </w:tc>
        <w:tc>
          <w:tcPr>
            <w:tcW w:w="925" w:type="dxa"/>
            <w:noWrap w:val="0"/>
            <w:vAlign w:val="center"/>
          </w:tcPr>
          <w:p>
            <w:pPr>
              <w:pStyle w:val="11"/>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eastAsia="zh-CN"/>
              </w:rPr>
              <w:t>一种断路器防跳回路智能试验装置</w:t>
            </w:r>
          </w:p>
        </w:tc>
        <w:tc>
          <w:tcPr>
            <w:tcW w:w="851" w:type="dxa"/>
            <w:noWrap w:val="0"/>
            <w:vAlign w:val="center"/>
          </w:tcPr>
          <w:p>
            <w:pPr>
              <w:pStyle w:val="11"/>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eastAsia="zh-CN"/>
              </w:rPr>
              <w:t>一种断路器防跳回路智能试验装置</w:t>
            </w:r>
          </w:p>
        </w:tc>
        <w:tc>
          <w:tcPr>
            <w:tcW w:w="708" w:type="dxa"/>
            <w:noWrap w:val="0"/>
            <w:vAlign w:val="center"/>
          </w:tcPr>
          <w:p>
            <w:pPr>
              <w:pStyle w:val="11"/>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定制</w:t>
            </w:r>
          </w:p>
        </w:tc>
        <w:tc>
          <w:tcPr>
            <w:tcW w:w="2953" w:type="dxa"/>
            <w:noWrap w:val="0"/>
            <w:vAlign w:val="center"/>
          </w:tcPr>
          <w:p>
            <w:pPr>
              <w:pStyle w:val="11"/>
              <w:spacing w:before="0" w:beforeAutospacing="0" w:after="0" w:afterAutospacing="0"/>
              <w:ind w:left="0" w:leftChars="0"/>
              <w:jc w:val="left"/>
              <w:rPr>
                <w:rFonts w:ascii="宋体" w:hAnsi="宋体"/>
                <w:sz w:val="24"/>
                <w:highlight w:val="none"/>
              </w:rPr>
            </w:pPr>
            <w:r>
              <w:rPr>
                <w:rFonts w:hint="eastAsia" w:ascii="宋体" w:hAnsi="宋体"/>
                <w:sz w:val="24"/>
                <w:highlight w:val="none"/>
              </w:rPr>
              <w:t>1、研制</w:t>
            </w:r>
            <w:r>
              <w:rPr>
                <w:rFonts w:hint="eastAsia" w:ascii="宋体" w:hAnsi="宋体"/>
                <w:sz w:val="24"/>
                <w:highlight w:val="none"/>
                <w:lang w:eastAsia="zh-CN"/>
              </w:rPr>
              <w:t>一种断路器防跳回路智能试验装置</w:t>
            </w:r>
            <w:r>
              <w:rPr>
                <w:rFonts w:hint="eastAsia" w:ascii="宋体" w:hAnsi="宋体"/>
                <w:sz w:val="24"/>
                <w:highlight w:val="none"/>
              </w:rPr>
              <w:t>,</w:t>
            </w:r>
            <w:r>
              <w:rPr>
                <w:rFonts w:hint="default" w:ascii="宋体" w:hAnsi="宋体" w:eastAsia="宋体" w:cs="宋体"/>
                <w:kern w:val="0"/>
                <w:sz w:val="24"/>
                <w:szCs w:val="24"/>
                <w:lang w:val="en-US" w:eastAsia="zh-CN" w:bidi="ar"/>
              </w:rPr>
              <w:t>对采用不同形式防跳回路功能完好性</w:t>
            </w:r>
            <w:r>
              <w:rPr>
                <w:rFonts w:hint="eastAsia" w:ascii="宋体" w:hAnsi="宋体" w:eastAsia="宋体" w:cs="宋体"/>
                <w:kern w:val="0"/>
                <w:sz w:val="24"/>
                <w:szCs w:val="24"/>
                <w:lang w:val="en-US" w:eastAsia="zh-CN" w:bidi="ar"/>
              </w:rPr>
              <w:t>进行</w:t>
            </w:r>
            <w:r>
              <w:rPr>
                <w:rFonts w:hint="default" w:ascii="宋体" w:hAnsi="宋体" w:eastAsia="宋体" w:cs="宋体"/>
                <w:kern w:val="0"/>
                <w:sz w:val="24"/>
                <w:szCs w:val="24"/>
                <w:lang w:val="en-US" w:eastAsia="zh-CN" w:bidi="ar"/>
              </w:rPr>
              <w:t>测试</w:t>
            </w:r>
            <w:r>
              <w:rPr>
                <w:rFonts w:hint="eastAsia" w:ascii="宋体" w:hAnsi="宋体" w:eastAsia="宋体" w:cs="宋体"/>
                <w:kern w:val="0"/>
                <w:sz w:val="24"/>
                <w:szCs w:val="24"/>
                <w:lang w:val="en-US" w:eastAsia="zh-CN" w:bidi="ar"/>
              </w:rPr>
              <w:t>。</w:t>
            </w:r>
          </w:p>
          <w:p>
            <w:pPr>
              <w:rPr>
                <w:rFonts w:hint="eastAsia" w:ascii="宋体" w:hAnsi="宋体"/>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eastAsia="宋体" w:cs="宋体"/>
                <w:kern w:val="0"/>
                <w:sz w:val="24"/>
                <w:szCs w:val="24"/>
                <w:lang w:val="en-US" w:eastAsia="zh-CN" w:bidi="ar"/>
              </w:rPr>
              <w:t>装置适用于两种回路测试，保证通用性，一种采用时间继电保护操作箱的防跳回路，该回路为分闸启动，在发生合闸节点粘连等问题时断开合闸回路起到防跳功能；另一种则是采用断路器机构本身防跳，在合闸回路合闸同时接通防跳继电器并使其保持接通，经防跳继电器节点的固有动作时间断开断路器合闸回路，同样可起到防跳作用，满足反措要求。</w:t>
            </w:r>
          </w:p>
        </w:tc>
        <w:tc>
          <w:tcPr>
            <w:tcW w:w="457" w:type="dxa"/>
            <w:noWrap w:val="0"/>
            <w:vAlign w:val="center"/>
          </w:tcPr>
          <w:p>
            <w:pPr>
              <w:pStyle w:val="11"/>
              <w:spacing w:before="0" w:beforeAutospacing="0" w:after="0" w:afterAutospacing="0"/>
              <w:ind w:left="0" w:leftChars="0"/>
              <w:jc w:val="left"/>
              <w:rPr>
                <w:rFonts w:hint="eastAsia" w:ascii="宋体" w:hAnsi="宋体" w:eastAsia="宋体"/>
                <w:sz w:val="24"/>
                <w:highlight w:val="none"/>
                <w:lang w:eastAsia="zh-CN"/>
              </w:rPr>
            </w:pPr>
            <w:r>
              <w:rPr>
                <w:rFonts w:hint="eastAsia" w:ascii="宋体" w:hAnsi="宋体"/>
                <w:sz w:val="24"/>
                <w:highlight w:val="none"/>
                <w:lang w:val="en-US" w:eastAsia="zh-CN"/>
              </w:rPr>
              <w:t>台</w:t>
            </w:r>
          </w:p>
        </w:tc>
        <w:tc>
          <w:tcPr>
            <w:tcW w:w="477" w:type="dxa"/>
            <w:noWrap w:val="0"/>
            <w:vAlign w:val="center"/>
          </w:tcPr>
          <w:p>
            <w:pPr>
              <w:pStyle w:val="11"/>
              <w:spacing w:before="0" w:beforeAutospacing="0" w:after="0" w:afterAutospacing="0"/>
              <w:ind w:left="0" w:leftChars="0"/>
              <w:jc w:val="left"/>
              <w:rPr>
                <w:rFonts w:hint="eastAsia" w:ascii="宋体" w:hAnsi="宋体"/>
                <w:sz w:val="24"/>
                <w:highlight w:val="none"/>
              </w:rPr>
            </w:pPr>
            <w:r>
              <w:rPr>
                <w:rFonts w:hint="eastAsia" w:ascii="宋体" w:hAnsi="宋体"/>
                <w:sz w:val="24"/>
                <w:highlight w:val="none"/>
              </w:rPr>
              <w:t>1</w:t>
            </w:r>
          </w:p>
        </w:tc>
        <w:tc>
          <w:tcPr>
            <w:tcW w:w="824" w:type="dxa"/>
            <w:noWrap w:val="0"/>
            <w:vAlign w:val="center"/>
          </w:tcPr>
          <w:p>
            <w:pPr>
              <w:pStyle w:val="11"/>
              <w:spacing w:before="0" w:beforeAutospacing="0" w:after="0" w:afterAutospacing="0"/>
              <w:ind w:left="0" w:leftChars="0"/>
              <w:jc w:val="left"/>
              <w:rPr>
                <w:rFonts w:hint="eastAsia" w:ascii="宋体" w:hAnsi="宋体"/>
                <w:sz w:val="24"/>
                <w:highlight w:val="none"/>
              </w:rPr>
            </w:pPr>
          </w:p>
        </w:tc>
        <w:tc>
          <w:tcPr>
            <w:tcW w:w="868" w:type="dxa"/>
            <w:noWrap w:val="0"/>
            <w:vAlign w:val="center"/>
          </w:tcPr>
          <w:p>
            <w:pPr>
              <w:pStyle w:val="11"/>
              <w:spacing w:before="0" w:beforeAutospacing="0" w:after="0" w:afterAutospacing="0"/>
              <w:ind w:left="0" w:leftChars="0"/>
              <w:jc w:val="left"/>
              <w:rPr>
                <w:rFonts w:hint="eastAsia" w:ascii="宋体" w:hAnsi="宋体"/>
                <w:sz w:val="24"/>
                <w:highlight w:val="none"/>
              </w:rPr>
            </w:pPr>
          </w:p>
        </w:tc>
      </w:tr>
    </w:tbl>
    <w:p>
      <w:pPr>
        <w:spacing w:line="360" w:lineRule="auto"/>
        <w:ind w:left="420"/>
        <w:rPr>
          <w:rFonts w:hint="eastAsia" w:ascii="宋体" w:hAnsi="宋体" w:cs="宋体"/>
          <w:sz w:val="28"/>
          <w:szCs w:val="28"/>
          <w:highlight w:val="none"/>
        </w:rPr>
      </w:pPr>
      <w:r>
        <w:rPr>
          <w:rFonts w:hint="eastAsia" w:ascii="宋体" w:hAnsi="宋体" w:cs="宋体"/>
          <w:sz w:val="28"/>
          <w:szCs w:val="28"/>
          <w:highlight w:val="none"/>
        </w:rPr>
        <w:t>投标方提供的</w:t>
      </w:r>
      <w:r>
        <w:rPr>
          <w:rFonts w:hint="eastAsia" w:ascii="宋体" w:hAnsi="宋体"/>
          <w:sz w:val="28"/>
          <w:szCs w:val="28"/>
          <w:highlight w:val="none"/>
          <w:u w:val="single"/>
          <w:lang w:eastAsia="zh-CN"/>
        </w:rPr>
        <w:t>一种断路器防跳回路智能试验装置</w:t>
      </w:r>
      <w:r>
        <w:rPr>
          <w:rFonts w:hint="eastAsia" w:ascii="宋体" w:hAnsi="宋体" w:cs="宋体"/>
          <w:sz w:val="28"/>
          <w:szCs w:val="28"/>
          <w:highlight w:val="none"/>
        </w:rPr>
        <w:t>其他的具体内容如下：</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提交《</w:t>
      </w:r>
      <w:r>
        <w:rPr>
          <w:rFonts w:hint="eastAsia" w:ascii="宋体" w:hAnsi="宋体" w:cs="宋体"/>
          <w:sz w:val="28"/>
          <w:szCs w:val="28"/>
          <w:highlight w:val="none"/>
          <w:lang w:eastAsia="zh-CN"/>
        </w:rPr>
        <w:t>一种断路器防跳回路智能试验装置</w:t>
      </w:r>
      <w:r>
        <w:rPr>
          <w:rFonts w:hint="eastAsia" w:ascii="宋体" w:hAnsi="宋体" w:cs="宋体"/>
          <w:sz w:val="28"/>
          <w:szCs w:val="28"/>
          <w:highlight w:val="none"/>
        </w:rPr>
        <w:t>》技术报告1份；</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研制</w:t>
      </w:r>
      <w:r>
        <w:rPr>
          <w:rFonts w:hint="eastAsia" w:ascii="宋体" w:hAnsi="宋体" w:cs="宋体"/>
          <w:sz w:val="28"/>
          <w:szCs w:val="28"/>
          <w:highlight w:val="none"/>
          <w:lang w:eastAsia="zh-CN"/>
        </w:rPr>
        <w:t>一种断路器防跳回路智能试验装置</w:t>
      </w:r>
      <w:r>
        <w:rPr>
          <w:rFonts w:hint="eastAsia" w:ascii="宋体" w:hAnsi="宋体" w:cs="宋体"/>
          <w:sz w:val="28"/>
          <w:szCs w:val="28"/>
          <w:highlight w:val="none"/>
        </w:rPr>
        <w:t xml:space="preserve">1套； </w:t>
      </w:r>
    </w:p>
    <w:p>
      <w:pPr>
        <w:numPr>
          <w:ilvl w:val="0"/>
          <w:numId w:val="2"/>
        </w:numPr>
        <w:spacing w:line="360" w:lineRule="auto"/>
        <w:rPr>
          <w:rFonts w:hint="eastAsia" w:ascii="宋体" w:hAnsi="宋体" w:cs="宋体"/>
          <w:sz w:val="28"/>
          <w:szCs w:val="28"/>
          <w:highlight w:val="none"/>
        </w:rPr>
      </w:pPr>
      <w:r>
        <w:rPr>
          <w:rFonts w:hint="eastAsia" w:ascii="宋体" w:hAnsi="宋体" w:cs="宋体"/>
          <w:sz w:val="28"/>
          <w:szCs w:val="28"/>
          <w:highlight w:val="none"/>
        </w:rPr>
        <w:t>协助申请发明专利1项；</w:t>
      </w:r>
    </w:p>
    <w:p>
      <w:pPr>
        <w:numPr>
          <w:ilvl w:val="0"/>
          <w:numId w:val="1"/>
        </w:numPr>
        <w:rPr>
          <w:rFonts w:hint="eastAsia"/>
          <w:sz w:val="30"/>
          <w:szCs w:val="30"/>
          <w:highlight w:val="none"/>
        </w:rPr>
      </w:pPr>
      <w:r>
        <w:rPr>
          <w:rFonts w:hint="eastAsia"/>
          <w:sz w:val="30"/>
          <w:szCs w:val="30"/>
          <w:highlight w:val="none"/>
        </w:rPr>
        <w:t>应遵循的主要标准</w:t>
      </w:r>
    </w:p>
    <w:p>
      <w:pPr>
        <w:spacing w:line="360" w:lineRule="auto"/>
        <w:ind w:firstLine="560" w:firstLineChars="200"/>
        <w:rPr>
          <w:sz w:val="28"/>
          <w:szCs w:val="28"/>
          <w:highlight w:val="none"/>
        </w:rPr>
      </w:pPr>
      <w:r>
        <w:rPr>
          <w:sz w:val="28"/>
          <w:szCs w:val="28"/>
          <w:highlight w:val="none"/>
        </w:rPr>
        <w:t>除本技术规范特殊规定外</w:t>
      </w:r>
      <w:r>
        <w:rPr>
          <w:rFonts w:hint="eastAsia"/>
          <w:sz w:val="28"/>
          <w:szCs w:val="28"/>
          <w:highlight w:val="none"/>
        </w:rPr>
        <w:t>，</w:t>
      </w:r>
      <w:r>
        <w:rPr>
          <w:sz w:val="28"/>
          <w:szCs w:val="28"/>
          <w:highlight w:val="none"/>
        </w:rPr>
        <w:t>投标方所提供的设备均按规定的标准和规程的最新版本进行设计、制造、试验和安装。如果这些标准内容有矛盾时</w:t>
      </w:r>
      <w:r>
        <w:rPr>
          <w:rFonts w:hint="eastAsia"/>
          <w:sz w:val="28"/>
          <w:szCs w:val="28"/>
          <w:highlight w:val="none"/>
        </w:rPr>
        <w:t>，</w:t>
      </w:r>
      <w:r>
        <w:rPr>
          <w:sz w:val="28"/>
          <w:szCs w:val="28"/>
          <w:highlight w:val="none"/>
        </w:rPr>
        <w:t>应按</w:t>
      </w:r>
      <w:r>
        <w:rPr>
          <w:rFonts w:hint="eastAsia"/>
          <w:sz w:val="28"/>
          <w:szCs w:val="28"/>
          <w:highlight w:val="none"/>
        </w:rPr>
        <w:t>技术要求最</w:t>
      </w:r>
      <w:r>
        <w:rPr>
          <w:sz w:val="28"/>
          <w:szCs w:val="28"/>
          <w:highlight w:val="none"/>
        </w:rPr>
        <w:t>高的条款执行或按双方商定的标准执行。如果投标方选用本技术规范规定以外的标准时</w:t>
      </w:r>
      <w:r>
        <w:rPr>
          <w:rFonts w:hint="eastAsia"/>
          <w:sz w:val="28"/>
          <w:szCs w:val="28"/>
          <w:highlight w:val="none"/>
        </w:rPr>
        <w:t>，</w:t>
      </w:r>
      <w:r>
        <w:rPr>
          <w:sz w:val="28"/>
          <w:szCs w:val="28"/>
          <w:highlight w:val="none"/>
        </w:rPr>
        <w:t>则需提交这种替换标准供审查和分析。仅在投标方已证明替换标准相当或优于技术规范规定的标准</w:t>
      </w:r>
      <w:r>
        <w:rPr>
          <w:rFonts w:hint="eastAsia"/>
          <w:sz w:val="28"/>
          <w:szCs w:val="28"/>
          <w:highlight w:val="none"/>
        </w:rPr>
        <w:t>，</w:t>
      </w:r>
      <w:r>
        <w:rPr>
          <w:sz w:val="28"/>
          <w:szCs w:val="28"/>
          <w:highlight w:val="none"/>
        </w:rPr>
        <w:t>并从招标方处获得书面的认可才能使用。提交供审查的标准应为中文版本。</w:t>
      </w:r>
    </w:p>
    <w:p>
      <w:pPr>
        <w:spacing w:line="360" w:lineRule="auto"/>
        <w:ind w:firstLine="560" w:firstLineChars="200"/>
        <w:rPr>
          <w:sz w:val="28"/>
          <w:szCs w:val="28"/>
          <w:highlight w:val="none"/>
        </w:rPr>
      </w:pPr>
      <w:r>
        <w:rPr>
          <w:rFonts w:hint="eastAsia"/>
          <w:sz w:val="28"/>
          <w:szCs w:val="28"/>
          <w:highlight w:val="none"/>
        </w:rPr>
        <w:t>下列文件对于本技术规范书的应用是必不可少。凡是注日期的引用文件，仅注日期的版本适用于本技术规范书。凡是不注日期的引用文件，其最新版本（包括所有的修改单）适用于本技术规范书：</w:t>
      </w:r>
    </w:p>
    <w:tbl>
      <w:tblPr>
        <w:tblStyle w:val="6"/>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2"/>
        <w:gridCol w:w="6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2522" w:type="dxa"/>
            <w:noWrap w:val="0"/>
            <w:vAlign w:val="center"/>
          </w:tcPr>
          <w:p>
            <w:pPr>
              <w:spacing w:line="360" w:lineRule="auto"/>
              <w:jc w:val="center"/>
              <w:rPr>
                <w:rFonts w:hint="eastAsia" w:ascii="宋体" w:hAnsi="宋体"/>
                <w:sz w:val="28"/>
                <w:szCs w:val="28"/>
                <w:highlight w:val="none"/>
              </w:rPr>
            </w:pPr>
            <w:r>
              <w:rPr>
                <w:rFonts w:hint="default" w:ascii="宋体" w:hAnsi="宋体" w:eastAsia="宋体" w:cs="Times New Roman"/>
                <w:sz w:val="28"/>
                <w:szCs w:val="28"/>
                <w:highlight w:val="none"/>
              </w:rPr>
              <w:t>GB/T 1984-2014 </w:t>
            </w:r>
          </w:p>
        </w:tc>
        <w:tc>
          <w:tcPr>
            <w:tcW w:w="6056" w:type="dxa"/>
            <w:noWrap w:val="0"/>
            <w:vAlign w:val="center"/>
          </w:tcPr>
          <w:p>
            <w:pPr>
              <w:pStyle w:val="4"/>
              <w:shd w:val="clear" w:color="auto" w:fill="FFFFFF"/>
              <w:spacing w:before="0" w:after="0" w:line="360" w:lineRule="atLeast"/>
              <w:rPr>
                <w:rFonts w:ascii="宋体" w:hAnsi="宋体"/>
                <w:b/>
                <w:bCs/>
                <w:sz w:val="28"/>
                <w:szCs w:val="28"/>
                <w:highlight w:val="none"/>
              </w:rPr>
            </w:pPr>
            <w:r>
              <w:rPr>
                <w:rFonts w:hint="eastAsia" w:ascii="Helvetica" w:hAnsi="Helvetica" w:eastAsia="宋体" w:cs="Times New Roman"/>
                <w:b w:val="0"/>
                <w:bCs w:val="0"/>
                <w:kern w:val="2"/>
                <w:sz w:val="28"/>
                <w:szCs w:val="28"/>
                <w:highlight w:val="none"/>
                <w:shd w:val="clear" w:color="auto" w:fill="FFFFFF"/>
                <w:lang w:eastAsia="zh-CN"/>
              </w:rPr>
              <w:t>《</w:t>
            </w:r>
            <w:r>
              <w:rPr>
                <w:rFonts w:hint="default" w:ascii="Helvetica" w:hAnsi="Helvetica" w:eastAsia="宋体" w:cs="Times New Roman"/>
                <w:b w:val="0"/>
                <w:bCs w:val="0"/>
                <w:kern w:val="2"/>
                <w:sz w:val="28"/>
                <w:szCs w:val="28"/>
                <w:highlight w:val="none"/>
                <w:shd w:val="clear" w:color="auto" w:fill="FFFFFF"/>
              </w:rPr>
              <w:fldChar w:fldCharType="begin"/>
            </w:r>
            <w:r>
              <w:rPr>
                <w:rFonts w:hint="default" w:ascii="Helvetica" w:hAnsi="Helvetica" w:eastAsia="宋体" w:cs="Times New Roman"/>
                <w:b w:val="0"/>
                <w:bCs w:val="0"/>
                <w:kern w:val="2"/>
                <w:sz w:val="28"/>
                <w:szCs w:val="28"/>
                <w:highlight w:val="none"/>
                <w:shd w:val="clear" w:color="auto" w:fill="FFFFFF"/>
              </w:rPr>
              <w:instrText xml:space="preserve"> HYPERLINK "https://www.so.com/link?m=wN1I3ahQKzgmibYkWDwcrhBrBK7kpX7G8Z8gq3mcL2z73WzpB45e6brKbHnyk2s9X4mI3RNgGf7jJ9YMiVAbONZF7jFpzyM+mJmuKpmT7Sbusux1GOMW7sMAWkjBMJkEQavJEXWz0vPYW5d9u6MO8QrPYfTUzuSb4p+skWcWy5nDd6yUOzvCL06pjmRHLgOP66zzZp1RRufJUQp32lVsOjCNYh4xbcvttELvqHG/0uyaRMlXfSrkfxRX4rMtFmxGDWhy8bA==" \t "https://www.so.com/_blank" </w:instrText>
            </w:r>
            <w:r>
              <w:rPr>
                <w:rFonts w:hint="default" w:ascii="Helvetica" w:hAnsi="Helvetica" w:eastAsia="宋体" w:cs="Times New Roman"/>
                <w:b w:val="0"/>
                <w:bCs w:val="0"/>
                <w:kern w:val="2"/>
                <w:sz w:val="28"/>
                <w:szCs w:val="28"/>
                <w:highlight w:val="none"/>
                <w:shd w:val="clear" w:color="auto" w:fill="FFFFFF"/>
              </w:rPr>
              <w:fldChar w:fldCharType="separate"/>
            </w:r>
            <w:r>
              <w:rPr>
                <w:rFonts w:hint="default" w:ascii="Helvetica" w:hAnsi="Helvetica" w:eastAsia="宋体" w:cs="Times New Roman"/>
                <w:b w:val="0"/>
                <w:bCs w:val="0"/>
                <w:kern w:val="2"/>
                <w:sz w:val="28"/>
                <w:szCs w:val="28"/>
                <w:highlight w:val="none"/>
                <w:shd w:val="clear" w:color="auto" w:fill="FFFFFF"/>
              </w:rPr>
              <w:t>断路器的检测项目和标准</w:t>
            </w:r>
            <w:r>
              <w:rPr>
                <w:rFonts w:hint="default" w:ascii="Helvetica" w:hAnsi="Helvetica" w:eastAsia="宋体" w:cs="Times New Roman"/>
                <w:b w:val="0"/>
                <w:bCs w:val="0"/>
                <w:kern w:val="2"/>
                <w:sz w:val="28"/>
                <w:szCs w:val="28"/>
                <w:highlight w:val="none"/>
                <w:shd w:val="clear" w:color="auto" w:fill="FFFFFF"/>
              </w:rPr>
              <w:fldChar w:fldCharType="end"/>
            </w:r>
            <w:r>
              <w:rPr>
                <w:rFonts w:hint="eastAsia" w:ascii="Helvetica" w:hAnsi="Helvetica" w:eastAsia="宋体" w:cs="Times New Roman"/>
                <w:b w:val="0"/>
                <w:bCs w:val="0"/>
                <w:kern w:val="2"/>
                <w:sz w:val="28"/>
                <w:szCs w:val="28"/>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522" w:type="dxa"/>
            <w:noWrap w:val="0"/>
            <w:vAlign w:val="center"/>
          </w:tcPr>
          <w:p>
            <w:pPr>
              <w:jc w:val="center"/>
              <w:rPr>
                <w:rFonts w:hint="eastAsia" w:ascii="宋体" w:hAnsi="宋体"/>
                <w:sz w:val="28"/>
                <w:szCs w:val="28"/>
                <w:highlight w:val="none"/>
              </w:rPr>
            </w:pPr>
            <w:r>
              <w:rPr>
                <w:rFonts w:hint="eastAsia" w:ascii="宋体" w:hAnsi="宋体" w:eastAsia="宋体" w:cs="Times New Roman"/>
                <w:sz w:val="28"/>
                <w:szCs w:val="28"/>
                <w:highlight w:val="none"/>
              </w:rPr>
              <w:t>Q/CSG114002-2011</w:t>
            </w:r>
          </w:p>
        </w:tc>
        <w:tc>
          <w:tcPr>
            <w:tcW w:w="6056" w:type="dxa"/>
            <w:noWrap w:val="0"/>
            <w:vAlign w:val="center"/>
          </w:tcPr>
          <w:p>
            <w:pPr>
              <w:pStyle w:val="4"/>
              <w:shd w:val="clear" w:color="auto" w:fill="FFFFFF"/>
              <w:spacing w:before="0" w:after="0" w:line="360" w:lineRule="atLeast"/>
              <w:rPr>
                <w:rFonts w:hint="eastAsia" w:ascii="Helvetica" w:hAnsi="Helvetica"/>
                <w:b w:val="0"/>
                <w:bCs w:val="0"/>
                <w:kern w:val="2"/>
                <w:sz w:val="28"/>
                <w:szCs w:val="28"/>
                <w:highlight w:val="none"/>
                <w:shd w:val="clear" w:color="auto" w:fill="FFFFFF"/>
              </w:rPr>
            </w:pPr>
            <w:r>
              <w:rPr>
                <w:rFonts w:hint="default" w:ascii="Helvetica" w:hAnsi="Helvetica" w:eastAsia="宋体" w:cs="Times New Roman"/>
                <w:b w:val="0"/>
                <w:bCs w:val="0"/>
                <w:kern w:val="2"/>
                <w:sz w:val="28"/>
                <w:szCs w:val="28"/>
                <w:highlight w:val="none"/>
                <w:shd w:val="clear" w:color="auto" w:fill="FFFFFF"/>
              </w:rPr>
              <w:t>《</w:t>
            </w:r>
            <w:r>
              <w:rPr>
                <w:rFonts w:hint="eastAsia" w:ascii="Helvetica" w:hAnsi="Helvetica" w:eastAsia="宋体" w:cs="Times New Roman"/>
                <w:b w:val="0"/>
                <w:bCs w:val="0"/>
                <w:kern w:val="2"/>
                <w:sz w:val="28"/>
                <w:szCs w:val="28"/>
                <w:highlight w:val="none"/>
                <w:shd w:val="clear" w:color="auto" w:fill="FFFFFF"/>
              </w:rPr>
              <w:t>电力设备预防性试验</w:t>
            </w:r>
            <w:r>
              <w:rPr>
                <w:rFonts w:hint="default" w:ascii="Helvetica" w:hAnsi="Helvetica" w:eastAsia="宋体" w:cs="Times New Roman"/>
                <w:b w:val="0"/>
                <w:bCs w:val="0"/>
                <w:kern w:val="2"/>
                <w:sz w:val="28"/>
                <w:szCs w:val="28"/>
                <w:highlight w:val="none"/>
                <w:shd w:val="clear" w:color="auto" w:fill="FFFFFF"/>
              </w:rPr>
              <w:t>规程》</w:t>
            </w:r>
          </w:p>
        </w:tc>
      </w:tr>
    </w:tbl>
    <w:p>
      <w:pPr>
        <w:numPr>
          <w:ilvl w:val="0"/>
          <w:numId w:val="1"/>
        </w:numPr>
        <w:rPr>
          <w:rFonts w:hint="eastAsia"/>
          <w:sz w:val="30"/>
          <w:szCs w:val="30"/>
          <w:highlight w:val="none"/>
        </w:rPr>
      </w:pPr>
      <w:r>
        <w:rPr>
          <w:rFonts w:hint="eastAsia"/>
          <w:sz w:val="30"/>
          <w:szCs w:val="30"/>
          <w:highlight w:val="none"/>
        </w:rPr>
        <w:t>供应商需说明的其他问题</w:t>
      </w:r>
    </w:p>
    <w:p>
      <w:pPr>
        <w:pStyle w:val="11"/>
        <w:snapToGrid w:val="0"/>
        <w:spacing w:before="0" w:beforeAutospacing="0" w:after="0" w:afterAutospacing="0" w:line="360" w:lineRule="auto"/>
        <w:ind w:left="0" w:leftChars="0" w:firstLine="640" w:firstLineChars="200"/>
        <w:jc w:val="left"/>
        <w:rPr>
          <w:rFonts w:hint="eastAsia" w:ascii="宋体" w:hAnsi="宋体" w:cs="宋体"/>
          <w:sz w:val="32"/>
          <w:szCs w:val="32"/>
          <w:highlight w:val="none"/>
        </w:rPr>
      </w:pPr>
      <w:r>
        <w:rPr>
          <w:rFonts w:hint="eastAsia" w:ascii="宋体" w:hAnsi="宋体" w:cs="宋体"/>
          <w:sz w:val="32"/>
          <w:szCs w:val="32"/>
          <w:highlight w:val="none"/>
        </w:rPr>
        <w:t>如有需说明的其他问题，供应商应通过书面形式提交，并盖章。</w:t>
      </w:r>
    </w:p>
    <w:p>
      <w:pPr>
        <w:rPr>
          <w:rFonts w:hint="eastAsia"/>
          <w:sz w:val="30"/>
          <w:szCs w:val="30"/>
          <w:highlight w:val="none"/>
        </w:rPr>
      </w:pPr>
    </w:p>
    <w:p>
      <w:pPr>
        <w:rPr>
          <w:rFonts w:hint="eastAsia"/>
          <w:highlight w:val="none"/>
          <w:lang w:val="en-US" w:eastAsia="zh-CN"/>
        </w:rPr>
      </w:pPr>
    </w:p>
    <w:p>
      <w:pPr>
        <w:rPr>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3"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29FE5A"/>
    <w:multiLevelType w:val="singleLevel"/>
    <w:tmpl w:val="D529FE5A"/>
    <w:lvl w:ilvl="0" w:tentative="0">
      <w:start w:val="1"/>
      <w:numFmt w:val="decimal"/>
      <w:suff w:val="nothing"/>
      <w:lvlText w:val="%1、"/>
      <w:lvlJc w:val="left"/>
    </w:lvl>
  </w:abstractNum>
  <w:abstractNum w:abstractNumId="1">
    <w:nsid w:val="F8489761"/>
    <w:multiLevelType w:val="singleLevel"/>
    <w:tmpl w:val="F8489761"/>
    <w:lvl w:ilvl="0" w:tentative="0">
      <w:start w:val="1"/>
      <w:numFmt w:val="decimal"/>
      <w:lvlText w:val="(%1)"/>
      <w:lvlJc w:val="left"/>
      <w:pPr>
        <w:tabs>
          <w:tab w:val="left" w:pos="420"/>
        </w:tabs>
        <w:ind w:left="84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4MWExNjQ2MWFiMWY5Zjk5YTE0ZmQ5OTFhZjUwMmIifQ=="/>
  </w:docVars>
  <w:rsids>
    <w:rsidRoot w:val="18010030"/>
    <w:rsid w:val="0D0D38A1"/>
    <w:rsid w:val="11E545C5"/>
    <w:rsid w:val="18010030"/>
    <w:rsid w:val="40F21C8E"/>
    <w:rsid w:val="44A151F6"/>
    <w:rsid w:val="6BCE1A42"/>
    <w:rsid w:val="7D170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character" w:styleId="8">
    <w:name w:val="Strong"/>
    <w:qFormat/>
    <w:uiPriority w:val="22"/>
    <w:rPr>
      <w:b/>
      <w:bCs/>
    </w:rPr>
  </w:style>
  <w:style w:type="character" w:styleId="9">
    <w:name w:val="Emphasis"/>
    <w:basedOn w:val="7"/>
    <w:qFormat/>
    <w:uiPriority w:val="0"/>
    <w:rPr>
      <w:i/>
    </w:rPr>
  </w:style>
  <w:style w:type="character" w:styleId="10">
    <w:name w:val="Hyperlink"/>
    <w:basedOn w:val="7"/>
    <w:qFormat/>
    <w:uiPriority w:val="0"/>
    <w:rPr>
      <w:color w:val="0000FF"/>
      <w:u w:val="single"/>
    </w:rPr>
  </w:style>
  <w:style w:type="paragraph" w:customStyle="1" w:styleId="11">
    <w:name w:val="目录 21"/>
    <w:basedOn w:val="1"/>
    <w:next w:val="1"/>
    <w:qFormat/>
    <w:uiPriority w:val="0"/>
    <w:pPr>
      <w:spacing w:before="100" w:beforeAutospacing="1" w:after="100" w:afterAutospacing="1" w:line="240" w:lineRule="auto"/>
      <w:ind w:left="420" w:leftChars="200"/>
    </w:pPr>
    <w:rPr>
      <w:rFonts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1949</Words>
  <Characters>1982</Characters>
  <Lines>0</Lines>
  <Paragraphs>0</Paragraphs>
  <TotalTime>8</TotalTime>
  <ScaleCrop>false</ScaleCrop>
  <LinksUpToDate>false</LinksUpToDate>
  <CharactersWithSpaces>1990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2024-09-24T01:20:00Z</dcterms:created>
  <dc:creator>8237476979</dc:creator>
  <cp:lastModifiedBy>夏鹏</cp:lastModifiedBy>
  <dcterms:modified xsi:type="dcterms:W3CDTF">2024-09-25T08:14:22Z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F34EB8C8F4DE4BF098CE2D61E9A74257_11</vt:lpwstr>
  </property>
</Properties>
</file>