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贵州六盘水项目2024-2025年前期办公用房租赁项目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房屋租赁合同（承租）（2023年版）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3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合同签订之日起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580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12个月后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     元（大写：         ）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满足国家税法相关要求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a866881-4a26-473d-ba37-21f377e3cb6f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f15dce6e-a4f3-4f71-866b-63519af7931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5c178078-b35d-4eea-a8d2-4de0d68ab81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sdt>
                  <w:sdt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alias w:val="税率"/>
                    <w:tag w:val="税率"/>
                    <w:id w:val="147470952"/>
                    <w:placeholder>
                      <w:docPart w:val="{08e6e23e-c2f7-4de6-a7c4-d60a5bae088f}"/>
                    </w:placeholder>
                  </w:sdtPr>
                  <w:sdtEnd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宋体" w:hAnsi="宋体" w:cs="宋体"/>
                        <w:color w:val="auto"/>
                        <w:sz w:val="18"/>
                        <w:szCs w:val="18"/>
                        <w:highlight w:val="none"/>
                        <w:lang w:val="en-US" w:eastAsia="zh-CN"/>
                      </w:rPr>
                      <w:t>满足国家税法相关要求</w:t>
                    </w:r>
                    <w:permEnd w:id="21"/>
                  </w:sdtContent>
                </w:sdt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30个工作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，甲方除按照合同第四条的约定支付租金外，不承担其他费用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合同签订之日</w:t>
            </w:r>
            <w:permEnd w:id="4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  <w:bookmarkStart w:id="0" w:name="_GoBack"/>
            <w:bookmarkEnd w:id="0"/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/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tftpjb@vip.163.com  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020-87562687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6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8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 屋的实际管理人，甲方的人身和财产安全均由甲方自行承担，该房 屋内所发生的所有安全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事故均由甲方来承担，与乙方无关，包括但不 限于高空抛物，水电、燃气的使用不当，在房屋内摔倒等给甲方造成 的人身伤害，乙方都不承担任何责任。 （3）租房屋的用途为：住宿，未经乙方同意，甲方不得改变租赁房屋的用途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个月向乙方提出提前退租的需求，乙方须同意我方甲方提前退租，按实际租赁时间收取租金，根据实际情况退还剩余租金及押金，乙方不予追究甲方提前解除合同的违约责任。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9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13966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886995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866881-4a26-473d-ba37-21f377e3cb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866881-4a26-473d-ba37-21f377e3cb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5dce6e-a4f3-4f71-866b-63519af793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5dce6e-a4f3-4f71-866b-63519af793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178078-b35d-4eea-a8d2-4de0d68ab8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178078-b35d-4eea-a8d2-4de0d68ab8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e6e23e-c2f7-4de6-a7c4-d60a5bae08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e6e23e-c2f7-4de6-a7c4-d60a5bae088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种阳阳</cp:lastModifiedBy>
  <dcterms:modified xsi:type="dcterms:W3CDTF">2024-10-14T03:30:24Z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63EF65EE20AD43C59020220C8E3627A1_13</vt:lpwstr>
  </property>
</Properties>
</file>