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napToGrid w:val="0"/>
          <w:color w:val="auto"/>
          <w:kern w:val="0"/>
          <w:sz w:val="21"/>
          <w:szCs w:val="21"/>
          <w:highlight w:val="none"/>
          <w:u w:val="single"/>
          <w:lang w:val="en-US" w:eastAsia="zh-CN"/>
        </w:rPr>
      </w:pPr>
      <w:bookmarkStart w:id="0" w:name="_Toc8445"/>
      <w:r>
        <w:rPr>
          <w:rFonts w:hint="eastAsia" w:asciiTheme="minorEastAsia" w:hAnsiTheme="minorEastAsia" w:eastAsiaTheme="minorEastAsia" w:cstheme="minorEastAsia"/>
          <w:b/>
          <w:bCs/>
          <w:snapToGrid w:val="0"/>
          <w:color w:val="auto"/>
          <w:kern w:val="0"/>
          <w:sz w:val="21"/>
          <w:szCs w:val="21"/>
          <w:highlight w:val="none"/>
          <w:u w:val="single"/>
          <w:lang w:val="en-US" w:eastAsia="zh-CN"/>
        </w:rPr>
        <w:t>标的-2024年度广东电网有限责任公司应急及风险管理中心第二批管理创新项目外委服务</w:t>
      </w:r>
    </w:p>
    <w:p>
      <w:pPr>
        <w:pStyle w:val="8"/>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1"/>
          <w:szCs w:val="21"/>
          <w:highlight w:val="none"/>
          <w:u w:val="single"/>
          <w:lang w:val="en-US" w:eastAsia="zh-CN"/>
        </w:rPr>
      </w:pPr>
      <w:r>
        <w:rPr>
          <w:rFonts w:hint="eastAsia" w:asciiTheme="minorEastAsia" w:hAnsiTheme="minorEastAsia" w:eastAsiaTheme="minorEastAsia" w:cstheme="minorEastAsia"/>
          <w:b/>
          <w:bCs/>
          <w:snapToGrid w:val="0"/>
          <w:color w:val="auto"/>
          <w:kern w:val="0"/>
          <w:sz w:val="21"/>
          <w:szCs w:val="21"/>
          <w:highlight w:val="none"/>
          <w:u w:val="single"/>
          <w:lang w:val="en-US" w:eastAsia="zh-CN"/>
        </w:rPr>
        <w:t xml:space="preserve">标包1：电力企业应急预案管理机制优化研究与应用实践  </w:t>
      </w:r>
    </w:p>
    <w:p>
      <w:pPr>
        <w:pStyle w:val="8"/>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1"/>
          <w:szCs w:val="21"/>
          <w:highlight w:val="none"/>
          <w:u w:val="single"/>
          <w:lang w:val="en-US" w:eastAsia="zh-CN"/>
        </w:rPr>
      </w:pPr>
      <w:r>
        <w:rPr>
          <w:rFonts w:hint="eastAsia" w:asciiTheme="minorEastAsia" w:hAnsiTheme="minorEastAsia" w:eastAsiaTheme="minorEastAsia" w:cstheme="minorEastAsia"/>
          <w:b/>
          <w:bCs/>
          <w:snapToGrid w:val="0"/>
          <w:color w:val="auto"/>
          <w:kern w:val="0"/>
          <w:sz w:val="21"/>
          <w:szCs w:val="21"/>
          <w:highlight w:val="none"/>
          <w:u w:val="single"/>
          <w:lang w:val="en-US" w:eastAsia="zh-CN"/>
        </w:rPr>
        <w:t>标包2：电力企业应急能力提升与典型案例研究</w:t>
      </w:r>
    </w:p>
    <w:p>
      <w:pPr>
        <w:pStyle w:val="8"/>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b/>
          <w:bCs/>
          <w:snapToGrid w:val="0"/>
          <w:color w:val="auto"/>
          <w:kern w:val="0"/>
          <w:sz w:val="21"/>
          <w:szCs w:val="21"/>
          <w:highlight w:val="none"/>
          <w:u w:val="single"/>
          <w:lang w:val="en-US" w:eastAsia="zh-CN"/>
        </w:rPr>
      </w:pPr>
      <w:r>
        <w:rPr>
          <w:rFonts w:hint="eastAsia" w:asciiTheme="minorEastAsia" w:hAnsiTheme="minorEastAsia" w:eastAsiaTheme="minorEastAsia" w:cstheme="minorEastAsia"/>
          <w:b/>
          <w:bCs/>
          <w:snapToGrid w:val="0"/>
          <w:color w:val="auto"/>
          <w:kern w:val="0"/>
          <w:sz w:val="21"/>
          <w:szCs w:val="21"/>
          <w:highlight w:val="none"/>
          <w:u w:val="single"/>
          <w:lang w:val="en-US" w:eastAsia="zh-CN"/>
        </w:rPr>
        <w:t>标包3：中国—太平洋岛国电力应急国际合作研究与实践</w:t>
      </w:r>
    </w:p>
    <w:p>
      <w:pPr>
        <w:pStyle w:val="8"/>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napToGrid w:val="0"/>
          <w:color w:val="auto"/>
          <w:kern w:val="0"/>
          <w:sz w:val="21"/>
          <w:szCs w:val="21"/>
          <w:highlight w:val="none"/>
          <w:u w:val="single"/>
          <w:lang w:val="en-US" w:eastAsia="zh-CN"/>
        </w:rPr>
      </w:pPr>
    </w:p>
    <w:p>
      <w:pPr>
        <w:pStyle w:val="8"/>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single"/>
          <w:lang w:val="en-US" w:eastAsia="zh-CN"/>
        </w:rPr>
      </w:pPr>
      <w:r>
        <w:rPr>
          <w:rFonts w:hint="eastAsia" w:hAnsi="宋体" w:cs="宋体"/>
          <w:b/>
          <w:bCs/>
          <w:snapToGrid w:val="0"/>
          <w:color w:val="auto"/>
          <w:kern w:val="0"/>
          <w:sz w:val="21"/>
          <w:szCs w:val="21"/>
          <w:highlight w:val="none"/>
          <w:u w:val="single"/>
          <w:lang w:val="en-US" w:eastAsia="zh-CN"/>
        </w:rPr>
        <w:t>项目信息表</w:t>
      </w:r>
    </w:p>
    <w:tbl>
      <w:tblPr>
        <w:tblStyle w:val="13"/>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2059"/>
        <w:gridCol w:w="5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1"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2059"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项目信息</w:t>
            </w:r>
          </w:p>
        </w:tc>
        <w:tc>
          <w:tcPr>
            <w:tcW w:w="5542"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文件号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1"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outlineLvl w:val="9"/>
              <w:rPr>
                <w:rFonts w:hint="eastAsia" w:hAnsi="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1</w:t>
            </w:r>
          </w:p>
        </w:tc>
        <w:tc>
          <w:tcPr>
            <w:tcW w:w="2059"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招标依据/批复文件</w:t>
            </w:r>
          </w:p>
        </w:tc>
        <w:tc>
          <w:tcPr>
            <w:tcW w:w="5542"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left"/>
              <w:textAlignment w:val="auto"/>
              <w:outlineLvl w:val="9"/>
              <w:rPr>
                <w:rFonts w:hint="eastAsia"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关于下达2024年计划预算调整方案的通知（广电计财〔2024〕59号）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1"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outlineLvl w:val="9"/>
              <w:rPr>
                <w:rFonts w:hint="eastAsia" w:hAnsi="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2</w:t>
            </w:r>
          </w:p>
        </w:tc>
        <w:tc>
          <w:tcPr>
            <w:tcW w:w="2059"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资金落实情况</w:t>
            </w:r>
          </w:p>
        </w:tc>
        <w:tc>
          <w:tcPr>
            <w:tcW w:w="5542"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left"/>
              <w:textAlignment w:val="auto"/>
              <w:outlineLvl w:val="9"/>
              <w:rPr>
                <w:rFonts w:hint="eastAsia"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1"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outlineLvl w:val="9"/>
              <w:rPr>
                <w:rFonts w:hint="eastAsia" w:hAnsi="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3</w:t>
            </w:r>
          </w:p>
        </w:tc>
        <w:tc>
          <w:tcPr>
            <w:tcW w:w="2059"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项目建设单位</w:t>
            </w:r>
          </w:p>
        </w:tc>
        <w:tc>
          <w:tcPr>
            <w:tcW w:w="5542"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left"/>
              <w:textAlignment w:val="auto"/>
              <w:outlineLvl w:val="9"/>
              <w:rPr>
                <w:rFonts w:hint="default"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广东电网有限责任公司应急及风险管理中心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1"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outlineLvl w:val="9"/>
              <w:rPr>
                <w:rFonts w:hint="eastAsia" w:hAnsi="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4</w:t>
            </w:r>
          </w:p>
        </w:tc>
        <w:tc>
          <w:tcPr>
            <w:tcW w:w="2059"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项目建设地点</w:t>
            </w:r>
          </w:p>
        </w:tc>
        <w:tc>
          <w:tcPr>
            <w:tcW w:w="5542" w:type="dxa"/>
            <w:vAlign w:val="center"/>
          </w:tcPr>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left"/>
              <w:textAlignment w:val="auto"/>
              <w:outlineLvl w:val="9"/>
              <w:rPr>
                <w:rFonts w:hint="default"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广州</w:t>
            </w:r>
          </w:p>
        </w:tc>
      </w:tr>
      <w:bookmarkEnd w:id="0"/>
    </w:tbl>
    <w:p>
      <w:pPr>
        <w:pStyle w:val="8"/>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项目概况</w:t>
      </w:r>
      <w:r>
        <w:rPr>
          <w:rFonts w:hint="eastAsia" w:asciiTheme="minorEastAsia" w:hAnsiTheme="minorEastAsia" w:eastAsiaTheme="minorEastAsia" w:cstheme="minorEastAsia"/>
          <w:color w:val="auto"/>
          <w:sz w:val="21"/>
          <w:szCs w:val="21"/>
          <w:highlight w:val="none"/>
          <w:lang w:val="en-US" w:eastAsia="zh-CN"/>
        </w:rPr>
        <w:t>：</w:t>
      </w:r>
      <w:bookmarkStart w:id="1" w:name="_Toc28718"/>
      <w:bookmarkStart w:id="2" w:name="_Toc13498"/>
      <w:bookmarkStart w:id="3" w:name="_Toc4755"/>
    </w:p>
    <w:p>
      <w:pPr>
        <w:pStyle w:val="8"/>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asciiTheme="minorEastAsia" w:hAnsiTheme="minorEastAsia" w:eastAsiaTheme="minorEastAsia" w:cstheme="minorEastAsia"/>
          <w:b/>
          <w:bCs/>
          <w:snapToGrid w:val="0"/>
          <w:color w:val="auto"/>
          <w:kern w:val="0"/>
          <w:sz w:val="21"/>
          <w:szCs w:val="21"/>
          <w:highlight w:val="none"/>
          <w:u w:val="single"/>
          <w:lang w:val="en-US" w:eastAsia="zh-CN"/>
        </w:rPr>
      </w:pPr>
      <w:r>
        <w:rPr>
          <w:rFonts w:hint="eastAsia" w:asciiTheme="minorEastAsia" w:hAnsiTheme="minorEastAsia" w:eastAsiaTheme="minorEastAsia" w:cstheme="minorEastAsia"/>
          <w:b/>
          <w:bCs/>
          <w:snapToGrid w:val="0"/>
          <w:color w:val="auto"/>
          <w:kern w:val="0"/>
          <w:sz w:val="21"/>
          <w:szCs w:val="21"/>
          <w:highlight w:val="none"/>
          <w:u w:val="single"/>
          <w:lang w:val="en-US" w:eastAsia="zh-CN"/>
        </w:rPr>
        <w:t>2024年度广东电网有限责任公司应急及风险管理中心第二批管理创新项目外委服务项目共包含3个标包。</w:t>
      </w:r>
    </w:p>
    <w:bookmarkEnd w:id="1"/>
    <w:bookmarkEnd w:id="2"/>
    <w:bookmarkEnd w:id="3"/>
    <w:p>
      <w:pPr>
        <w:pStyle w:val="8"/>
        <w:keepNext w:val="0"/>
        <w:keepLines w:val="0"/>
        <w:pageBreakBefore w:val="0"/>
        <w:widowControl w:val="0"/>
        <w:numPr>
          <w:ilvl w:val="0"/>
          <w:numId w:val="2"/>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napToGrid w:val="0"/>
          <w:color w:val="auto"/>
          <w:kern w:val="0"/>
          <w:sz w:val="21"/>
          <w:szCs w:val="21"/>
          <w:highlight w:val="none"/>
          <w:u w:val="single"/>
          <w:lang w:val="en-US" w:eastAsia="zh-CN"/>
        </w:rPr>
      </w:pPr>
      <w:r>
        <w:rPr>
          <w:rFonts w:hint="eastAsia" w:ascii="宋体" w:hAnsi="宋体" w:eastAsia="宋体" w:cs="宋体"/>
          <w:b w:val="0"/>
          <w:bCs w:val="0"/>
          <w:snapToGrid w:val="0"/>
          <w:color w:val="auto"/>
          <w:kern w:val="0"/>
          <w:sz w:val="21"/>
          <w:szCs w:val="21"/>
          <w:highlight w:val="none"/>
          <w:u w:val="single"/>
          <w:lang w:val="en-US" w:eastAsia="zh-CN"/>
        </w:rPr>
        <w:t>电力企业应急预案管理机制优化研究与应用实践：</w:t>
      </w:r>
    </w:p>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ind w:firstLine="420" w:firstLineChars="200"/>
        <w:jc w:val="left"/>
        <w:textAlignment w:val="auto"/>
        <w:outlineLvl w:val="9"/>
        <w:rPr>
          <w:rFonts w:hint="eastAsia"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项目研究内容：</w:t>
      </w:r>
    </w:p>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ind w:firstLine="420" w:firstLineChars="200"/>
        <w:jc w:val="left"/>
        <w:textAlignment w:val="auto"/>
        <w:outlineLvl w:val="9"/>
        <w:rPr>
          <w:rFonts w:hint="eastAsia"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1）开展全行业应急预案执行情况的调研分析，为编写提供依据。研究分析现行应急预案管理办法与国家相关法律法规之间的差异，开展电力企业应急预案管理现状调研，梳理应急预案管理过程中的难点和堵点，为下一步应急预案管理制度的编写提供支撑。</w:t>
      </w:r>
    </w:p>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ind w:firstLine="420" w:firstLineChars="200"/>
        <w:jc w:val="left"/>
        <w:textAlignment w:val="auto"/>
        <w:outlineLvl w:val="9"/>
        <w:rPr>
          <w:rFonts w:hint="eastAsia"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2）完善电力企业应急预案管理办法，优化预案管理流程。依据国家应急管理新要求，持续优化电力企业应急预案编制、审批、发布、培训、宣传、演练、评估和修订等管理要点，提升应急预案合规性、有效性和实用性。</w:t>
      </w:r>
    </w:p>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ind w:firstLine="420" w:firstLineChars="200"/>
        <w:jc w:val="left"/>
        <w:textAlignment w:val="auto"/>
        <w:outlineLvl w:val="9"/>
        <w:rPr>
          <w:rFonts w:hint="eastAsia"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3）完善电力企业应急预案评审及备案规则，规范预案评审模式。依据国家应急预案评审和备案要求，持续优化电力企业综合应急预案，自然灾害类专项应急预案，事故灾害类突发事件专项应急预案的评审和备案等相关管理流程，对比新旧评审备案实施细则的不同点，重点突出新办法及新要求，规范应急预案评审和备案管理工作。</w:t>
      </w:r>
    </w:p>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ind w:firstLine="420" w:firstLineChars="200"/>
        <w:jc w:val="left"/>
        <w:textAlignment w:val="auto"/>
        <w:outlineLvl w:val="9"/>
        <w:rPr>
          <w:rFonts w:hint="eastAsia"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4）深入学习研究“两个文件”，对公司应急预案管理提出意见和建议。根据“两个文件”要求，开展南方电网公司应急预案管理体系建设研究和评价，规范提出公司应急预案管理存在的盲点、弱点和不足，强化公司应急预案的合法合规性和实用性。</w:t>
      </w:r>
    </w:p>
    <w:p>
      <w:pPr>
        <w:pStyle w:val="8"/>
        <w:keepNext w:val="0"/>
        <w:keepLines w:val="0"/>
        <w:pageBreakBefore w:val="0"/>
        <w:widowControl w:val="0"/>
        <w:numPr>
          <w:ilvl w:val="0"/>
          <w:numId w:val="2"/>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napToGrid w:val="0"/>
          <w:color w:val="auto"/>
          <w:kern w:val="0"/>
          <w:sz w:val="21"/>
          <w:szCs w:val="21"/>
          <w:highlight w:val="none"/>
          <w:u w:val="single"/>
          <w:lang w:val="en-US" w:eastAsia="zh-CN"/>
        </w:rPr>
      </w:pPr>
      <w:r>
        <w:rPr>
          <w:rFonts w:hint="eastAsia" w:ascii="宋体" w:hAnsi="宋体" w:eastAsia="宋体" w:cs="宋体"/>
          <w:b w:val="0"/>
          <w:bCs w:val="0"/>
          <w:snapToGrid w:val="0"/>
          <w:color w:val="auto"/>
          <w:kern w:val="0"/>
          <w:sz w:val="21"/>
          <w:szCs w:val="21"/>
          <w:highlight w:val="none"/>
          <w:u w:val="single"/>
          <w:lang w:val="en-US" w:eastAsia="zh-CN"/>
        </w:rPr>
        <w:t>电力企业应急能力提升与典型案例研究</w:t>
      </w:r>
    </w:p>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ind w:firstLine="420" w:firstLineChars="200"/>
        <w:jc w:val="left"/>
        <w:textAlignment w:val="auto"/>
        <w:outlineLvl w:val="9"/>
        <w:rPr>
          <w:rFonts w:hint="eastAsia" w:hAnsi="宋体" w:cs="宋体"/>
          <w:color w:val="auto"/>
          <w:sz w:val="21"/>
          <w:szCs w:val="21"/>
          <w:highlight w:val="none"/>
          <w:u w:val="none"/>
          <w:vertAlign w:val="baseline"/>
          <w:lang w:val="en-US" w:eastAsia="zh-CN"/>
        </w:rPr>
      </w:pPr>
      <w:r>
        <w:rPr>
          <w:rFonts w:hint="eastAsia" w:hAnsi="宋体" w:cs="宋体"/>
          <w:color w:val="auto"/>
          <w:sz w:val="21"/>
          <w:szCs w:val="21"/>
          <w:highlight w:val="none"/>
          <w:u w:val="none"/>
          <w:vertAlign w:val="baseline"/>
          <w:lang w:val="en-US" w:eastAsia="zh-CN"/>
        </w:rPr>
        <w:t>国家级电力应急研究中心（广州）承接了国家能源局电力行业防灾减灾救灾典型案例研究专项课题，是国家级层面上首次系统性开展防灾减灾救灾案例研究。本项目旨在解决多年来各电力企业应急处置典型案例缺乏系统整理分析的问题，填补行业空白；将案例中的方案和策略转化为易于理解和实施的实践方案；精准识别并优化电力企业应急响应的关键环节，提高应急处置效率；解决电力企业内部及与其他部门的协作机制，强化应急响应和处置能力。</w:t>
      </w:r>
    </w:p>
    <w:p>
      <w:pPr>
        <w:pStyle w:val="8"/>
        <w:keepNext w:val="0"/>
        <w:keepLines w:val="0"/>
        <w:pageBreakBefore w:val="0"/>
        <w:widowControl w:val="0"/>
        <w:numPr>
          <w:ilvl w:val="0"/>
          <w:numId w:val="2"/>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napToGrid w:val="0"/>
          <w:color w:val="auto"/>
          <w:kern w:val="0"/>
          <w:sz w:val="21"/>
          <w:szCs w:val="21"/>
          <w:highlight w:val="none"/>
          <w:u w:val="single"/>
          <w:lang w:val="en-US" w:eastAsia="zh-CN"/>
        </w:rPr>
      </w:pPr>
      <w:r>
        <w:rPr>
          <w:rFonts w:hint="eastAsia" w:ascii="宋体" w:hAnsi="宋体" w:eastAsia="宋体" w:cs="宋体"/>
          <w:b w:val="0"/>
          <w:bCs w:val="0"/>
          <w:snapToGrid w:val="0"/>
          <w:color w:val="auto"/>
          <w:kern w:val="0"/>
          <w:sz w:val="21"/>
          <w:szCs w:val="21"/>
          <w:highlight w:val="none"/>
          <w:u w:val="single"/>
          <w:lang w:val="en-US" w:eastAsia="zh-CN"/>
        </w:rPr>
        <w:t>中国—太平洋岛国电力应急国际合作研究与实践</w:t>
      </w:r>
    </w:p>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ind w:firstLine="420" w:firstLineChars="200"/>
        <w:jc w:val="left"/>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宋体" w:hAnsi="宋体" w:eastAsia="宋体" w:cs="宋体"/>
          <w:color w:val="auto"/>
          <w:sz w:val="21"/>
          <w:szCs w:val="21"/>
          <w:highlight w:val="none"/>
          <w:u w:val="none"/>
          <w:vertAlign w:val="baseline"/>
          <w:lang w:val="en-US" w:eastAsia="zh-CN"/>
        </w:rPr>
        <w:t>电力系统作为国民经济的重要基础设施，其安全稳定运行关系到广大人民群众切身利益，关系到国家安全。近年来全球极端天气事件和重大灾害多发频发，各国如何合作携手共同应对，降低灾害对电力设施的损害，推动防灾减灾救灾能力提升，对民生保障具有重大意义。对于经济水平落后、自然灾害严重且抗灾能力弱的太平洋岛国，我国可通过与其开展电力应急国际合作的方式，提升其电力应急响应处置能力，同时促进我国跨国应急协调调配能力发展、提升我国区域影响力，并通过多方合作，推动各方更好地应对各种突发事件带来的电力安全风险，保障电力系统安全。本项目从中国-太平洋岛国应急合作现状分析、基于国家异质性特征的分级分类合作路径研究、中国-太平洋岛国电力应急合作方案研究与政策建议等方面对中国-太平洋岛国应急合作进行深入研究，并提出有效的政策建议。</w:t>
      </w:r>
    </w:p>
    <w:p>
      <w:pPr>
        <w:pStyle w:val="8"/>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z w:val="21"/>
          <w:szCs w:val="21"/>
          <w:highlight w:val="none"/>
          <w:u w:val="none"/>
          <w:vertAlign w:val="baseline"/>
          <w:lang w:val="en-US" w:eastAsia="zh-CN"/>
        </w:rPr>
      </w:pPr>
    </w:p>
    <w:p>
      <w:pPr>
        <w:pStyle w:val="8"/>
        <w:keepNext w:val="0"/>
        <w:keepLines w:val="0"/>
        <w:pageBreakBefore w:val="0"/>
        <w:widowControl w:val="0"/>
        <w:numPr>
          <w:ilvl w:val="0"/>
          <w:numId w:val="1"/>
        </w:numPr>
        <w:shd w:val="clear" w:color="auto" w:fill="auto"/>
        <w:kinsoku/>
        <w:wordWrap/>
        <w:overflowPunct/>
        <w:topLinePunct w:val="0"/>
        <w:autoSpaceDE/>
        <w:autoSpaceDN/>
        <w:bidi w:val="0"/>
        <w:adjustRightInd/>
        <w:snapToGrid/>
        <w:spacing w:line="360" w:lineRule="auto"/>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采购范围：</w:t>
      </w:r>
    </w:p>
    <w:p>
      <w:pPr>
        <w:pStyle w:val="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color w:val="auto"/>
          <w:sz w:val="21"/>
          <w:szCs w:val="21"/>
          <w:u w:val="single"/>
          <w:lang w:val="en-US" w:eastAsia="zh-CN"/>
        </w:rPr>
        <w:t>项目信息.标的物附件描述</w:t>
      </w:r>
      <w:r>
        <w:rPr>
          <w:rFonts w:hint="eastAsia" w:asciiTheme="minorEastAsia" w:hAnsiTheme="minorEastAsia" w:eastAsiaTheme="minorEastAsia" w:cstheme="minorEastAsia"/>
          <w:color w:val="auto"/>
          <w:sz w:val="21"/>
          <w:szCs w:val="21"/>
          <w:highlight w:val="none"/>
          <w:lang w:val="en-US" w:eastAsia="zh-CN"/>
        </w:rPr>
        <w:t>。</w:t>
      </w:r>
    </w:p>
    <w:tbl>
      <w:tblPr>
        <w:tblStyle w:val="12"/>
        <w:tblpPr w:leftFromText="180" w:rightFromText="180" w:vertAnchor="text" w:horzAnchor="page" w:tblpXSpec="center" w:tblpY="222"/>
        <w:tblOverlap w:val="never"/>
        <w:tblW w:w="525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6"/>
        <w:gridCol w:w="2725"/>
        <w:gridCol w:w="4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blHeader/>
          <w:jc w:val="center"/>
        </w:trPr>
        <w:tc>
          <w:tcPr>
            <w:tcW w:w="701" w:type="pct"/>
            <w:tcBorders>
              <w:top w:val="single" w:color="000000" w:sz="4" w:space="0"/>
              <w:left w:val="single" w:color="000000" w:sz="4" w:space="0"/>
              <w:bottom w:val="single" w:color="000000" w:sz="4" w:space="0"/>
              <w:right w:val="single" w:color="000000" w:sz="4" w:space="0"/>
            </w:tcBorders>
            <w:noWrap w:val="0"/>
            <w:vAlign w:val="center"/>
          </w:tcPr>
          <w:p>
            <w:pPr>
              <w:pStyle w:val="17"/>
              <w:snapToGrid w:val="0"/>
              <w:spacing w:line="240" w:lineRule="auto"/>
              <w:ind w:firstLine="0" w:firstLineChars="0"/>
              <w:jc w:val="center"/>
              <w:outlineLvl w:val="9"/>
              <w:rPr>
                <w:rFonts w:hint="eastAsia" w:ascii="宋体" w:hAnsi="宋体" w:eastAsia="宋体" w:cs="宋体"/>
                <w:b/>
                <w:bCs/>
                <w:i/>
                <w:iCs/>
                <w:color w:val="auto"/>
                <w:kern w:val="0"/>
                <w:sz w:val="21"/>
                <w:szCs w:val="21"/>
                <w:highlight w:val="none"/>
              </w:rPr>
            </w:pPr>
            <w:r>
              <w:rPr>
                <w:rFonts w:hint="eastAsia" w:ascii="宋体" w:hAnsi="宋体" w:eastAsia="宋体" w:cs="宋体"/>
                <w:b/>
                <w:bCs/>
                <w:i/>
                <w:iCs/>
                <w:color w:val="auto"/>
                <w:kern w:val="0"/>
                <w:sz w:val="21"/>
                <w:szCs w:val="21"/>
                <w:highlight w:val="none"/>
              </w:rPr>
              <w:t>序号</w:t>
            </w:r>
          </w:p>
        </w:tc>
        <w:tc>
          <w:tcPr>
            <w:tcW w:w="1522" w:type="pct"/>
            <w:tcBorders>
              <w:top w:val="single" w:color="000000" w:sz="4" w:space="0"/>
              <w:left w:val="single" w:color="000000" w:sz="4" w:space="0"/>
              <w:bottom w:val="single" w:color="000000" w:sz="4" w:space="0"/>
              <w:right w:val="single" w:color="000000" w:sz="4" w:space="0"/>
            </w:tcBorders>
            <w:noWrap w:val="0"/>
            <w:vAlign w:val="center"/>
          </w:tcPr>
          <w:p>
            <w:pPr>
              <w:pStyle w:val="17"/>
              <w:snapToGrid w:val="0"/>
              <w:spacing w:line="240" w:lineRule="auto"/>
              <w:ind w:firstLine="0" w:firstLineChars="0"/>
              <w:jc w:val="center"/>
              <w:outlineLvl w:val="9"/>
              <w:rPr>
                <w:rFonts w:hint="eastAsia" w:ascii="宋体" w:hAnsi="宋体" w:eastAsia="宋体" w:cs="宋体"/>
                <w:b/>
                <w:bCs/>
                <w:i/>
                <w:iCs/>
                <w:color w:val="auto"/>
                <w:kern w:val="0"/>
                <w:sz w:val="21"/>
                <w:szCs w:val="21"/>
                <w:highlight w:val="none"/>
                <w:lang w:eastAsia="zh-CN"/>
              </w:rPr>
            </w:pPr>
            <w:r>
              <w:rPr>
                <w:rFonts w:hint="eastAsia" w:ascii="宋体" w:hAnsi="宋体" w:eastAsia="宋体" w:cs="宋体"/>
                <w:b/>
                <w:bCs/>
                <w:i/>
                <w:iCs/>
                <w:color w:val="auto"/>
                <w:kern w:val="0"/>
                <w:sz w:val="21"/>
                <w:szCs w:val="21"/>
                <w:highlight w:val="none"/>
                <w:lang w:eastAsia="zh-CN"/>
              </w:rPr>
              <w:t>标的名称</w:t>
            </w:r>
          </w:p>
        </w:tc>
        <w:tc>
          <w:tcPr>
            <w:tcW w:w="2775" w:type="pct"/>
            <w:tcBorders>
              <w:top w:val="single" w:color="000000" w:sz="4" w:space="0"/>
              <w:left w:val="single" w:color="000000" w:sz="4" w:space="0"/>
              <w:bottom w:val="single" w:color="000000" w:sz="4" w:space="0"/>
              <w:right w:val="single" w:color="000000" w:sz="4" w:space="0"/>
            </w:tcBorders>
            <w:noWrap w:val="0"/>
            <w:vAlign w:val="center"/>
          </w:tcPr>
          <w:p>
            <w:pPr>
              <w:pStyle w:val="17"/>
              <w:snapToGrid w:val="0"/>
              <w:spacing w:line="240" w:lineRule="auto"/>
              <w:ind w:firstLine="0" w:firstLineChars="0"/>
              <w:jc w:val="center"/>
              <w:outlineLvl w:val="9"/>
              <w:rPr>
                <w:rFonts w:hint="eastAsia" w:ascii="宋体" w:hAnsi="宋体" w:eastAsia="宋体" w:cs="宋体"/>
                <w:b/>
                <w:bCs/>
                <w:i/>
                <w:iCs/>
                <w:color w:val="auto"/>
                <w:kern w:val="0"/>
                <w:sz w:val="21"/>
                <w:szCs w:val="21"/>
                <w:highlight w:val="none"/>
              </w:rPr>
            </w:pPr>
            <w:r>
              <w:rPr>
                <w:rFonts w:hint="eastAsia" w:ascii="宋体" w:hAnsi="宋体" w:eastAsia="宋体" w:cs="宋体"/>
                <w:b/>
                <w:bCs/>
                <w:i/>
                <w:iCs/>
                <w:color w:val="auto"/>
                <w:kern w:val="0"/>
                <w:sz w:val="21"/>
                <w:szCs w:val="21"/>
                <w:highlight w:val="none"/>
              </w:rPr>
              <w:t>标</w:t>
            </w:r>
            <w:r>
              <w:rPr>
                <w:rFonts w:hint="eastAsia" w:ascii="宋体" w:hAnsi="宋体" w:cs="宋体"/>
                <w:b/>
                <w:bCs/>
                <w:i/>
                <w:iCs/>
                <w:color w:val="auto"/>
                <w:kern w:val="0"/>
                <w:sz w:val="21"/>
                <w:szCs w:val="21"/>
                <w:highlight w:val="none"/>
                <w:lang w:val="en-US" w:eastAsia="zh-CN"/>
              </w:rPr>
              <w:t>包</w:t>
            </w:r>
            <w:r>
              <w:rPr>
                <w:rFonts w:hint="eastAsia" w:ascii="宋体" w:hAnsi="宋体" w:eastAsia="宋体" w:cs="宋体"/>
                <w:b/>
                <w:bCs/>
                <w:i/>
                <w:iCs/>
                <w:color w:val="auto"/>
                <w:kern w:val="0"/>
                <w:sz w:val="21"/>
                <w:szCs w:val="21"/>
                <w:highlight w:val="none"/>
              </w:rPr>
              <w:t>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01" w:type="pct"/>
            <w:vMerge w:val="restart"/>
            <w:tcBorders>
              <w:left w:val="single" w:color="000000" w:sz="4" w:space="0"/>
              <w:right w:val="single" w:color="000000" w:sz="4" w:space="0"/>
            </w:tcBorders>
            <w:noWrap w:val="0"/>
            <w:vAlign w:val="center"/>
          </w:tcPr>
          <w:p>
            <w:pPr>
              <w:snapToGrid w:val="0"/>
              <w:spacing w:line="240" w:lineRule="auto"/>
              <w:ind w:firstLine="0" w:firstLineChars="0"/>
              <w:jc w:val="center"/>
              <w:outlineLvl w:val="9"/>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1</w:t>
            </w:r>
          </w:p>
        </w:tc>
        <w:tc>
          <w:tcPr>
            <w:tcW w:w="1522" w:type="pct"/>
            <w:vMerge w:val="restart"/>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left"/>
              <w:textAlignment w:val="center"/>
              <w:outlineLvl w:val="9"/>
              <w:rPr>
                <w:rFonts w:hint="eastAsia" w:ascii="宋体" w:hAnsi="宋体" w:eastAsia="宋体" w:cs="宋体"/>
                <w:b w:val="0"/>
                <w:bCs w:val="0"/>
                <w:i w:val="0"/>
                <w:color w:val="auto"/>
                <w:kern w:val="0"/>
                <w:sz w:val="21"/>
                <w:szCs w:val="21"/>
                <w:highlight w:val="none"/>
                <w:u w:val="none"/>
                <w:lang w:val="en-US" w:eastAsia="zh-CN" w:bidi="ar"/>
              </w:rPr>
            </w:pPr>
            <w:r>
              <w:rPr>
                <w:rFonts w:hint="eastAsia" w:ascii="宋体" w:hAnsi="宋体" w:eastAsia="宋体" w:cs="宋体"/>
                <w:b w:val="0"/>
                <w:bCs w:val="0"/>
                <w:i w:val="0"/>
                <w:color w:val="auto"/>
                <w:kern w:val="0"/>
                <w:sz w:val="21"/>
                <w:szCs w:val="21"/>
                <w:highlight w:val="none"/>
                <w:u w:val="none"/>
                <w:lang w:val="en-US" w:eastAsia="zh-CN" w:bidi="ar"/>
              </w:rPr>
              <w:t>2024年度广东电网有限责任公司应急及风险管理中心第二批管理创新项目外委服务</w:t>
            </w:r>
          </w:p>
        </w:tc>
        <w:tc>
          <w:tcPr>
            <w:tcW w:w="27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left"/>
              <w:textAlignment w:val="center"/>
              <w:outlineLvl w:val="9"/>
              <w:rPr>
                <w:rFonts w:hint="eastAsia" w:ascii="宋体" w:hAnsi="宋体" w:eastAsia="宋体" w:cs="宋体"/>
                <w:b w:val="0"/>
                <w:bCs w:val="0"/>
                <w:i w:val="0"/>
                <w:color w:val="auto"/>
                <w:kern w:val="0"/>
                <w:sz w:val="21"/>
                <w:szCs w:val="21"/>
                <w:highlight w:val="none"/>
                <w:u w:val="none"/>
                <w:lang w:val="en-US" w:eastAsia="zh-CN" w:bidi="ar"/>
              </w:rPr>
            </w:pPr>
            <w:r>
              <w:rPr>
                <w:rFonts w:hint="eastAsia" w:ascii="宋体" w:hAnsi="宋体" w:eastAsia="宋体" w:cs="宋体"/>
                <w:b w:val="0"/>
                <w:bCs w:val="0"/>
                <w:i w:val="0"/>
                <w:color w:val="auto"/>
                <w:kern w:val="0"/>
                <w:sz w:val="21"/>
                <w:szCs w:val="21"/>
                <w:highlight w:val="none"/>
                <w:u w:val="none"/>
                <w:lang w:val="en-US" w:eastAsia="zh-CN" w:bidi="ar"/>
              </w:rPr>
              <w:t>电力企业应急预案管理机制优化研究与应用实践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01" w:type="pct"/>
            <w:vMerge w:val="continue"/>
            <w:tcBorders>
              <w:left w:val="single" w:color="000000" w:sz="4" w:space="0"/>
              <w:right w:val="single" w:color="000000" w:sz="4" w:space="0"/>
            </w:tcBorders>
            <w:noWrap w:val="0"/>
            <w:vAlign w:val="center"/>
          </w:tcPr>
          <w:p>
            <w:pPr>
              <w:snapToGrid w:val="0"/>
              <w:spacing w:line="240" w:lineRule="auto"/>
              <w:ind w:firstLine="0" w:firstLineChars="0"/>
              <w:jc w:val="center"/>
              <w:outlineLvl w:val="9"/>
              <w:rPr>
                <w:rFonts w:hint="eastAsia" w:ascii="宋体" w:hAnsi="宋体" w:cs="宋体"/>
                <w:i w:val="0"/>
                <w:color w:val="auto"/>
                <w:kern w:val="0"/>
                <w:sz w:val="21"/>
                <w:szCs w:val="21"/>
                <w:highlight w:val="none"/>
                <w:u w:val="none"/>
                <w:lang w:val="en-US" w:eastAsia="zh-CN" w:bidi="ar"/>
              </w:rPr>
            </w:pPr>
          </w:p>
        </w:tc>
        <w:tc>
          <w:tcPr>
            <w:tcW w:w="1522" w:type="pct"/>
            <w:vMerge w:val="continue"/>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left"/>
              <w:textAlignment w:val="center"/>
              <w:outlineLvl w:val="9"/>
              <w:rPr>
                <w:rFonts w:hint="eastAsia" w:ascii="宋体" w:hAnsi="宋体" w:eastAsia="宋体" w:cs="宋体"/>
                <w:b w:val="0"/>
                <w:bCs w:val="0"/>
                <w:i w:val="0"/>
                <w:color w:val="auto"/>
                <w:kern w:val="0"/>
                <w:sz w:val="21"/>
                <w:szCs w:val="21"/>
                <w:highlight w:val="none"/>
                <w:u w:val="none"/>
                <w:lang w:val="en-US" w:eastAsia="zh-CN" w:bidi="ar"/>
              </w:rPr>
            </w:pPr>
          </w:p>
        </w:tc>
        <w:tc>
          <w:tcPr>
            <w:tcW w:w="27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left"/>
              <w:textAlignment w:val="center"/>
              <w:outlineLvl w:val="9"/>
              <w:rPr>
                <w:rFonts w:hint="eastAsia" w:ascii="宋体" w:hAnsi="宋体" w:eastAsia="宋体" w:cs="宋体"/>
                <w:b w:val="0"/>
                <w:bCs w:val="0"/>
                <w:i w:val="0"/>
                <w:color w:val="auto"/>
                <w:kern w:val="0"/>
                <w:sz w:val="21"/>
                <w:szCs w:val="21"/>
                <w:highlight w:val="none"/>
                <w:u w:val="none"/>
                <w:lang w:val="en-US" w:eastAsia="zh-CN" w:bidi="ar"/>
              </w:rPr>
            </w:pPr>
            <w:r>
              <w:rPr>
                <w:rFonts w:hint="eastAsia" w:ascii="宋体" w:hAnsi="宋体" w:eastAsia="宋体" w:cs="宋体"/>
                <w:b w:val="0"/>
                <w:bCs w:val="0"/>
                <w:i w:val="0"/>
                <w:color w:val="auto"/>
                <w:kern w:val="0"/>
                <w:sz w:val="21"/>
                <w:szCs w:val="21"/>
                <w:highlight w:val="none"/>
                <w:u w:val="none"/>
                <w:lang w:val="en-US" w:eastAsia="zh-CN" w:bidi="ar"/>
              </w:rPr>
              <w:t>电力企业应急能力提升与典型案例研究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701" w:type="pct"/>
            <w:vMerge w:val="continue"/>
            <w:tcBorders>
              <w:left w:val="single" w:color="000000" w:sz="4" w:space="0"/>
              <w:right w:val="single" w:color="000000" w:sz="4" w:space="0"/>
            </w:tcBorders>
            <w:noWrap w:val="0"/>
            <w:vAlign w:val="center"/>
          </w:tcPr>
          <w:p>
            <w:pPr>
              <w:snapToGrid w:val="0"/>
              <w:spacing w:line="240" w:lineRule="auto"/>
              <w:ind w:firstLine="0" w:firstLineChars="0"/>
              <w:jc w:val="center"/>
              <w:outlineLvl w:val="9"/>
              <w:rPr>
                <w:rFonts w:hint="eastAsia" w:ascii="宋体" w:hAnsi="宋体" w:cs="宋体"/>
                <w:i w:val="0"/>
                <w:color w:val="auto"/>
                <w:kern w:val="0"/>
                <w:sz w:val="21"/>
                <w:szCs w:val="21"/>
                <w:highlight w:val="none"/>
                <w:u w:val="none"/>
                <w:lang w:val="en-US" w:eastAsia="zh-CN" w:bidi="ar"/>
              </w:rPr>
            </w:pPr>
          </w:p>
        </w:tc>
        <w:tc>
          <w:tcPr>
            <w:tcW w:w="1522" w:type="pct"/>
            <w:vMerge w:val="continue"/>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left"/>
              <w:textAlignment w:val="center"/>
              <w:outlineLvl w:val="9"/>
              <w:rPr>
                <w:rFonts w:hint="eastAsia" w:ascii="宋体" w:hAnsi="宋体" w:eastAsia="宋体" w:cs="宋体"/>
                <w:b w:val="0"/>
                <w:bCs w:val="0"/>
                <w:i w:val="0"/>
                <w:color w:val="auto"/>
                <w:kern w:val="0"/>
                <w:sz w:val="21"/>
                <w:szCs w:val="21"/>
                <w:highlight w:val="none"/>
                <w:u w:val="none"/>
                <w:lang w:val="en-US" w:eastAsia="zh-CN" w:bidi="ar"/>
              </w:rPr>
            </w:pPr>
          </w:p>
        </w:tc>
        <w:tc>
          <w:tcPr>
            <w:tcW w:w="27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left"/>
              <w:textAlignment w:val="center"/>
              <w:outlineLvl w:val="9"/>
              <w:rPr>
                <w:rFonts w:hint="eastAsia" w:ascii="宋体" w:hAnsi="宋体" w:eastAsia="宋体" w:cs="宋体"/>
                <w:b w:val="0"/>
                <w:bCs w:val="0"/>
                <w:i w:val="0"/>
                <w:color w:val="auto"/>
                <w:kern w:val="0"/>
                <w:sz w:val="21"/>
                <w:szCs w:val="21"/>
                <w:highlight w:val="none"/>
                <w:u w:val="none"/>
                <w:lang w:val="en-US" w:eastAsia="zh-CN" w:bidi="ar"/>
              </w:rPr>
            </w:pPr>
            <w:r>
              <w:rPr>
                <w:rFonts w:hint="eastAsia" w:ascii="宋体" w:hAnsi="宋体" w:eastAsia="宋体" w:cs="宋体"/>
                <w:b w:val="0"/>
                <w:bCs w:val="0"/>
                <w:i w:val="0"/>
                <w:color w:val="auto"/>
                <w:kern w:val="0"/>
                <w:sz w:val="21"/>
                <w:szCs w:val="21"/>
                <w:highlight w:val="none"/>
                <w:u w:val="none"/>
                <w:lang w:val="en-US" w:eastAsia="zh-CN" w:bidi="ar"/>
              </w:rPr>
              <w:t>中国—太平洋岛国电力应急国际合作研究与实践</w:t>
            </w:r>
          </w:p>
        </w:tc>
      </w:tr>
    </w:tbl>
    <w:p>
      <w:pPr>
        <w:pStyle w:val="8"/>
        <w:keepNext w:val="0"/>
        <w:keepLines w:val="0"/>
        <w:pageBreakBefore w:val="0"/>
        <w:widowControl w:val="0"/>
        <w:numPr>
          <w:ilvl w:val="0"/>
          <w:numId w:val="1"/>
        </w:numPr>
        <w:shd w:val="clear" w:color="auto" w:fill="auto"/>
        <w:kinsoku/>
        <w:wordWrap/>
        <w:overflowPunct/>
        <w:topLinePunct w:val="0"/>
        <w:autoSpaceDE/>
        <w:autoSpaceDN/>
        <w:bidi w:val="0"/>
        <w:adjustRightInd/>
        <w:snapToGrid/>
        <w:spacing w:line="360" w:lineRule="auto"/>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报价表</w:t>
      </w:r>
    </w:p>
    <w:tbl>
      <w:tblPr>
        <w:tblStyle w:val="12"/>
        <w:tblW w:w="8962" w:type="dxa"/>
        <w:tblInd w:w="-33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537"/>
        <w:gridCol w:w="2813"/>
        <w:gridCol w:w="1300"/>
        <w:gridCol w:w="1312"/>
        <w:gridCol w:w="30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537"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outlineLvl w:val="9"/>
              <w:rPr>
                <w:rFonts w:hint="eastAsia" w:asciiTheme="minorEastAsia" w:hAnsiTheme="minorEastAsia" w:eastAsiaTheme="minorEastAsia" w:cstheme="minorEastAsia"/>
                <w:b/>
                <w:bCs/>
                <w:i w:val="0"/>
                <w:color w:val="auto"/>
                <w:sz w:val="21"/>
                <w:szCs w:val="21"/>
                <w:highlight w:val="none"/>
                <w:u w:val="none"/>
              </w:rPr>
            </w:pPr>
            <w:r>
              <w:rPr>
                <w:rFonts w:hint="eastAsia" w:asciiTheme="minorEastAsia" w:hAnsiTheme="minorEastAsia" w:eastAsiaTheme="minorEastAsia" w:cstheme="minorEastAsia"/>
                <w:b/>
                <w:bCs/>
                <w:i w:val="0"/>
                <w:color w:val="auto"/>
                <w:kern w:val="0"/>
                <w:sz w:val="21"/>
                <w:szCs w:val="21"/>
                <w:highlight w:val="none"/>
                <w:u w:val="none"/>
                <w:lang w:val="en-US" w:eastAsia="zh-CN" w:bidi="ar"/>
              </w:rPr>
              <w:t>序　号</w:t>
            </w:r>
          </w:p>
        </w:tc>
        <w:tc>
          <w:tcPr>
            <w:tcW w:w="2813"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outlineLvl w:val="9"/>
              <w:rPr>
                <w:rFonts w:hint="eastAsia" w:asciiTheme="minorEastAsia" w:hAnsiTheme="minorEastAsia" w:eastAsiaTheme="minorEastAsia" w:cstheme="minorEastAsia"/>
                <w:b/>
                <w:bCs/>
                <w:i w:val="0"/>
                <w:color w:val="auto"/>
                <w:sz w:val="21"/>
                <w:szCs w:val="21"/>
                <w:highlight w:val="none"/>
                <w:u w:val="none"/>
              </w:rPr>
            </w:pPr>
            <w:r>
              <w:rPr>
                <w:rFonts w:hint="eastAsia" w:asciiTheme="minorEastAsia" w:hAnsiTheme="minorEastAsia" w:eastAsiaTheme="minorEastAsia" w:cstheme="minorEastAsia"/>
                <w:b/>
                <w:bCs/>
                <w:i w:val="0"/>
                <w:color w:val="auto"/>
                <w:kern w:val="0"/>
                <w:sz w:val="21"/>
                <w:szCs w:val="21"/>
                <w:highlight w:val="none"/>
                <w:u w:val="none"/>
                <w:lang w:val="en-US" w:eastAsia="zh-CN" w:bidi="ar"/>
              </w:rPr>
              <w:t>标的（标包）项目名称</w:t>
            </w:r>
          </w:p>
        </w:tc>
        <w:tc>
          <w:tcPr>
            <w:tcW w:w="1300"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outlineLvl w:val="9"/>
              <w:rPr>
                <w:rFonts w:hint="eastAsia" w:asciiTheme="minorEastAsia" w:hAnsiTheme="minorEastAsia" w:eastAsiaTheme="minorEastAsia" w:cstheme="minorEastAsia"/>
                <w:b/>
                <w:bCs/>
                <w:i w:val="0"/>
                <w:color w:val="auto"/>
                <w:kern w:val="0"/>
                <w:sz w:val="21"/>
                <w:szCs w:val="21"/>
                <w:highlight w:val="none"/>
                <w:u w:val="none"/>
                <w:lang w:val="en-US" w:eastAsia="zh-CN" w:bidi="ar"/>
              </w:rPr>
            </w:pPr>
            <w:r>
              <w:rPr>
                <w:rFonts w:hint="eastAsia" w:asciiTheme="minorEastAsia" w:hAnsiTheme="minorEastAsia" w:eastAsiaTheme="minorEastAsia" w:cstheme="minorEastAsia"/>
                <w:b/>
                <w:bCs/>
                <w:i w:val="0"/>
                <w:color w:val="auto"/>
                <w:kern w:val="0"/>
                <w:sz w:val="21"/>
                <w:szCs w:val="21"/>
                <w:highlight w:val="none"/>
                <w:u w:val="none"/>
                <w:lang w:val="en-US" w:eastAsia="zh-CN" w:bidi="ar"/>
              </w:rPr>
              <w:t>最高限价</w:t>
            </w:r>
          </w:p>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outlineLvl w:val="9"/>
              <w:rPr>
                <w:rFonts w:hint="eastAsia" w:asciiTheme="minorEastAsia" w:hAnsiTheme="minorEastAsia" w:eastAsiaTheme="minorEastAsia" w:cstheme="minorEastAsia"/>
                <w:b/>
                <w:bCs/>
                <w:i w:val="0"/>
                <w:color w:val="auto"/>
                <w:kern w:val="0"/>
                <w:sz w:val="21"/>
                <w:szCs w:val="21"/>
                <w:highlight w:val="none"/>
                <w:u w:val="none"/>
                <w:lang w:val="en-US" w:eastAsia="zh-CN" w:bidi="ar"/>
              </w:rPr>
            </w:pPr>
            <w:r>
              <w:rPr>
                <w:rFonts w:hint="eastAsia" w:asciiTheme="minorEastAsia" w:hAnsiTheme="minorEastAsia" w:eastAsiaTheme="minorEastAsia" w:cstheme="minorEastAsia"/>
                <w:b/>
                <w:bCs/>
                <w:i w:val="0"/>
                <w:color w:val="auto"/>
                <w:kern w:val="0"/>
                <w:sz w:val="21"/>
                <w:szCs w:val="21"/>
                <w:highlight w:val="none"/>
                <w:u w:val="none"/>
                <w:lang w:val="en-US" w:eastAsia="zh-CN" w:bidi="ar"/>
              </w:rPr>
              <w:t>（元）</w:t>
            </w:r>
          </w:p>
        </w:tc>
        <w:tc>
          <w:tcPr>
            <w:tcW w:w="1312"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outlineLvl w:val="9"/>
              <w:rPr>
                <w:rFonts w:hint="eastAsia" w:asciiTheme="minorEastAsia" w:hAnsiTheme="minorEastAsia" w:eastAsiaTheme="minorEastAsia" w:cstheme="minorEastAsia"/>
                <w:b/>
                <w:bCs/>
                <w:i w:val="0"/>
                <w:color w:val="auto"/>
                <w:kern w:val="0"/>
                <w:sz w:val="21"/>
                <w:szCs w:val="21"/>
                <w:highlight w:val="none"/>
                <w:u w:val="none"/>
                <w:lang w:val="en-US" w:eastAsia="zh-CN" w:bidi="ar"/>
              </w:rPr>
            </w:pPr>
            <w:r>
              <w:rPr>
                <w:rFonts w:hint="eastAsia" w:asciiTheme="minorEastAsia" w:hAnsiTheme="minorEastAsia" w:eastAsiaTheme="minorEastAsia" w:cstheme="minorEastAsia"/>
                <w:b/>
                <w:bCs/>
                <w:i w:val="0"/>
                <w:color w:val="auto"/>
                <w:kern w:val="0"/>
                <w:sz w:val="21"/>
                <w:szCs w:val="21"/>
                <w:highlight w:val="none"/>
                <w:u w:val="none"/>
                <w:lang w:val="en-US" w:eastAsia="zh-CN" w:bidi="ar"/>
              </w:rPr>
              <w:t>投标下浮率</w:t>
            </w:r>
          </w:p>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outlineLvl w:val="9"/>
              <w:rPr>
                <w:rFonts w:hint="eastAsia" w:asciiTheme="minorEastAsia" w:hAnsiTheme="minorEastAsia" w:eastAsiaTheme="minorEastAsia" w:cstheme="minorEastAsia"/>
                <w:b/>
                <w:bCs/>
                <w:i w:val="0"/>
                <w:color w:val="auto"/>
                <w:sz w:val="21"/>
                <w:szCs w:val="21"/>
                <w:highlight w:val="none"/>
                <w:u w:val="none"/>
              </w:rPr>
            </w:pPr>
            <w:r>
              <w:rPr>
                <w:rFonts w:hint="eastAsia" w:asciiTheme="minorEastAsia" w:hAnsiTheme="minorEastAsia" w:eastAsiaTheme="minorEastAsia" w:cstheme="minorEastAsia"/>
                <w:b/>
                <w:bCs/>
                <w:i w:val="0"/>
                <w:color w:val="auto"/>
                <w:kern w:val="0"/>
                <w:sz w:val="21"/>
                <w:szCs w:val="21"/>
                <w:highlight w:val="none"/>
                <w:u w:val="none"/>
                <w:lang w:val="en-US" w:eastAsia="zh-CN" w:bidi="ar"/>
              </w:rPr>
              <w:t>（%）</w:t>
            </w:r>
          </w:p>
        </w:tc>
        <w:tc>
          <w:tcPr>
            <w:tcW w:w="3000"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outlineLvl w:val="9"/>
              <w:rPr>
                <w:rFonts w:hint="eastAsia" w:asciiTheme="minorEastAsia" w:hAnsiTheme="minorEastAsia" w:eastAsiaTheme="minorEastAsia" w:cstheme="minorEastAsia"/>
                <w:b/>
                <w:bCs/>
                <w:i w:val="0"/>
                <w:color w:val="auto"/>
                <w:sz w:val="21"/>
                <w:szCs w:val="21"/>
                <w:highlight w:val="none"/>
                <w:u w:val="none"/>
              </w:rPr>
            </w:pPr>
            <w:r>
              <w:rPr>
                <w:rFonts w:hint="eastAsia" w:asciiTheme="minorEastAsia" w:hAnsiTheme="minorEastAsia" w:eastAsiaTheme="minorEastAsia" w:cstheme="minorEastAsia"/>
                <w:b/>
                <w:bCs/>
                <w:i w:val="0"/>
                <w:color w:val="auto"/>
                <w:kern w:val="0"/>
                <w:sz w:val="21"/>
                <w:szCs w:val="21"/>
                <w:highlight w:val="none"/>
                <w:u w:val="none"/>
                <w:lang w:val="en-US" w:eastAsia="zh-CN" w:bidi="ar"/>
              </w:rPr>
              <w:t>备  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3" w:hRule="atLeast"/>
        </w:trPr>
        <w:tc>
          <w:tcPr>
            <w:tcW w:w="537" w:type="dxa"/>
            <w:tcBorders>
              <w:top w:val="single" w:color="auto" w:sz="4" w:space="0"/>
              <w:left w:val="single" w:color="auto" w:sz="4" w:space="0"/>
              <w:bottom w:val="single" w:color="auto" w:sz="4" w:space="0"/>
              <w:right w:val="single" w:color="000000" w:sz="4" w:space="0"/>
            </w:tcBorders>
            <w:vAlign w:val="center"/>
          </w:tcPr>
          <w:p>
            <w:pPr>
              <w:keepNext w:val="0"/>
              <w:keepLines w:val="0"/>
              <w:pageBreakBefore w:val="0"/>
              <w:widowControl/>
              <w:shd w:val="clear" w:color="auto" w:fill="auto"/>
              <w:kinsoku/>
              <w:wordWrap/>
              <w:overflowPunct/>
              <w:topLinePunct w:val="0"/>
              <w:autoSpaceDE/>
              <w:autoSpaceDN/>
              <w:bidi w:val="0"/>
              <w:adjustRightInd/>
              <w:snapToGrid/>
              <w:spacing w:line="400" w:lineRule="exact"/>
              <w:jc w:val="center"/>
              <w:outlineLvl w:val="9"/>
              <w:rPr>
                <w:rFonts w:hint="default"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1</w:t>
            </w:r>
          </w:p>
        </w:tc>
        <w:tc>
          <w:tcPr>
            <w:tcW w:w="2813"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left"/>
              <w:textAlignment w:val="center"/>
              <w:outlineLvl w:val="9"/>
              <w:rPr>
                <w:rFonts w:hint="default" w:ascii="宋体" w:hAnsi="宋体" w:eastAsia="宋体" w:cs="宋体"/>
                <w:color w:val="auto"/>
                <w:kern w:val="0"/>
                <w:sz w:val="21"/>
                <w:szCs w:val="21"/>
                <w:highlight w:val="none"/>
                <w:u w:val="none"/>
                <w:vertAlign w:val="baseline"/>
                <w:lang w:val="en-US" w:eastAsia="zh-CN" w:bidi="ar-SA"/>
              </w:rPr>
            </w:pPr>
            <w:r>
              <w:rPr>
                <w:rFonts w:hint="eastAsia" w:ascii="宋体" w:hAnsi="宋体" w:eastAsia="宋体" w:cs="宋体"/>
                <w:b w:val="0"/>
                <w:bCs w:val="0"/>
                <w:i w:val="0"/>
                <w:color w:val="auto"/>
                <w:kern w:val="0"/>
                <w:sz w:val="21"/>
                <w:szCs w:val="21"/>
                <w:highlight w:val="none"/>
                <w:u w:val="none"/>
                <w:lang w:val="en-US" w:eastAsia="zh-CN" w:bidi="ar"/>
              </w:rPr>
              <w:t>电力企业应急预案管理机制优化研究与应用实践</w:t>
            </w:r>
          </w:p>
        </w:tc>
        <w:tc>
          <w:tcPr>
            <w:tcW w:w="1300"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default"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558900</w:t>
            </w:r>
          </w:p>
        </w:tc>
        <w:tc>
          <w:tcPr>
            <w:tcW w:w="1312"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outlineLvl w:val="9"/>
              <w:rPr>
                <w:rFonts w:hint="default" w:asciiTheme="minorEastAsia" w:hAnsiTheme="minorEastAsia" w:eastAsiaTheme="minorEastAsia" w:cstheme="minorEastAsia"/>
                <w:i w:val="0"/>
                <w:color w:val="auto"/>
                <w:sz w:val="21"/>
                <w:szCs w:val="21"/>
                <w:highlight w:val="none"/>
                <w:u w:val="none"/>
                <w:lang w:val="en-US" w:eastAsia="zh-CN"/>
              </w:rPr>
            </w:pPr>
            <w:r>
              <w:rPr>
                <w:rFonts w:hint="eastAsia" w:asciiTheme="minorEastAsia" w:hAnsiTheme="minorEastAsia" w:eastAsiaTheme="minorEastAsia" w:cstheme="minorEastAsia"/>
                <w:i w:val="0"/>
                <w:color w:val="auto"/>
                <w:kern w:val="0"/>
                <w:sz w:val="21"/>
                <w:szCs w:val="21"/>
                <w:highlight w:val="none"/>
                <w:u w:val="none"/>
                <w:lang w:val="en-US" w:eastAsia="zh-CN" w:bidi="ar"/>
              </w:rPr>
              <w:t>/</w:t>
            </w:r>
          </w:p>
        </w:tc>
        <w:tc>
          <w:tcPr>
            <w:tcW w:w="3000" w:type="dxa"/>
            <w:tcBorders>
              <w:top w:val="single" w:color="auto" w:sz="4" w:space="0"/>
              <w:left w:val="single" w:color="000000"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outlineLvl w:val="9"/>
              <w:rPr>
                <w:rFonts w:hint="eastAsia" w:asciiTheme="minorEastAsia" w:hAnsiTheme="minorEastAsia" w:eastAsiaTheme="minorEastAsia" w:cstheme="minorEastAsia"/>
                <w:i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3" w:hRule="atLeast"/>
        </w:trPr>
        <w:tc>
          <w:tcPr>
            <w:tcW w:w="537" w:type="dxa"/>
            <w:tcBorders>
              <w:top w:val="single" w:color="auto" w:sz="4" w:space="0"/>
              <w:left w:val="single" w:color="auto" w:sz="4" w:space="0"/>
              <w:bottom w:val="single" w:color="auto" w:sz="4" w:space="0"/>
              <w:right w:val="single" w:color="000000" w:sz="4" w:space="0"/>
            </w:tcBorders>
            <w:vAlign w:val="center"/>
          </w:tcPr>
          <w:p>
            <w:pPr>
              <w:keepNext w:val="0"/>
              <w:keepLines w:val="0"/>
              <w:pageBreakBefore w:val="0"/>
              <w:widowControl/>
              <w:shd w:val="clear" w:color="auto" w:fill="auto"/>
              <w:kinsoku/>
              <w:wordWrap/>
              <w:overflowPunct/>
              <w:topLinePunct w:val="0"/>
              <w:autoSpaceDE/>
              <w:autoSpaceDN/>
              <w:bidi w:val="0"/>
              <w:adjustRightInd/>
              <w:snapToGrid/>
              <w:spacing w:line="400" w:lineRule="exact"/>
              <w:jc w:val="center"/>
              <w:outlineLvl w:val="9"/>
              <w:rPr>
                <w:rFonts w:hint="default"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2</w:t>
            </w:r>
          </w:p>
        </w:tc>
        <w:tc>
          <w:tcPr>
            <w:tcW w:w="2813"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left"/>
              <w:textAlignment w:val="center"/>
              <w:outlineLvl w:val="9"/>
              <w:rPr>
                <w:rFonts w:hint="eastAsia" w:ascii="宋体" w:hAnsi="宋体" w:eastAsia="宋体" w:cs="宋体"/>
                <w:b w:val="0"/>
                <w:bCs w:val="0"/>
                <w:i w:val="0"/>
                <w:color w:val="auto"/>
                <w:kern w:val="0"/>
                <w:sz w:val="21"/>
                <w:szCs w:val="21"/>
                <w:highlight w:val="none"/>
                <w:u w:val="none"/>
                <w:lang w:val="en-US" w:eastAsia="zh-CN" w:bidi="ar"/>
              </w:rPr>
            </w:pPr>
            <w:r>
              <w:rPr>
                <w:rFonts w:hint="eastAsia" w:ascii="宋体" w:hAnsi="宋体" w:eastAsia="宋体" w:cs="宋体"/>
                <w:b w:val="0"/>
                <w:bCs w:val="0"/>
                <w:i w:val="0"/>
                <w:color w:val="auto"/>
                <w:kern w:val="0"/>
                <w:sz w:val="21"/>
                <w:szCs w:val="21"/>
                <w:highlight w:val="none"/>
                <w:u w:val="none"/>
                <w:lang w:val="en-US" w:eastAsia="zh-CN" w:bidi="ar"/>
              </w:rPr>
              <w:t>电力企业应急能力提升与典型案例研究</w:t>
            </w:r>
          </w:p>
        </w:tc>
        <w:tc>
          <w:tcPr>
            <w:tcW w:w="1300"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default" w:ascii="宋体" w:hAnsi="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575200</w:t>
            </w:r>
          </w:p>
        </w:tc>
        <w:tc>
          <w:tcPr>
            <w:tcW w:w="1312"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outlineLvl w:val="9"/>
              <w:rPr>
                <w:rFonts w:hint="default"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w:t>
            </w:r>
          </w:p>
        </w:tc>
        <w:tc>
          <w:tcPr>
            <w:tcW w:w="3000" w:type="dxa"/>
            <w:tcBorders>
              <w:top w:val="single" w:color="auto" w:sz="4" w:space="0"/>
              <w:left w:val="single" w:color="000000"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outlineLvl w:val="9"/>
              <w:rPr>
                <w:rFonts w:hint="eastAsia" w:ascii="宋体" w:hAnsi="宋体" w:cs="宋体"/>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3" w:hRule="atLeast"/>
        </w:trPr>
        <w:tc>
          <w:tcPr>
            <w:tcW w:w="537" w:type="dxa"/>
            <w:tcBorders>
              <w:top w:val="single" w:color="auto" w:sz="4" w:space="0"/>
              <w:left w:val="single" w:color="auto" w:sz="4" w:space="0"/>
              <w:bottom w:val="single" w:color="auto" w:sz="4" w:space="0"/>
              <w:right w:val="single" w:color="000000" w:sz="4" w:space="0"/>
            </w:tcBorders>
            <w:vAlign w:val="center"/>
          </w:tcPr>
          <w:p>
            <w:pPr>
              <w:keepNext w:val="0"/>
              <w:keepLines w:val="0"/>
              <w:pageBreakBefore w:val="0"/>
              <w:widowControl/>
              <w:shd w:val="clear" w:color="auto" w:fill="auto"/>
              <w:kinsoku/>
              <w:wordWrap/>
              <w:overflowPunct/>
              <w:topLinePunct w:val="0"/>
              <w:autoSpaceDE/>
              <w:autoSpaceDN/>
              <w:bidi w:val="0"/>
              <w:adjustRightInd/>
              <w:snapToGrid/>
              <w:spacing w:line="400" w:lineRule="exact"/>
              <w:jc w:val="center"/>
              <w:outlineLvl w:val="9"/>
              <w:rPr>
                <w:rFonts w:hint="default"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3</w:t>
            </w:r>
          </w:p>
        </w:tc>
        <w:tc>
          <w:tcPr>
            <w:tcW w:w="2813"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left"/>
              <w:textAlignment w:val="center"/>
              <w:outlineLvl w:val="9"/>
              <w:rPr>
                <w:rFonts w:hint="eastAsia" w:ascii="宋体" w:hAnsi="宋体" w:eastAsia="宋体" w:cs="宋体"/>
                <w:b w:val="0"/>
                <w:bCs w:val="0"/>
                <w:i w:val="0"/>
                <w:color w:val="auto"/>
                <w:kern w:val="0"/>
                <w:sz w:val="21"/>
                <w:szCs w:val="21"/>
                <w:highlight w:val="none"/>
                <w:u w:val="none"/>
                <w:lang w:val="en-US" w:eastAsia="zh-CN" w:bidi="ar"/>
              </w:rPr>
            </w:pPr>
            <w:r>
              <w:rPr>
                <w:rFonts w:hint="eastAsia" w:ascii="宋体" w:hAnsi="宋体" w:eastAsia="宋体" w:cs="宋体"/>
                <w:b w:val="0"/>
                <w:bCs w:val="0"/>
                <w:i w:val="0"/>
                <w:color w:val="auto"/>
                <w:kern w:val="0"/>
                <w:sz w:val="21"/>
                <w:szCs w:val="21"/>
                <w:highlight w:val="none"/>
                <w:u w:val="none"/>
                <w:lang w:val="en-US" w:eastAsia="zh-CN" w:bidi="ar"/>
              </w:rPr>
              <w:t>中国—太平洋岛国电力应急国际合作研究与实践</w:t>
            </w:r>
          </w:p>
        </w:tc>
        <w:tc>
          <w:tcPr>
            <w:tcW w:w="1300"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eastAsia" w:ascii="宋体" w:hAnsi="宋体" w:cs="宋体"/>
                <w:i w:val="0"/>
                <w:color w:val="auto"/>
                <w:kern w:val="0"/>
                <w:sz w:val="21"/>
                <w:szCs w:val="21"/>
                <w:highlight w:val="none"/>
                <w:u w:val="none"/>
                <w:lang w:val="en-US" w:eastAsia="zh-CN" w:bidi="ar"/>
              </w:rPr>
            </w:pPr>
            <w:r>
              <w:rPr>
                <w:rFonts w:hint="eastAsia" w:ascii="宋体" w:hAnsi="宋体" w:cs="宋体"/>
                <w:i w:val="0"/>
                <w:color w:val="auto"/>
                <w:kern w:val="0"/>
                <w:sz w:val="21"/>
                <w:szCs w:val="21"/>
                <w:highlight w:val="none"/>
                <w:u w:val="none"/>
                <w:lang w:val="en-US" w:eastAsia="zh-CN" w:bidi="ar"/>
              </w:rPr>
              <w:t>496000</w:t>
            </w:r>
          </w:p>
        </w:tc>
        <w:tc>
          <w:tcPr>
            <w:tcW w:w="1312" w:type="dxa"/>
            <w:tcBorders>
              <w:top w:val="single" w:color="auto" w:sz="4" w:space="0"/>
              <w:left w:val="single" w:color="000000" w:sz="4" w:space="0"/>
              <w:bottom w:val="single" w:color="auto"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outlineLvl w:val="9"/>
              <w:rPr>
                <w:rFonts w:hint="eastAsia" w:asciiTheme="minorEastAsia" w:hAnsiTheme="minorEastAsia" w:eastAsiaTheme="minorEastAsia" w:cstheme="minorEastAsia"/>
                <w:i w:val="0"/>
                <w:color w:val="auto"/>
                <w:kern w:val="0"/>
                <w:sz w:val="21"/>
                <w:szCs w:val="21"/>
                <w:highlight w:val="none"/>
                <w:u w:val="none"/>
                <w:lang w:val="en-US" w:eastAsia="zh-CN" w:bidi="ar"/>
              </w:rPr>
            </w:pPr>
            <w:r>
              <w:rPr>
                <w:rFonts w:hint="eastAsia" w:asciiTheme="minorEastAsia" w:hAnsiTheme="minorEastAsia" w:eastAsiaTheme="minorEastAsia" w:cstheme="minorEastAsia"/>
                <w:i w:val="0"/>
                <w:color w:val="auto"/>
                <w:kern w:val="0"/>
                <w:sz w:val="21"/>
                <w:szCs w:val="21"/>
                <w:highlight w:val="none"/>
                <w:u w:val="none"/>
                <w:lang w:val="en-US" w:eastAsia="zh-CN" w:bidi="ar"/>
              </w:rPr>
              <w:t>/</w:t>
            </w:r>
          </w:p>
        </w:tc>
        <w:tc>
          <w:tcPr>
            <w:tcW w:w="3000" w:type="dxa"/>
            <w:tcBorders>
              <w:top w:val="single" w:color="auto" w:sz="4" w:space="0"/>
              <w:left w:val="single" w:color="000000"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400" w:lineRule="exact"/>
              <w:jc w:val="center"/>
              <w:outlineLvl w:val="9"/>
              <w:rPr>
                <w:rFonts w:hint="eastAsia" w:ascii="宋体" w:hAnsi="宋体" w:cs="宋体"/>
                <w:i w:val="0"/>
                <w:color w:val="auto"/>
                <w:kern w:val="0"/>
                <w:sz w:val="18"/>
                <w:szCs w:val="18"/>
                <w:highlight w:val="none"/>
                <w:u w:val="none"/>
                <w:lang w:val="en-US" w:eastAsia="zh-CN" w:bidi="ar"/>
              </w:rPr>
            </w:pPr>
            <w:bookmarkStart w:id="4" w:name="_GoBack"/>
            <w:bookmarkEnd w:id="4"/>
          </w:p>
        </w:tc>
      </w:tr>
    </w:tbl>
    <w:p>
      <w:pPr>
        <w:pStyle w:val="8"/>
        <w:keepNext w:val="0"/>
        <w:keepLines w:val="0"/>
        <w:pageBreakBefore w:val="0"/>
        <w:widowControl w:val="0"/>
        <w:numPr>
          <w:ilvl w:val="0"/>
          <w:numId w:val="1"/>
        </w:numPr>
        <w:shd w:val="clear" w:color="auto" w:fill="auto"/>
        <w:kinsoku/>
        <w:wordWrap/>
        <w:overflowPunct/>
        <w:topLinePunct w:val="0"/>
        <w:autoSpaceDE/>
        <w:autoSpaceDN/>
        <w:bidi w:val="0"/>
        <w:adjustRightInd/>
        <w:snapToGrid/>
        <w:spacing w:line="360" w:lineRule="auto"/>
        <w:ind w:firstLine="422" w:firstLineChars="200"/>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其他</w:t>
      </w:r>
    </w:p>
    <w:p>
      <w:pPr>
        <w:pStyle w:val="8"/>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auto"/>
          <w:sz w:val="21"/>
          <w:szCs w:val="21"/>
          <w:u w:val="single"/>
          <w:lang w:val="en-US" w:eastAsia="zh-CN"/>
        </w:rPr>
      </w:pPr>
      <w:r>
        <w:rPr>
          <w:rFonts w:hint="eastAsia" w:hAnsi="宋体" w:cs="宋体"/>
          <w:color w:val="auto"/>
          <w:sz w:val="21"/>
          <w:szCs w:val="21"/>
          <w:u w:val="single"/>
          <w:lang w:val="en-US" w:eastAsia="zh-CN"/>
        </w:rPr>
        <w:t>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914FC0"/>
    <w:multiLevelType w:val="singleLevel"/>
    <w:tmpl w:val="80914FC0"/>
    <w:lvl w:ilvl="0" w:tentative="0">
      <w:start w:val="1"/>
      <w:numFmt w:val="decimal"/>
      <w:lvlText w:val="%1."/>
      <w:lvlJc w:val="left"/>
      <w:pPr>
        <w:tabs>
          <w:tab w:val="left" w:pos="312"/>
        </w:tabs>
      </w:pPr>
    </w:lvl>
  </w:abstractNum>
  <w:abstractNum w:abstractNumId="1">
    <w:nsid w:val="7D327071"/>
    <w:multiLevelType w:val="singleLevel"/>
    <w:tmpl w:val="7D327071"/>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VkYzY0YmM0NjMwZmQwYmQxZjM3YjBmZTBiZmI2OGUifQ=="/>
  </w:docVars>
  <w:rsids>
    <w:rsidRoot w:val="24F737D8"/>
    <w:rsid w:val="00560110"/>
    <w:rsid w:val="018E2630"/>
    <w:rsid w:val="01917ED8"/>
    <w:rsid w:val="023C535F"/>
    <w:rsid w:val="028E0881"/>
    <w:rsid w:val="029E1A7E"/>
    <w:rsid w:val="02EB73B2"/>
    <w:rsid w:val="039E23BF"/>
    <w:rsid w:val="03CD0CD4"/>
    <w:rsid w:val="0426370C"/>
    <w:rsid w:val="05265E0E"/>
    <w:rsid w:val="05E812CC"/>
    <w:rsid w:val="06BB5574"/>
    <w:rsid w:val="07300BAE"/>
    <w:rsid w:val="07371ADA"/>
    <w:rsid w:val="08457C1B"/>
    <w:rsid w:val="08637462"/>
    <w:rsid w:val="087742B9"/>
    <w:rsid w:val="0901400F"/>
    <w:rsid w:val="0A2B4842"/>
    <w:rsid w:val="0A636050"/>
    <w:rsid w:val="0AE7202D"/>
    <w:rsid w:val="0B10102D"/>
    <w:rsid w:val="0B814BD7"/>
    <w:rsid w:val="0BC07002"/>
    <w:rsid w:val="0BFA777F"/>
    <w:rsid w:val="0C815799"/>
    <w:rsid w:val="0CAC40BD"/>
    <w:rsid w:val="0CF16A43"/>
    <w:rsid w:val="0D166B93"/>
    <w:rsid w:val="0D7E62AE"/>
    <w:rsid w:val="0E224AE1"/>
    <w:rsid w:val="0E8A5E26"/>
    <w:rsid w:val="0EAC3296"/>
    <w:rsid w:val="0EF53844"/>
    <w:rsid w:val="0F102EAD"/>
    <w:rsid w:val="0F775E0E"/>
    <w:rsid w:val="0F882898"/>
    <w:rsid w:val="0FC06F21"/>
    <w:rsid w:val="10976139"/>
    <w:rsid w:val="10A47F3D"/>
    <w:rsid w:val="10C01D84"/>
    <w:rsid w:val="11DF6CFE"/>
    <w:rsid w:val="12237E49"/>
    <w:rsid w:val="125F4889"/>
    <w:rsid w:val="12AC3DC7"/>
    <w:rsid w:val="136E33AF"/>
    <w:rsid w:val="143D017A"/>
    <w:rsid w:val="14440D4B"/>
    <w:rsid w:val="14706FF3"/>
    <w:rsid w:val="14DC7B9E"/>
    <w:rsid w:val="15056A61"/>
    <w:rsid w:val="156867F8"/>
    <w:rsid w:val="15D1631D"/>
    <w:rsid w:val="15FC4A1F"/>
    <w:rsid w:val="163E6E4B"/>
    <w:rsid w:val="16AC27E6"/>
    <w:rsid w:val="16B65FD5"/>
    <w:rsid w:val="1869394B"/>
    <w:rsid w:val="186D31A6"/>
    <w:rsid w:val="186F3D42"/>
    <w:rsid w:val="18D3489C"/>
    <w:rsid w:val="18E57496"/>
    <w:rsid w:val="198A027C"/>
    <w:rsid w:val="19C81662"/>
    <w:rsid w:val="19DF4568"/>
    <w:rsid w:val="1B1D2945"/>
    <w:rsid w:val="1C1E5A3C"/>
    <w:rsid w:val="1C8B245F"/>
    <w:rsid w:val="1CF32C1D"/>
    <w:rsid w:val="1D392483"/>
    <w:rsid w:val="1D5B01CF"/>
    <w:rsid w:val="1D6E36F5"/>
    <w:rsid w:val="1DA92FD7"/>
    <w:rsid w:val="1DB527B6"/>
    <w:rsid w:val="1E666A21"/>
    <w:rsid w:val="1E82257F"/>
    <w:rsid w:val="1F16768D"/>
    <w:rsid w:val="1F1E3108"/>
    <w:rsid w:val="1F3E6237"/>
    <w:rsid w:val="1FFB358C"/>
    <w:rsid w:val="20755CE6"/>
    <w:rsid w:val="207B5B7F"/>
    <w:rsid w:val="216F4D5B"/>
    <w:rsid w:val="21A76746"/>
    <w:rsid w:val="21FF2CDC"/>
    <w:rsid w:val="24123A2E"/>
    <w:rsid w:val="24F650AE"/>
    <w:rsid w:val="24F737D8"/>
    <w:rsid w:val="259E70AA"/>
    <w:rsid w:val="26D813C9"/>
    <w:rsid w:val="273E38E1"/>
    <w:rsid w:val="277E2454"/>
    <w:rsid w:val="27D540D1"/>
    <w:rsid w:val="27FF6924"/>
    <w:rsid w:val="28851650"/>
    <w:rsid w:val="29386C0B"/>
    <w:rsid w:val="294D2BA4"/>
    <w:rsid w:val="2975398E"/>
    <w:rsid w:val="2A7F0DEE"/>
    <w:rsid w:val="2A957EBB"/>
    <w:rsid w:val="2B04205A"/>
    <w:rsid w:val="2B1378F8"/>
    <w:rsid w:val="2B763203"/>
    <w:rsid w:val="2C1E43C0"/>
    <w:rsid w:val="2C4F2ABF"/>
    <w:rsid w:val="2C767369"/>
    <w:rsid w:val="2CC04EF2"/>
    <w:rsid w:val="2DD137B2"/>
    <w:rsid w:val="2E093498"/>
    <w:rsid w:val="2E7C726A"/>
    <w:rsid w:val="2E8C50C4"/>
    <w:rsid w:val="2ECC0E72"/>
    <w:rsid w:val="2F185CF3"/>
    <w:rsid w:val="2FFE5A1F"/>
    <w:rsid w:val="300622F8"/>
    <w:rsid w:val="30341509"/>
    <w:rsid w:val="30BF37B5"/>
    <w:rsid w:val="316F5735"/>
    <w:rsid w:val="31E31273"/>
    <w:rsid w:val="3242230F"/>
    <w:rsid w:val="33254415"/>
    <w:rsid w:val="337731F0"/>
    <w:rsid w:val="33BD2D5B"/>
    <w:rsid w:val="349C3019"/>
    <w:rsid w:val="35865F2C"/>
    <w:rsid w:val="36BE759A"/>
    <w:rsid w:val="36D200CF"/>
    <w:rsid w:val="38382DC3"/>
    <w:rsid w:val="385B0448"/>
    <w:rsid w:val="38B77529"/>
    <w:rsid w:val="38F10A46"/>
    <w:rsid w:val="39407E1E"/>
    <w:rsid w:val="397F423E"/>
    <w:rsid w:val="39C81165"/>
    <w:rsid w:val="3A46188A"/>
    <w:rsid w:val="3A883A42"/>
    <w:rsid w:val="3ABF1C11"/>
    <w:rsid w:val="3B436191"/>
    <w:rsid w:val="3B4968FF"/>
    <w:rsid w:val="3B946601"/>
    <w:rsid w:val="3BE83F9B"/>
    <w:rsid w:val="3C6854D4"/>
    <w:rsid w:val="3D090106"/>
    <w:rsid w:val="3D104C66"/>
    <w:rsid w:val="3D1D404F"/>
    <w:rsid w:val="3DF44458"/>
    <w:rsid w:val="3E187E6B"/>
    <w:rsid w:val="3ECE515C"/>
    <w:rsid w:val="3F33138D"/>
    <w:rsid w:val="3F5C7F0D"/>
    <w:rsid w:val="40E81848"/>
    <w:rsid w:val="41155FB3"/>
    <w:rsid w:val="41447863"/>
    <w:rsid w:val="41B34302"/>
    <w:rsid w:val="41B411A9"/>
    <w:rsid w:val="42790203"/>
    <w:rsid w:val="42B76236"/>
    <w:rsid w:val="42B97A08"/>
    <w:rsid w:val="42E374F7"/>
    <w:rsid w:val="438850B5"/>
    <w:rsid w:val="444A020A"/>
    <w:rsid w:val="44A91619"/>
    <w:rsid w:val="44BB1DC9"/>
    <w:rsid w:val="44D414C9"/>
    <w:rsid w:val="450620C4"/>
    <w:rsid w:val="451573B5"/>
    <w:rsid w:val="45321A71"/>
    <w:rsid w:val="454D431C"/>
    <w:rsid w:val="469B0A48"/>
    <w:rsid w:val="47A467FC"/>
    <w:rsid w:val="48172044"/>
    <w:rsid w:val="489B0341"/>
    <w:rsid w:val="48A36D48"/>
    <w:rsid w:val="49B6497B"/>
    <w:rsid w:val="49E8044A"/>
    <w:rsid w:val="49F63D0C"/>
    <w:rsid w:val="4A556DE1"/>
    <w:rsid w:val="4BBE59CA"/>
    <w:rsid w:val="4C1B66C6"/>
    <w:rsid w:val="4C2E7B77"/>
    <w:rsid w:val="4C5B511F"/>
    <w:rsid w:val="4C662DA3"/>
    <w:rsid w:val="4C712FB6"/>
    <w:rsid w:val="4C744512"/>
    <w:rsid w:val="4C903353"/>
    <w:rsid w:val="4CA92880"/>
    <w:rsid w:val="4D5B6FE3"/>
    <w:rsid w:val="4E4C3123"/>
    <w:rsid w:val="4EA453B0"/>
    <w:rsid w:val="4EC37FD9"/>
    <w:rsid w:val="4EE8256C"/>
    <w:rsid w:val="4EE9716B"/>
    <w:rsid w:val="4F3731C9"/>
    <w:rsid w:val="4F990CD0"/>
    <w:rsid w:val="4F9F5BAE"/>
    <w:rsid w:val="5135698F"/>
    <w:rsid w:val="51CD578B"/>
    <w:rsid w:val="526C2576"/>
    <w:rsid w:val="531C54ED"/>
    <w:rsid w:val="53B25602"/>
    <w:rsid w:val="53CB4975"/>
    <w:rsid w:val="53D05EF9"/>
    <w:rsid w:val="543231D1"/>
    <w:rsid w:val="5671023B"/>
    <w:rsid w:val="56E41AED"/>
    <w:rsid w:val="578D3F14"/>
    <w:rsid w:val="58602996"/>
    <w:rsid w:val="586C6F7D"/>
    <w:rsid w:val="587515AD"/>
    <w:rsid w:val="592157FE"/>
    <w:rsid w:val="5971515E"/>
    <w:rsid w:val="5B344274"/>
    <w:rsid w:val="5B426675"/>
    <w:rsid w:val="5BD85859"/>
    <w:rsid w:val="5C7B1EB4"/>
    <w:rsid w:val="5CE60BF0"/>
    <w:rsid w:val="5D4E0430"/>
    <w:rsid w:val="5DA22143"/>
    <w:rsid w:val="5DC138DD"/>
    <w:rsid w:val="5ECC3165"/>
    <w:rsid w:val="5F0C3FE3"/>
    <w:rsid w:val="60413859"/>
    <w:rsid w:val="60AF6A66"/>
    <w:rsid w:val="60EA1150"/>
    <w:rsid w:val="61266E07"/>
    <w:rsid w:val="61352F22"/>
    <w:rsid w:val="61F35477"/>
    <w:rsid w:val="62106E15"/>
    <w:rsid w:val="62481BC1"/>
    <w:rsid w:val="630F14EE"/>
    <w:rsid w:val="63F9160C"/>
    <w:rsid w:val="644B0CD4"/>
    <w:rsid w:val="65121C96"/>
    <w:rsid w:val="65126A29"/>
    <w:rsid w:val="65C57CAA"/>
    <w:rsid w:val="66023311"/>
    <w:rsid w:val="66C35559"/>
    <w:rsid w:val="66E76073"/>
    <w:rsid w:val="68206ADB"/>
    <w:rsid w:val="69613306"/>
    <w:rsid w:val="6ADA3D73"/>
    <w:rsid w:val="6B022D43"/>
    <w:rsid w:val="6B046456"/>
    <w:rsid w:val="6B185BEF"/>
    <w:rsid w:val="6B237F0D"/>
    <w:rsid w:val="6B303A1A"/>
    <w:rsid w:val="6B367E94"/>
    <w:rsid w:val="6B700216"/>
    <w:rsid w:val="6CC003BB"/>
    <w:rsid w:val="6CCE078D"/>
    <w:rsid w:val="6D052CBA"/>
    <w:rsid w:val="6D394798"/>
    <w:rsid w:val="6DAA2FDF"/>
    <w:rsid w:val="6E121228"/>
    <w:rsid w:val="6E301FD7"/>
    <w:rsid w:val="6E766AD8"/>
    <w:rsid w:val="6F0E104F"/>
    <w:rsid w:val="70790822"/>
    <w:rsid w:val="70C3327F"/>
    <w:rsid w:val="70D1495F"/>
    <w:rsid w:val="70D1553D"/>
    <w:rsid w:val="70DF40A1"/>
    <w:rsid w:val="71D94475"/>
    <w:rsid w:val="7220181C"/>
    <w:rsid w:val="72224486"/>
    <w:rsid w:val="728D55B7"/>
    <w:rsid w:val="741206C9"/>
    <w:rsid w:val="74136FE9"/>
    <w:rsid w:val="7474440B"/>
    <w:rsid w:val="751758CF"/>
    <w:rsid w:val="75604EB6"/>
    <w:rsid w:val="757C755D"/>
    <w:rsid w:val="76447FCF"/>
    <w:rsid w:val="76AD284B"/>
    <w:rsid w:val="76BB2B95"/>
    <w:rsid w:val="770F33F4"/>
    <w:rsid w:val="772D4EA9"/>
    <w:rsid w:val="783534D3"/>
    <w:rsid w:val="789E5090"/>
    <w:rsid w:val="78BA37B2"/>
    <w:rsid w:val="7910563A"/>
    <w:rsid w:val="794804E4"/>
    <w:rsid w:val="79591389"/>
    <w:rsid w:val="796429F2"/>
    <w:rsid w:val="7B4E4719"/>
    <w:rsid w:val="7B5B29C9"/>
    <w:rsid w:val="7C242EF2"/>
    <w:rsid w:val="7C3E403D"/>
    <w:rsid w:val="7C416D25"/>
    <w:rsid w:val="7C4B0813"/>
    <w:rsid w:val="7C582846"/>
    <w:rsid w:val="7CF50D29"/>
    <w:rsid w:val="7E181FBA"/>
    <w:rsid w:val="7EFB62FB"/>
    <w:rsid w:val="7F8A23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3">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4">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宋体" w:hAnsi="宋体"/>
      <w:sz w:val="24"/>
    </w:rPr>
  </w:style>
  <w:style w:type="paragraph" w:styleId="5">
    <w:name w:val="Normal Indent"/>
    <w:basedOn w:val="1"/>
    <w:qFormat/>
    <w:uiPriority w:val="0"/>
    <w:pPr>
      <w:ind w:firstLine="420"/>
    </w:pPr>
    <w:rPr>
      <w:rFonts w:ascii="Times New Roman" w:hAnsi="Times New Roman" w:cs="Times New Roman"/>
      <w:kern w:val="0"/>
      <w:sz w:val="20"/>
      <w:szCs w:val="20"/>
    </w:rPr>
  </w:style>
  <w:style w:type="paragraph" w:styleId="6">
    <w:name w:val="annotation text"/>
    <w:basedOn w:val="1"/>
    <w:qFormat/>
    <w:uiPriority w:val="0"/>
    <w:pPr>
      <w:jc w:val="left"/>
    </w:pPr>
  </w:style>
  <w:style w:type="paragraph" w:styleId="7">
    <w:name w:val="Body Text Indent"/>
    <w:basedOn w:val="1"/>
    <w:qFormat/>
    <w:uiPriority w:val="0"/>
    <w:pPr>
      <w:spacing w:after="120"/>
      <w:ind w:left="420" w:leftChars="200"/>
    </w:pPr>
  </w:style>
  <w:style w:type="paragraph" w:styleId="8">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9">
    <w:name w:val="footer"/>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tabs>
        <w:tab w:val="center" w:pos="4153"/>
        <w:tab w:val="right" w:pos="8306"/>
      </w:tabs>
      <w:snapToGrid w:val="0"/>
      <w:jc w:val="left"/>
    </w:pPr>
    <w:rPr>
      <w:sz w:val="18"/>
      <w:szCs w:val="18"/>
      <w:lang w:val="en-US" w:eastAsia="zh-CN"/>
    </w:rPr>
  </w:style>
  <w:style w:type="paragraph" w:styleId="10">
    <w:name w:val="header"/>
    <w:basedOn w:val="1"/>
    <w:unhideWhenUsed/>
    <w:qFormat/>
    <w:uiPriority w:val="0"/>
    <w:pPr>
      <w:pBdr>
        <w:top w:val="none" w:color="auto" w:sz="0" w:space="0"/>
        <w:left w:val="none" w:color="auto" w:sz="0" w:space="0"/>
        <w:bottom w:val="single" w:color="auto" w:sz="6" w:space="1"/>
        <w:right w:val="none" w:color="auto" w:sz="0" w:space="0"/>
        <w:between w:val="none" w:color="auto" w:sz="0" w:space="0"/>
      </w:pBdr>
      <w:shd w:val="clear" w:color="auto" w:fill="auto"/>
      <w:tabs>
        <w:tab w:val="center" w:pos="4153"/>
        <w:tab w:val="right" w:pos="8306"/>
      </w:tabs>
      <w:snapToGrid w:val="0"/>
      <w:jc w:val="center"/>
    </w:pPr>
    <w:rPr>
      <w:sz w:val="18"/>
      <w:szCs w:val="18"/>
      <w:lang w:val="en-US" w:eastAsia="zh-CN"/>
    </w:rPr>
  </w:style>
  <w:style w:type="paragraph" w:styleId="11">
    <w:name w:val="Title"/>
    <w:basedOn w:val="1"/>
    <w:next w:val="1"/>
    <w:qFormat/>
    <w:uiPriority w:val="0"/>
    <w:pPr>
      <w:spacing w:before="240" w:after="60"/>
      <w:jc w:val="center"/>
      <w:outlineLvl w:val="0"/>
    </w:pPr>
    <w:rPr>
      <w:rFonts w:ascii="Arial" w:hAnsi="Arial"/>
      <w:b/>
      <w:bCs/>
      <w:sz w:val="32"/>
      <w:szCs w:val="32"/>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paragraph" w:customStyle="1" w:styleId="16">
    <w:name w:val="目录 21"/>
    <w:basedOn w:val="1"/>
    <w:next w:val="1"/>
    <w:qFormat/>
    <w:uiPriority w:val="0"/>
    <w:pPr>
      <w:spacing w:before="100" w:beforeAutospacing="1" w:after="100" w:afterAutospacing="1"/>
      <w:ind w:left="420" w:leftChars="200"/>
    </w:pPr>
  </w:style>
  <w:style w:type="paragraph" w:customStyle="1" w:styleId="17">
    <w:name w:val="正文首行缩进1"/>
    <w:basedOn w:val="1"/>
    <w:qFormat/>
    <w:uiPriority w:val="0"/>
    <w:pPr>
      <w:spacing w:line="360" w:lineRule="auto"/>
      <w:ind w:firstLine="200" w:firstLineChars="200"/>
    </w:pPr>
    <w:rPr>
      <w:kern w:val="2"/>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00082510_gd</cp:lastModifiedBy>
  <dcterms:modified xsi:type="dcterms:W3CDTF">2024-10-30T08:21:05Z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856FA49862554E9A901CAE396E34D592</vt:lpwstr>
  </property>
</Properties>
</file>