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FF0000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项目名称：广东电网有限责任公司2024年第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批中低压配电网项目（不含广州局）施工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2226"/>
        <w:gridCol w:w="54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2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20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已落实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，广电计财〔2024〕59号、潮供电计〔2024〕73号、东电计〔2024〕80号、江供电计〔2024〕56号、揭供电计〔2024〕140 号、梅供电计〔2024〕58号、清供电计〔2024〕88号、阳供电计〔2024〕86号、云供电计〔2024〕131号、肇供电计〔2024〕53号、中供电系统规划〔2024〕117号、珠供电计〔2024〕80号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潮州供电局、东莞供电局、江门供电局、揭阳供电局、梅州供电局、清远供电局、阳江供电局、云浮供电局、肇庆供电局、中山供电局、珠海供电局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广东省潮州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、东莞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、江门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、揭阳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、梅州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、清远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、阳江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、云浮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、肇庆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、中山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、珠海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工期</w:t>
            </w:r>
          </w:p>
        </w:tc>
        <w:tc>
          <w:tcPr>
            <w:tcW w:w="3202" w:type="pct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  <w:t>在项目批复的里程碑进度计划内竣工并移交整个工程（具体实际工期以开工报告、竣工报告为准）。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依据《关于下达2024年计划预算</w:t>
      </w:r>
      <w:r>
        <w:rPr>
          <w:rFonts w:hint="eastAsia" w:hAnsi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调整方案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的通知》（广电计财〔2024〕59号）及各地市供电局下达的2024年配电网基建投资计划文件，本次招标项目包含新建配电网基建项目，不包含备用金（预备费）项目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不包含低压业扩配套项目及35千伏台区工程、不包含科技项目中的20kV及以下配网部分、不包含配网整线（成片）供电能力提升专项中的紧急基建项目，具体项目清单及建设规模详见附件。最终投资计划以各地市供电局正式下达投资计划批复为准。</w:t>
      </w:r>
      <w:bookmarkStart w:id="4" w:name="_GoBack"/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施工图纸范围内的配电网建筑、安装及调试工程，参与最高限价审核，配合完成营配一体化信息资料测录（负责现场照片及设备参数的采集等工作），负责办理相关施工许可手续，协助招标人完成青苗赔偿洽谈等工作。全面开展标准建设工作。具体范围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※配电站（开关站）部分: 包括建筑、安装及调试工程、智能配电设备的安装及调试（包括智能网关及配套传感终端等）。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※配电网架空线路部分：包括线路本体工程、智能配电设备的安装及调试（包括智能网关及配套传感终端等）、旧电力线拆除及运输、施工场地租用，跨越及河流封航、鱼塘围堰、施工道路修筑、线路参数测试、沿线建（构）筑物拆迁、通信线路拆除（如有）、各类市政管道拆除等；不包括拆迁（包括沿线建构筑物、通信线路以及各类市政管道等）的补偿费用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※配电网电缆线路部分：包括电缆线路本体工程、智能配电设备的安装及调试（包括智能网关及配套传感终端等）、路面破除及恢复工作、绿化恢复、旧电缆线路拆除和运输、白蚁防治、调试、临时施工道路修筑费（如有）、沿线的管线迁移或拆除、沿线建（构）筑物的拆除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※配电网通信及调度自动化部分：光纤敷设及其他配网通信、调度自动化等相关工作。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※其他费用：建设方委托中标单位代付的费用，包括但不限于协助办理工程相关报建、施工许可手续，协助办理工程的征地、拆迁、青苗赔偿等产生的费用（如有），协助完成安全评价等政府规范性要求所需事项产生的费用（如有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具体以工程量清单为准。</w:t>
      </w:r>
    </w:p>
    <w:p>
      <w:pPr>
        <w:pStyle w:val="3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承包方式：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hAnsi="宋体" w:cs="宋体"/>
          <w:b w:val="0"/>
          <w:bCs w:val="0"/>
          <w:i w:val="0"/>
          <w:i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i w:val="0"/>
          <w:iCs w:val="0"/>
          <w:color w:val="auto"/>
          <w:kern w:val="2"/>
          <w:sz w:val="21"/>
          <w:szCs w:val="21"/>
          <w:highlight w:val="none"/>
          <w:lang w:val="en-US" w:eastAsia="zh-CN" w:bidi="ar-SA"/>
        </w:rPr>
        <w:t>包工、部分包料。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hAnsi="宋体" w:cs="宋体"/>
          <w:b w:val="0"/>
          <w:bCs w:val="0"/>
          <w:i w:val="0"/>
          <w:i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i w:val="0"/>
          <w:iCs w:val="0"/>
          <w:color w:val="auto"/>
          <w:kern w:val="2"/>
          <w:sz w:val="21"/>
          <w:szCs w:val="21"/>
          <w:highlight w:val="none"/>
          <w:lang w:val="en-US" w:eastAsia="zh-CN" w:bidi="ar-SA"/>
        </w:rPr>
        <w:t>招标人提供交流电力变压器、变压器配电箱及附件、箱式变电站、10kV配网开关柜、自动化成套设备、户外开关箱、配电柱上开关断路器、低压开关柜、预装式配变台架组合件、柱上开关、跌落式熔断器、避雷器（站用型、配电型、低压避雷器）、隔离开关、低压开关、导地线、低压电线、交流电力电缆及附件、配网直流电源、交直流充电桩（充电机）、自动化设备、无功补偿装置、互感器、角钢塔、电杆（普通型、加强型）及防撞护套、全绝缘台架、管材（HDPE、PVC、MPP、复合材质）、涂塑钢管、封堵器、预制电缆沟盖板、复合材料预制基础、标准铁构件、复合电缆支架、配网电力金具及附件、复合横担、接线端子、绝缘子、街码（热镀锌、复合材料）、低压线路紧线器、装配式基础组合件、安健环、光缆及其金具、通信设备、数据网设备、计量仪表、通信模块、负荷监测装置、设备状态监测、视频监控、交换机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i w:val="0"/>
          <w:iCs w:val="0"/>
          <w:color w:val="auto"/>
          <w:kern w:val="2"/>
          <w:sz w:val="21"/>
          <w:szCs w:val="21"/>
          <w:highlight w:val="none"/>
          <w:lang w:val="en-US" w:eastAsia="zh-CN" w:bidi="ar-SA"/>
        </w:rPr>
        <w:t>招标人提供设备、材料范围按南方电网有限责任公司、广东电网有限责任公司发布的集中和属地化采购目录执行，其他设备、材料由承包人负责提供。承包人负责提供的设备、材料需满足南方电网有限责任公司、广东电网有限责任公司标准设计及技术条件的要求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400" w:firstLine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AF13F2"/>
    <w:multiLevelType w:val="singleLevel"/>
    <w:tmpl w:val="E5AF13F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1F20183"/>
    <w:rsid w:val="02906142"/>
    <w:rsid w:val="039D7B38"/>
    <w:rsid w:val="04A24F71"/>
    <w:rsid w:val="09EF7E7C"/>
    <w:rsid w:val="0BC07002"/>
    <w:rsid w:val="116419AD"/>
    <w:rsid w:val="11DF6CFE"/>
    <w:rsid w:val="124A2691"/>
    <w:rsid w:val="14440D4B"/>
    <w:rsid w:val="15056A61"/>
    <w:rsid w:val="16A51F8E"/>
    <w:rsid w:val="18E57496"/>
    <w:rsid w:val="19440D10"/>
    <w:rsid w:val="196633D1"/>
    <w:rsid w:val="1A07140F"/>
    <w:rsid w:val="1AAD5041"/>
    <w:rsid w:val="1B663F82"/>
    <w:rsid w:val="1DFB572F"/>
    <w:rsid w:val="216F4D5B"/>
    <w:rsid w:val="24F737D8"/>
    <w:rsid w:val="27944A18"/>
    <w:rsid w:val="28F9767D"/>
    <w:rsid w:val="2EC91E34"/>
    <w:rsid w:val="2FF65FF8"/>
    <w:rsid w:val="300D195C"/>
    <w:rsid w:val="30BF37B5"/>
    <w:rsid w:val="358838F4"/>
    <w:rsid w:val="361736AD"/>
    <w:rsid w:val="3699568D"/>
    <w:rsid w:val="36D200CF"/>
    <w:rsid w:val="38382DC3"/>
    <w:rsid w:val="38DE045C"/>
    <w:rsid w:val="3C4A35F1"/>
    <w:rsid w:val="3F522DEF"/>
    <w:rsid w:val="40972D3F"/>
    <w:rsid w:val="42586B9E"/>
    <w:rsid w:val="44D414C9"/>
    <w:rsid w:val="46472D5E"/>
    <w:rsid w:val="4B3A1BDA"/>
    <w:rsid w:val="4BDA3149"/>
    <w:rsid w:val="4F6F13F8"/>
    <w:rsid w:val="501434E7"/>
    <w:rsid w:val="507B3005"/>
    <w:rsid w:val="52E734B9"/>
    <w:rsid w:val="547846DC"/>
    <w:rsid w:val="55C3156A"/>
    <w:rsid w:val="5E7D5CF9"/>
    <w:rsid w:val="5EEE374C"/>
    <w:rsid w:val="60002335"/>
    <w:rsid w:val="608606DE"/>
    <w:rsid w:val="62B114E5"/>
    <w:rsid w:val="66BA56BB"/>
    <w:rsid w:val="66C35559"/>
    <w:rsid w:val="67F221C7"/>
    <w:rsid w:val="699A143B"/>
    <w:rsid w:val="6A032AC7"/>
    <w:rsid w:val="6A287B5E"/>
    <w:rsid w:val="6AD2649C"/>
    <w:rsid w:val="6B303A1A"/>
    <w:rsid w:val="6B70721B"/>
    <w:rsid w:val="6C4964B8"/>
    <w:rsid w:val="6CDA09A4"/>
    <w:rsid w:val="6DAA2FDF"/>
    <w:rsid w:val="6E121228"/>
    <w:rsid w:val="70D1495F"/>
    <w:rsid w:val="71CD1741"/>
    <w:rsid w:val="720B09CF"/>
    <w:rsid w:val="73982E36"/>
    <w:rsid w:val="75CE3711"/>
    <w:rsid w:val="7C97416C"/>
    <w:rsid w:val="7E0B3D48"/>
    <w:rsid w:val="7E3420E0"/>
    <w:rsid w:val="7F54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何定安</cp:lastModifiedBy>
  <dcterms:modified xsi:type="dcterms:W3CDTF">2024-11-11T02:59:00Z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71A695512AD54C2FADD29DB3551318B0</vt:lpwstr>
  </property>
</Properties>
</file>