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210" w:leftChars="100" w:right="210" w:rightChars="100"/>
        <w:jc w:val="center"/>
        <w:rPr>
          <w:rFonts w:eastAsia="仿宋_GB2312"/>
          <w:b/>
          <w:color w:val="auto"/>
          <w:sz w:val="32"/>
          <w:szCs w:val="32"/>
        </w:rPr>
      </w:pPr>
      <w:bookmarkStart w:id="0" w:name="_Toc12343"/>
      <w:r>
        <w:rPr>
          <w:rFonts w:eastAsia="仿宋_GB2312"/>
          <w:color w:val="auto"/>
          <w:sz w:val="28"/>
          <w:szCs w:val="28"/>
        </w:rPr>
        <mc:AlternateContent>
          <mc:Choice Requires="wps">
            <w:drawing>
              <wp:anchor distT="0" distB="0" distL="114300" distR="114300" simplePos="0" relativeHeight="251664384" behindDoc="0" locked="0" layoutInCell="1" allowOverlap="1">
                <wp:simplePos x="0" y="0"/>
                <wp:positionH relativeFrom="column">
                  <wp:posOffset>-8255</wp:posOffset>
                </wp:positionH>
                <wp:positionV relativeFrom="paragraph">
                  <wp:posOffset>4834255</wp:posOffset>
                </wp:positionV>
                <wp:extent cx="6296660" cy="655955"/>
                <wp:effectExtent l="0" t="0" r="8890" b="10795"/>
                <wp:wrapNone/>
                <wp:docPr id="11" name="Text Box 11"/>
                <wp:cNvGraphicFramePr/>
                <a:graphic xmlns:a="http://schemas.openxmlformats.org/drawingml/2006/main">
                  <a:graphicData uri="http://schemas.microsoft.com/office/word/2010/wordprocessingShape">
                    <wps:wsp>
                      <wps:cNvSpPr txBox="1">
                        <a:spLocks noChangeArrowheads="1"/>
                      </wps:cNvSpPr>
                      <wps:spPr bwMode="auto">
                        <a:xfrm>
                          <a:off x="0" y="0"/>
                          <a:ext cx="6296660" cy="655955"/>
                        </a:xfrm>
                        <a:prstGeom prst="rect">
                          <a:avLst/>
                        </a:prstGeom>
                        <a:solidFill>
                          <a:srgbClr val="FFFFFF"/>
                        </a:solidFill>
                        <a:ln>
                          <a:noFill/>
                        </a:ln>
                      </wps:spPr>
                      <wps:txbx>
                        <w:txbxContent>
                          <w:p>
                            <w:pPr>
                              <w:wordWrap w:val="0"/>
                              <w:jc w:val="right"/>
                              <w:rPr>
                                <w:rFonts w:hint="eastAsia" w:ascii="黑体" w:hAnsi="宋体" w:eastAsia="黑体" w:cs="黑体"/>
                                <w:b/>
                                <w:bCs/>
                                <w:color w:val="000000" w:themeColor="text1"/>
                                <w:sz w:val="44"/>
                                <w:szCs w:val="44"/>
                                <w:lang w:eastAsia="zh-CN"/>
                                <w14:textFill>
                                  <w14:solidFill>
                                    <w14:schemeClr w14:val="tx1"/>
                                  </w14:solidFill>
                                </w14:textFill>
                              </w:rPr>
                            </w:pPr>
                            <w:r>
                              <w:rPr>
                                <w:rFonts w:hint="eastAsia" w:ascii="黑体" w:hAnsi="宋体" w:eastAsia="黑体" w:cs="黑体"/>
                                <w:b/>
                                <w:bCs/>
                                <w:color w:val="000000" w:themeColor="text1"/>
                                <w:sz w:val="44"/>
                                <w:szCs w:val="44"/>
                                <w14:textFill>
                                  <w14:solidFill>
                                    <w14:schemeClr w14:val="tx1"/>
                                  </w14:solidFill>
                                </w14:textFill>
                              </w:rPr>
                              <w:t>审计中介服务机构履约评价</w:t>
                            </w:r>
                            <w:r>
                              <w:rPr>
                                <w:rFonts w:hint="eastAsia" w:ascii="黑体" w:hAnsi="宋体" w:eastAsia="黑体" w:cs="黑体"/>
                                <w:b/>
                                <w:bCs/>
                                <w:color w:val="000000" w:themeColor="text1"/>
                                <w:sz w:val="44"/>
                                <w:szCs w:val="44"/>
                                <w:lang w:val="en-US" w:eastAsia="zh-CN"/>
                                <w14:textFill>
                                  <w14:solidFill>
                                    <w14:schemeClr w14:val="tx1"/>
                                  </w14:solidFill>
                                </w14:textFill>
                              </w:rPr>
                              <w:t>规则</w:t>
                            </w:r>
                          </w:p>
                        </w:txbxContent>
                      </wps:txbx>
                      <wps:bodyPr rot="0" vert="horz" wrap="square" lIns="91440" tIns="45720" rIns="91440" bIns="45720" anchor="t" anchorCtr="0" upright="1">
                        <a:noAutofit/>
                      </wps:bodyPr>
                    </wps:wsp>
                  </a:graphicData>
                </a:graphic>
              </wp:anchor>
            </w:drawing>
          </mc:Choice>
          <mc:Fallback>
            <w:pict>
              <v:shape id="Text Box 11" o:spid="_x0000_s1026" o:spt="202" type="#_x0000_t202" style="position:absolute;left:0pt;margin-left:-0.65pt;margin-top:380.65pt;height:51.65pt;width:495.8pt;z-index:251664384;mso-width-relative:page;mso-height-relative:page;" fillcolor="#FFFFFF" filled="t" stroked="f" coordsize="21600,21600" o:gfxdata="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iBXFU1wAAAAoBAAAP&#10;AAAAAAAAAAEAIAAAACIAAABkcnMvZG93bnJldi54bWxQSwECFAAUAAAACACHTuJAAheNYhkCAAA/&#10;BAAADgAAAAAAAAABACAAAAAmAQAAZHJzL2Uyb0RvYy54bWxQSwUGAAAAAAYABgBZAQAAsQUAAAAA&#10;">
                <v:fill on="t" focussize="0,0"/>
                <v:stroke on="f"/>
                <v:imagedata o:title=""/>
                <o:lock v:ext="edit" aspectratio="f"/>
                <v:textbox>
                  <w:txbxContent>
                    <w:p>
                      <w:pPr>
                        <w:wordWrap w:val="0"/>
                        <w:jc w:val="right"/>
                        <w:rPr>
                          <w:rFonts w:hint="eastAsia" w:ascii="黑体" w:hAnsi="宋体" w:eastAsia="黑体" w:cs="黑体"/>
                          <w:b/>
                          <w:bCs/>
                          <w:color w:val="000000" w:themeColor="text1"/>
                          <w:sz w:val="44"/>
                          <w:szCs w:val="44"/>
                          <w:lang w:eastAsia="zh-CN"/>
                          <w14:textFill>
                            <w14:solidFill>
                              <w14:schemeClr w14:val="tx1"/>
                            </w14:solidFill>
                          </w14:textFill>
                        </w:rPr>
                      </w:pPr>
                      <w:r>
                        <w:rPr>
                          <w:rFonts w:hint="eastAsia" w:ascii="黑体" w:hAnsi="宋体" w:eastAsia="黑体" w:cs="黑体"/>
                          <w:b/>
                          <w:bCs/>
                          <w:color w:val="000000" w:themeColor="text1"/>
                          <w:sz w:val="44"/>
                          <w:szCs w:val="44"/>
                          <w14:textFill>
                            <w14:solidFill>
                              <w14:schemeClr w14:val="tx1"/>
                            </w14:solidFill>
                          </w14:textFill>
                        </w:rPr>
                        <w:t>审计中介服务机构履约评价</w:t>
                      </w:r>
                      <w:r>
                        <w:rPr>
                          <w:rFonts w:hint="eastAsia" w:ascii="黑体" w:hAnsi="宋体" w:eastAsia="黑体" w:cs="黑体"/>
                          <w:b/>
                          <w:bCs/>
                          <w:color w:val="000000" w:themeColor="text1"/>
                          <w:sz w:val="44"/>
                          <w:szCs w:val="44"/>
                          <w:lang w:val="en-US" w:eastAsia="zh-CN"/>
                          <w14:textFill>
                            <w14:solidFill>
                              <w14:schemeClr w14:val="tx1"/>
                            </w14:solidFill>
                          </w14:textFill>
                        </w:rPr>
                        <w:t>规则</w:t>
                      </w:r>
                    </w:p>
                  </w:txbxContent>
                </v:textbox>
              </v:shape>
            </w:pict>
          </mc:Fallback>
        </mc:AlternateContent>
      </w:r>
      <w:r>
        <w:rPr>
          <w:rFonts w:eastAsia="仿宋_GB2312"/>
          <w:color w:val="auto"/>
          <w:sz w:val="28"/>
          <w:szCs w:val="28"/>
        </w:rPr>
        <w:drawing>
          <wp:anchor distT="0" distB="0" distL="114300" distR="114300" simplePos="0" relativeHeight="251659264" behindDoc="0" locked="0" layoutInCell="1" allowOverlap="1">
            <wp:simplePos x="0" y="0"/>
            <wp:positionH relativeFrom="page">
              <wp:posOffset>3175</wp:posOffset>
            </wp:positionH>
            <wp:positionV relativeFrom="page">
              <wp:posOffset>2540</wp:posOffset>
            </wp:positionV>
            <wp:extent cx="7548880" cy="7185025"/>
            <wp:effectExtent l="0" t="0" r="13970" b="15875"/>
            <wp:wrapSquare wrapText="bothSides"/>
            <wp:docPr id="9" name="图片 9"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02-L [Converted]"/>
                    <pic:cNvPicPr>
                      <a:picLocks noChangeAspect="1" noChangeArrowheads="1"/>
                    </pic:cNvPicPr>
                  </pic:nvPicPr>
                  <pic:blipFill>
                    <a:blip r:embed="rId8" cstate="print"/>
                    <a:srcRect/>
                    <a:stretch>
                      <a:fillRect/>
                    </a:stretch>
                  </pic:blipFill>
                  <pic:spPr>
                    <a:xfrm>
                      <a:off x="0" y="0"/>
                      <a:ext cx="7548880" cy="7185025"/>
                    </a:xfrm>
                    <a:prstGeom prst="rect">
                      <a:avLst/>
                    </a:prstGeom>
                    <a:noFill/>
                    <a:ln w="9525">
                      <a:noFill/>
                      <a:miter lim="800000"/>
                      <a:headEnd/>
                      <a:tailEnd/>
                    </a:ln>
                  </pic:spPr>
                </pic:pic>
              </a:graphicData>
            </a:graphic>
          </wp:anchor>
        </w:drawing>
      </w:r>
      <w:r>
        <w:rPr>
          <w:rFonts w:eastAsia="仿宋_GB2312"/>
          <w:color w:val="auto"/>
          <w:sz w:val="28"/>
          <w:szCs w:val="28"/>
        </w:rPr>
        <mc:AlternateContent>
          <mc:Choice Requires="wps">
            <w:drawing>
              <wp:anchor distT="0" distB="0" distL="114300" distR="114300" simplePos="0" relativeHeight="251663360" behindDoc="0" locked="0" layoutInCell="1" allowOverlap="1">
                <wp:simplePos x="0" y="0"/>
                <wp:positionH relativeFrom="column">
                  <wp:posOffset>330835</wp:posOffset>
                </wp:positionH>
                <wp:positionV relativeFrom="paragraph">
                  <wp:posOffset>3940175</wp:posOffset>
                </wp:positionV>
                <wp:extent cx="5810885" cy="617855"/>
                <wp:effectExtent l="0" t="0" r="18415" b="10795"/>
                <wp:wrapNone/>
                <wp:docPr id="8" name="Text Box 10"/>
                <wp:cNvGraphicFramePr/>
                <a:graphic xmlns:a="http://schemas.openxmlformats.org/drawingml/2006/main">
                  <a:graphicData uri="http://schemas.microsoft.com/office/word/2010/wordprocessingShape">
                    <wps:wsp>
                      <wps:cNvSpPr txBox="1">
                        <a:spLocks noChangeArrowheads="1"/>
                      </wps:cNvSpPr>
                      <wps:spPr bwMode="auto">
                        <a:xfrm>
                          <a:off x="0" y="0"/>
                          <a:ext cx="5810885" cy="617855"/>
                        </a:xfrm>
                        <a:prstGeom prst="rect">
                          <a:avLst/>
                        </a:prstGeom>
                        <a:solidFill>
                          <a:srgbClr val="FFFFFF"/>
                        </a:solidFill>
                        <a:ln>
                          <a:noFill/>
                        </a:ln>
                      </wps:spPr>
                      <wps:txbx>
                        <w:txbxContent>
                          <w:p>
                            <w:pPr>
                              <w:jc w:val="right"/>
                              <w:rPr>
                                <w:rFonts w:ascii="黑体" w:hAnsi="宋体" w:eastAsia="黑体" w:cs="黑体"/>
                                <w:b/>
                                <w:bCs/>
                                <w:color w:val="000000" w:themeColor="text1"/>
                                <w:sz w:val="48"/>
                                <w:szCs w:val="28"/>
                                <w14:textFill>
                                  <w14:solidFill>
                                    <w14:schemeClr w14:val="tx1"/>
                                  </w14:solidFill>
                                </w14:textFill>
                              </w:rPr>
                            </w:pPr>
                            <w:r>
                              <w:rPr>
                                <w:rFonts w:hint="eastAsia" w:ascii="黑体" w:hAnsi="宋体" w:eastAsia="黑体" w:cs="黑体"/>
                                <w:b/>
                                <w:bCs/>
                                <w:color w:val="000000" w:themeColor="text1"/>
                                <w:sz w:val="48"/>
                                <w:szCs w:val="28"/>
                                <w14:textFill>
                                  <w14:solidFill>
                                    <w14:schemeClr w14:val="tx1"/>
                                  </w14:solidFill>
                                </w14:textFill>
                              </w:rPr>
                              <w:t>中国南方电网有限责任公司</w:t>
                            </w:r>
                          </w:p>
                        </w:txbxContent>
                      </wps:txbx>
                      <wps:bodyPr rot="0" vert="horz" wrap="square" lIns="91440" tIns="45720" rIns="91440" bIns="45720" anchor="t" anchorCtr="0" upright="1">
                        <a:noAutofit/>
                      </wps:bodyPr>
                    </wps:wsp>
                  </a:graphicData>
                </a:graphic>
              </wp:anchor>
            </w:drawing>
          </mc:Choice>
          <mc:Fallback>
            <w:pict>
              <v:shape id="Text Box 10" o:spid="_x0000_s1026" o:spt="202" type="#_x0000_t202" style="position:absolute;left:0pt;margin-left:26.05pt;margin-top:310.25pt;height:48.65pt;width:457.55pt;z-index:251663360;mso-width-relative:page;mso-height-relative:page;" fillcolor="#FFFFFF" filled="t" stroked="f" coordsize="21600,21600" o:gfxdata="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FTEezNgAAAAK&#10;AQAADwAAAAAAAAABACAAAAAiAAAAZHJzL2Rvd25yZXYueG1sUEsBAhQAFAAAAAgAh07iQKlLWjIc&#10;AgAAPgQAAA4AAAAAAAAAAQAgAAAAJwEAAGRycy9lMm9Eb2MueG1sUEsFBgAAAAAGAAYAWQEAALUF&#10;AAAAAA==&#10;">
                <v:fill on="t" focussize="0,0"/>
                <v:stroke on="f"/>
                <v:imagedata o:title=""/>
                <o:lock v:ext="edit" aspectratio="f"/>
                <v:textbox>
                  <w:txbxContent>
                    <w:p>
                      <w:pPr>
                        <w:jc w:val="right"/>
                        <w:rPr>
                          <w:rFonts w:ascii="黑体" w:hAnsi="宋体" w:eastAsia="黑体" w:cs="黑体"/>
                          <w:b/>
                          <w:bCs/>
                          <w:color w:val="000000" w:themeColor="text1"/>
                          <w:sz w:val="48"/>
                          <w:szCs w:val="28"/>
                          <w14:textFill>
                            <w14:solidFill>
                              <w14:schemeClr w14:val="tx1"/>
                            </w14:solidFill>
                          </w14:textFill>
                        </w:rPr>
                      </w:pPr>
                      <w:r>
                        <w:rPr>
                          <w:rFonts w:hint="eastAsia" w:ascii="黑体" w:hAnsi="宋体" w:eastAsia="黑体" w:cs="黑体"/>
                          <w:b/>
                          <w:bCs/>
                          <w:color w:val="000000" w:themeColor="text1"/>
                          <w:sz w:val="48"/>
                          <w:szCs w:val="28"/>
                          <w14:textFill>
                            <w14:solidFill>
                              <w14:schemeClr w14:val="tx1"/>
                            </w14:solidFill>
                          </w14:textFill>
                        </w:rPr>
                        <w:t>中国南方电网有限责任公司</w:t>
                      </w:r>
                    </w:p>
                  </w:txbxContent>
                </v:textbox>
              </v:shape>
            </w:pict>
          </mc:Fallback>
        </mc:AlternateContent>
      </w:r>
    </w:p>
    <w:p>
      <w:pPr>
        <w:spacing w:line="360" w:lineRule="auto"/>
        <w:ind w:left="210" w:leftChars="100" w:right="210" w:rightChars="100"/>
        <w:rPr>
          <w:rFonts w:eastAsia="仿宋_GB2312"/>
          <w:color w:val="auto"/>
          <w:sz w:val="28"/>
          <w:szCs w:val="28"/>
        </w:rPr>
        <w:sectPr>
          <w:footerReference r:id="rId4" w:type="default"/>
          <w:headerReference r:id="rId3" w:type="even"/>
          <w:pgSz w:w="11906" w:h="16838"/>
          <w:pgMar w:top="284" w:right="284" w:bottom="284" w:left="284" w:header="851" w:footer="992" w:gutter="0"/>
          <w:pgNumType w:fmt="decimal" w:start="1"/>
          <w:cols w:space="720" w:num="1"/>
          <w:docGrid w:type="lines" w:linePitch="312" w:charSpace="0"/>
        </w:sectPr>
      </w:pPr>
      <w:r>
        <w:rPr>
          <w:rFonts w:eastAsia="仿宋_GB2312"/>
          <w:color w:val="auto"/>
          <w:sz w:val="28"/>
          <w:szCs w:val="28"/>
        </w:rPr>
        <mc:AlternateContent>
          <mc:Choice Requires="wps">
            <w:drawing>
              <wp:anchor distT="0" distB="0" distL="114300" distR="114300" simplePos="0" relativeHeight="251662336" behindDoc="0" locked="0" layoutInCell="1" allowOverlap="1">
                <wp:simplePos x="0" y="0"/>
                <wp:positionH relativeFrom="column">
                  <wp:posOffset>-180340</wp:posOffset>
                </wp:positionH>
                <wp:positionV relativeFrom="paragraph">
                  <wp:posOffset>1228090</wp:posOffset>
                </wp:positionV>
                <wp:extent cx="7548880" cy="1270000"/>
                <wp:effectExtent l="0" t="0" r="13970" b="6350"/>
                <wp:wrapTopAndBottom/>
                <wp:docPr id="7" name="Rectangle 4"/>
                <wp:cNvGraphicFramePr/>
                <a:graphic xmlns:a="http://schemas.openxmlformats.org/drawingml/2006/main">
                  <a:graphicData uri="http://schemas.microsoft.com/office/word/2010/wordprocessingShape">
                    <wps:wsp>
                      <wps:cNvSpPr>
                        <a:spLocks noChangeArrowheads="1"/>
                      </wps:cNvSpPr>
                      <wps:spPr bwMode="auto">
                        <a:xfrm>
                          <a:off x="0" y="0"/>
                          <a:ext cx="7548880" cy="1270000"/>
                        </a:xfrm>
                        <a:prstGeom prst="rect">
                          <a:avLst/>
                        </a:prstGeom>
                        <a:solidFill>
                          <a:srgbClr val="FFFFFF"/>
                        </a:solidFill>
                        <a:ln>
                          <a:noFill/>
                        </a:ln>
                      </wps:spPr>
                      <wps:txbx>
                        <w:txbxContent>
                          <w:p>
                            <w:pPr>
                              <w:jc w:val="center"/>
                              <w:rPr>
                                <w:rFonts w:hint="eastAsia" w:ascii="黑体" w:hAnsi="宋体" w:eastAsia="黑体"/>
                                <w:b/>
                                <w:color w:val="000000" w:themeColor="text1"/>
                                <w:sz w:val="30"/>
                                <w:szCs w:val="30"/>
                                <w14:textFill>
                                  <w14:solidFill>
                                    <w14:schemeClr w14:val="tx1"/>
                                  </w14:solidFill>
                                </w14:textFill>
                              </w:rPr>
                            </w:pPr>
                            <w:r>
                              <w:rPr>
                                <w:rFonts w:hint="eastAsia" w:ascii="黑体" w:hAnsi="宋体" w:eastAsia="黑体"/>
                                <w:b/>
                                <w:color w:val="000000" w:themeColor="text1"/>
                                <w:sz w:val="30"/>
                                <w:szCs w:val="30"/>
                                <w14:textFill>
                                  <w14:solidFill>
                                    <w14:schemeClr w14:val="tx1"/>
                                  </w14:solidFill>
                                </w14:textFill>
                              </w:rPr>
                              <w:t>公司</w:t>
                            </w:r>
                            <w:r>
                              <w:rPr>
                                <w:rFonts w:hint="eastAsia" w:ascii="黑体" w:hAnsi="宋体" w:eastAsia="黑体"/>
                                <w:b/>
                                <w:color w:val="000000" w:themeColor="text1"/>
                                <w:sz w:val="30"/>
                                <w:szCs w:val="30"/>
                                <w:lang w:val="en-US" w:eastAsia="zh-CN"/>
                                <w14:textFill>
                                  <w14:solidFill>
                                    <w14:schemeClr w14:val="tx1"/>
                                  </w14:solidFill>
                                </w14:textFill>
                              </w:rPr>
                              <w:t>审计</w:t>
                            </w:r>
                            <w:r>
                              <w:rPr>
                                <w:rFonts w:hint="eastAsia" w:ascii="黑体" w:hAnsi="宋体" w:eastAsia="黑体"/>
                                <w:b/>
                                <w:color w:val="000000" w:themeColor="text1"/>
                                <w:sz w:val="30"/>
                                <w:szCs w:val="30"/>
                                <w14:textFill>
                                  <w14:solidFill>
                                    <w14:schemeClr w14:val="tx1"/>
                                  </w14:solidFill>
                                </w14:textFill>
                              </w:rPr>
                              <w:t>部</w:t>
                            </w:r>
                          </w:p>
                          <w:p>
                            <w:pPr>
                              <w:jc w:val="center"/>
                              <w:rPr>
                                <w:rFonts w:hint="default" w:eastAsia="黑体"/>
                                <w:lang w:val="en-US" w:eastAsia="zh-CN"/>
                              </w:rPr>
                            </w:pPr>
                            <w:r>
                              <w:rPr>
                                <w:rFonts w:hint="eastAsia" w:ascii="黑体" w:hAnsi="宋体" w:eastAsia="黑体"/>
                                <w:b/>
                                <w:color w:val="000000" w:themeColor="text1"/>
                                <w:sz w:val="30"/>
                                <w:szCs w:val="30"/>
                                <w:lang w:val="en-US" w:eastAsia="zh-CN"/>
                                <w14:textFill>
                                  <w14:solidFill>
                                    <w14:schemeClr w14:val="tx1"/>
                                  </w14:solidFill>
                                </w14:textFill>
                              </w:rPr>
                              <w:t>公司供应链部</w:t>
                            </w:r>
                          </w:p>
                          <w:p>
                            <w:pPr>
                              <w:jc w:val="center"/>
                              <w:rPr>
                                <w:rFonts w:ascii="黑体" w:hAnsi="宋体" w:eastAsia="黑体"/>
                                <w:b/>
                                <w:color w:val="000000" w:themeColor="text1"/>
                                <w:sz w:val="30"/>
                                <w:szCs w:val="30"/>
                                <w14:textFill>
                                  <w14:solidFill>
                                    <w14:schemeClr w14:val="tx1"/>
                                  </w14:solidFill>
                                </w14:textFill>
                              </w:rPr>
                            </w:pPr>
                            <w:r>
                              <w:rPr>
                                <w:rFonts w:hint="eastAsia" w:ascii="黑体" w:hAnsi="宋体" w:eastAsia="黑体"/>
                                <w:b/>
                                <w:color w:val="000000" w:themeColor="text1"/>
                                <w:sz w:val="30"/>
                                <w:szCs w:val="30"/>
                                <w14:textFill>
                                  <w14:solidFill>
                                    <w14:schemeClr w14:val="tx1"/>
                                  </w14:solidFill>
                                </w14:textFill>
                              </w:rPr>
                              <w:t>二〇二</w:t>
                            </w:r>
                            <w:r>
                              <w:rPr>
                                <w:rFonts w:hint="eastAsia" w:ascii="黑体" w:hAnsi="宋体" w:eastAsia="黑体"/>
                                <w:b/>
                                <w:color w:val="000000" w:themeColor="text1"/>
                                <w:sz w:val="30"/>
                                <w:szCs w:val="30"/>
                                <w:lang w:val="en-US" w:eastAsia="zh-CN"/>
                                <w14:textFill>
                                  <w14:solidFill>
                                    <w14:schemeClr w14:val="tx1"/>
                                  </w14:solidFill>
                                </w14:textFill>
                              </w:rPr>
                              <w:t>五</w:t>
                            </w:r>
                            <w:r>
                              <w:rPr>
                                <w:rFonts w:hint="eastAsia" w:ascii="黑体" w:hAnsi="宋体" w:eastAsia="黑体"/>
                                <w:b/>
                                <w:color w:val="000000" w:themeColor="text1"/>
                                <w:sz w:val="30"/>
                                <w:szCs w:val="30"/>
                                <w14:textFill>
                                  <w14:solidFill>
                                    <w14:schemeClr w14:val="tx1"/>
                                  </w14:solidFill>
                                </w14:textFill>
                              </w:rPr>
                              <w:t>年</w:t>
                            </w:r>
                            <w:r>
                              <w:rPr>
                                <w:rFonts w:hint="eastAsia" w:ascii="黑体" w:hAnsi="宋体" w:eastAsia="黑体"/>
                                <w:b/>
                                <w:color w:val="000000" w:themeColor="text1"/>
                                <w:sz w:val="30"/>
                                <w:szCs w:val="30"/>
                                <w:lang w:val="en-US" w:eastAsia="zh-CN"/>
                                <w14:textFill>
                                  <w14:solidFill>
                                    <w14:schemeClr w14:val="tx1"/>
                                  </w14:solidFill>
                                </w14:textFill>
                              </w:rPr>
                              <w:t>一</w:t>
                            </w:r>
                            <w:r>
                              <w:rPr>
                                <w:rFonts w:hint="eastAsia" w:ascii="黑体" w:hAnsi="宋体" w:eastAsia="黑体"/>
                                <w:b/>
                                <w:color w:val="000000" w:themeColor="text1"/>
                                <w:sz w:val="30"/>
                                <w:szCs w:val="30"/>
                                <w14:textFill>
                                  <w14:solidFill>
                                    <w14:schemeClr w14:val="tx1"/>
                                  </w14:solidFill>
                                </w14:textFill>
                              </w:rPr>
                              <w:t>月</w:t>
                            </w:r>
                          </w:p>
                        </w:txbxContent>
                      </wps:txbx>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4.2pt;margin-top:96.7pt;height:100pt;width:594.4pt;mso-wrap-distance-bottom:0pt;mso-wrap-distance-top:0pt;z-index:251662336;mso-width-relative:page;mso-height-relative:page;" fillcolor="#FFFFFF" filled="t" stroked="f" coordsize="21600,21600" o:gfxdata="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atKoQ1wAAAAwBAAAPAAAA&#10;AAAAAAEAIAAAACIAAABkcnMvZG93bnJldi54bWxQSwECFAAUAAAACACHTuJADpbXcRYCAAA1BAAA&#10;DgAAAAAAAAABACAAAAAmAQAAZHJzL2Uyb0RvYy54bWxQSwUGAAAAAAYABgBZAQAArgUAAAAA&#10;">
                <v:fill on="t" focussize="0,0"/>
                <v:stroke on="f"/>
                <v:imagedata o:title=""/>
                <o:lock v:ext="edit" aspectratio="f"/>
                <v:textbox>
                  <w:txbxContent>
                    <w:p>
                      <w:pPr>
                        <w:jc w:val="center"/>
                        <w:rPr>
                          <w:rFonts w:hint="eastAsia" w:ascii="黑体" w:hAnsi="宋体" w:eastAsia="黑体"/>
                          <w:b/>
                          <w:color w:val="000000" w:themeColor="text1"/>
                          <w:sz w:val="30"/>
                          <w:szCs w:val="30"/>
                          <w14:textFill>
                            <w14:solidFill>
                              <w14:schemeClr w14:val="tx1"/>
                            </w14:solidFill>
                          </w14:textFill>
                        </w:rPr>
                      </w:pPr>
                      <w:r>
                        <w:rPr>
                          <w:rFonts w:hint="eastAsia" w:ascii="黑体" w:hAnsi="宋体" w:eastAsia="黑体"/>
                          <w:b/>
                          <w:color w:val="000000" w:themeColor="text1"/>
                          <w:sz w:val="30"/>
                          <w:szCs w:val="30"/>
                          <w14:textFill>
                            <w14:solidFill>
                              <w14:schemeClr w14:val="tx1"/>
                            </w14:solidFill>
                          </w14:textFill>
                        </w:rPr>
                        <w:t>公司</w:t>
                      </w:r>
                      <w:r>
                        <w:rPr>
                          <w:rFonts w:hint="eastAsia" w:ascii="黑体" w:hAnsi="宋体" w:eastAsia="黑体"/>
                          <w:b/>
                          <w:color w:val="000000" w:themeColor="text1"/>
                          <w:sz w:val="30"/>
                          <w:szCs w:val="30"/>
                          <w:lang w:val="en-US" w:eastAsia="zh-CN"/>
                          <w14:textFill>
                            <w14:solidFill>
                              <w14:schemeClr w14:val="tx1"/>
                            </w14:solidFill>
                          </w14:textFill>
                        </w:rPr>
                        <w:t>审计</w:t>
                      </w:r>
                      <w:r>
                        <w:rPr>
                          <w:rFonts w:hint="eastAsia" w:ascii="黑体" w:hAnsi="宋体" w:eastAsia="黑体"/>
                          <w:b/>
                          <w:color w:val="000000" w:themeColor="text1"/>
                          <w:sz w:val="30"/>
                          <w:szCs w:val="30"/>
                          <w14:textFill>
                            <w14:solidFill>
                              <w14:schemeClr w14:val="tx1"/>
                            </w14:solidFill>
                          </w14:textFill>
                        </w:rPr>
                        <w:t>部</w:t>
                      </w:r>
                    </w:p>
                    <w:p>
                      <w:pPr>
                        <w:jc w:val="center"/>
                        <w:rPr>
                          <w:rFonts w:hint="default" w:eastAsia="黑体"/>
                          <w:lang w:val="en-US" w:eastAsia="zh-CN"/>
                        </w:rPr>
                      </w:pPr>
                      <w:r>
                        <w:rPr>
                          <w:rFonts w:hint="eastAsia" w:ascii="黑体" w:hAnsi="宋体" w:eastAsia="黑体"/>
                          <w:b/>
                          <w:color w:val="000000" w:themeColor="text1"/>
                          <w:sz w:val="30"/>
                          <w:szCs w:val="30"/>
                          <w:lang w:val="en-US" w:eastAsia="zh-CN"/>
                          <w14:textFill>
                            <w14:solidFill>
                              <w14:schemeClr w14:val="tx1"/>
                            </w14:solidFill>
                          </w14:textFill>
                        </w:rPr>
                        <w:t>公司供应链部</w:t>
                      </w:r>
                    </w:p>
                    <w:p>
                      <w:pPr>
                        <w:jc w:val="center"/>
                        <w:rPr>
                          <w:rFonts w:ascii="黑体" w:hAnsi="宋体" w:eastAsia="黑体"/>
                          <w:b/>
                          <w:color w:val="000000" w:themeColor="text1"/>
                          <w:sz w:val="30"/>
                          <w:szCs w:val="30"/>
                          <w14:textFill>
                            <w14:solidFill>
                              <w14:schemeClr w14:val="tx1"/>
                            </w14:solidFill>
                          </w14:textFill>
                        </w:rPr>
                      </w:pPr>
                      <w:r>
                        <w:rPr>
                          <w:rFonts w:hint="eastAsia" w:ascii="黑体" w:hAnsi="宋体" w:eastAsia="黑体"/>
                          <w:b/>
                          <w:color w:val="000000" w:themeColor="text1"/>
                          <w:sz w:val="30"/>
                          <w:szCs w:val="30"/>
                          <w14:textFill>
                            <w14:solidFill>
                              <w14:schemeClr w14:val="tx1"/>
                            </w14:solidFill>
                          </w14:textFill>
                        </w:rPr>
                        <w:t>二〇二</w:t>
                      </w:r>
                      <w:r>
                        <w:rPr>
                          <w:rFonts w:hint="eastAsia" w:ascii="黑体" w:hAnsi="宋体" w:eastAsia="黑体"/>
                          <w:b/>
                          <w:color w:val="000000" w:themeColor="text1"/>
                          <w:sz w:val="30"/>
                          <w:szCs w:val="30"/>
                          <w:lang w:val="en-US" w:eastAsia="zh-CN"/>
                          <w14:textFill>
                            <w14:solidFill>
                              <w14:schemeClr w14:val="tx1"/>
                            </w14:solidFill>
                          </w14:textFill>
                        </w:rPr>
                        <w:t>五</w:t>
                      </w:r>
                      <w:r>
                        <w:rPr>
                          <w:rFonts w:hint="eastAsia" w:ascii="黑体" w:hAnsi="宋体" w:eastAsia="黑体"/>
                          <w:b/>
                          <w:color w:val="000000" w:themeColor="text1"/>
                          <w:sz w:val="30"/>
                          <w:szCs w:val="30"/>
                          <w14:textFill>
                            <w14:solidFill>
                              <w14:schemeClr w14:val="tx1"/>
                            </w14:solidFill>
                          </w14:textFill>
                        </w:rPr>
                        <w:t>年</w:t>
                      </w:r>
                      <w:r>
                        <w:rPr>
                          <w:rFonts w:hint="eastAsia" w:ascii="黑体" w:hAnsi="宋体" w:eastAsia="黑体"/>
                          <w:b/>
                          <w:color w:val="000000" w:themeColor="text1"/>
                          <w:sz w:val="30"/>
                          <w:szCs w:val="30"/>
                          <w:lang w:val="en-US" w:eastAsia="zh-CN"/>
                          <w14:textFill>
                            <w14:solidFill>
                              <w14:schemeClr w14:val="tx1"/>
                            </w14:solidFill>
                          </w14:textFill>
                        </w:rPr>
                        <w:t>一</w:t>
                      </w:r>
                      <w:r>
                        <w:rPr>
                          <w:rFonts w:hint="eastAsia" w:ascii="黑体" w:hAnsi="宋体" w:eastAsia="黑体"/>
                          <w:b/>
                          <w:color w:val="000000" w:themeColor="text1"/>
                          <w:sz w:val="30"/>
                          <w:szCs w:val="30"/>
                          <w14:textFill>
                            <w14:solidFill>
                              <w14:schemeClr w14:val="tx1"/>
                            </w14:solidFill>
                          </w14:textFill>
                        </w:rPr>
                        <w:t>月</w:t>
                      </w:r>
                    </w:p>
                  </w:txbxContent>
                </v:textbox>
                <w10:wrap type="topAndBottom"/>
              </v:rect>
            </w:pict>
          </mc:Fallback>
        </mc:AlternateContent>
      </w:r>
      <w:r>
        <w:rPr>
          <w:rFonts w:eastAsia="仿宋_GB2312"/>
          <w:color w:val="auto"/>
          <w:sz w:val="28"/>
          <w:szCs w:val="28"/>
        </w:rPr>
        <mc:AlternateContent>
          <mc:Choice Requires="wps">
            <w:drawing>
              <wp:anchor distT="0" distB="0" distL="114300" distR="114300" simplePos="0" relativeHeight="251660288" behindDoc="0" locked="0" layoutInCell="1" allowOverlap="1">
                <wp:simplePos x="0" y="0"/>
                <wp:positionH relativeFrom="column">
                  <wp:posOffset>1571625</wp:posOffset>
                </wp:positionH>
                <wp:positionV relativeFrom="paragraph">
                  <wp:posOffset>3640455</wp:posOffset>
                </wp:positionV>
                <wp:extent cx="4362450" cy="603885"/>
                <wp:effectExtent l="0" t="0" r="0" b="5715"/>
                <wp:wrapNone/>
                <wp:docPr id="6" name="Rectangle 5"/>
                <wp:cNvGraphicFramePr/>
                <a:graphic xmlns:a="http://schemas.openxmlformats.org/drawingml/2006/main">
                  <a:graphicData uri="http://schemas.microsoft.com/office/word/2010/wordprocessingShape">
                    <wps:wsp>
                      <wps:cNvSpPr>
                        <a:spLocks noChangeArrowheads="1"/>
                      </wps:cNvSpPr>
                      <wps:spPr bwMode="auto">
                        <a:xfrm>
                          <a:off x="0" y="0"/>
                          <a:ext cx="4362450" cy="603885"/>
                        </a:xfrm>
                        <a:prstGeom prst="rect">
                          <a:avLst/>
                        </a:prstGeom>
                        <a:solidFill>
                          <a:srgbClr val="FFFFFF"/>
                        </a:solidFill>
                        <a:ln>
                          <a:noFill/>
                        </a:ln>
                      </wps:spPr>
                      <wps:txbx>
                        <w:txbxContent>
                          <w:p>
                            <w:pPr>
                              <w:wordWrap w:val="0"/>
                              <w:jc w:val="right"/>
                              <w:rPr>
                                <w:rFonts w:eastAsia="黑体"/>
                                <w:b/>
                                <w:bCs/>
                                <w:color w:val="1F497D"/>
                                <w:sz w:val="48"/>
                                <w:szCs w:val="48"/>
                              </w:rPr>
                            </w:pPr>
                            <w:r>
                              <w:rPr>
                                <w:rFonts w:hint="eastAsia" w:eastAsia="黑体"/>
                                <w:b/>
                                <w:bCs/>
                                <w:color w:val="1F497D"/>
                                <w:sz w:val="48"/>
                                <w:szCs w:val="48"/>
                              </w:rPr>
                              <w:t>南方电网</w:t>
                            </w:r>
                          </w:p>
                          <w:p>
                            <w:pPr>
                              <w:rPr>
                                <w:sz w:val="48"/>
                                <w:szCs w:val="48"/>
                              </w:rPr>
                            </w:pPr>
                          </w:p>
                        </w:txbxContent>
                      </wps:txbx>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123.75pt;margin-top:286.65pt;height:47.55pt;width:343.5pt;z-index:251660288;mso-width-relative:page;mso-height-relative:page;" fillcolor="#FFFFFF" filled="t" stroked="f" coordsize="21600,21600" o:gfxdata="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ohtRz2QAAAAsBAAAP&#10;AAAAAAAAAAEAIAAAACIAAABkcnMvZG93bnJldi54bWxQSwECFAAUAAAACACHTuJAmFheaBcCAAA0&#10;BAAADgAAAAAAAAABACAAAAAoAQAAZHJzL2Uyb0RvYy54bWxQSwUGAAAAAAYABgBZAQAAsQUAAAAA&#10;">
                <v:fill on="t" focussize="0,0"/>
                <v:stroke on="f"/>
                <v:imagedata o:title=""/>
                <o:lock v:ext="edit" aspectratio="f"/>
                <v:textbox>
                  <w:txbxContent>
                    <w:p>
                      <w:pPr>
                        <w:wordWrap w:val="0"/>
                        <w:jc w:val="right"/>
                        <w:rPr>
                          <w:rFonts w:eastAsia="黑体"/>
                          <w:b/>
                          <w:bCs/>
                          <w:color w:val="1F497D"/>
                          <w:sz w:val="48"/>
                          <w:szCs w:val="48"/>
                        </w:rPr>
                      </w:pPr>
                      <w:r>
                        <w:rPr>
                          <w:rFonts w:hint="eastAsia" w:eastAsia="黑体"/>
                          <w:b/>
                          <w:bCs/>
                          <w:color w:val="1F497D"/>
                          <w:sz w:val="48"/>
                          <w:szCs w:val="48"/>
                        </w:rPr>
                        <w:t>南方电网</w:t>
                      </w:r>
                    </w:p>
                    <w:p>
                      <w:pPr>
                        <w:rPr>
                          <w:sz w:val="48"/>
                          <w:szCs w:val="48"/>
                        </w:rPr>
                      </w:pPr>
                    </w:p>
                  </w:txbxContent>
                </v:textbox>
              </v:rect>
            </w:pict>
          </mc:Fallback>
        </mc:AlternateContent>
      </w:r>
      <w:r>
        <w:rPr>
          <w:rFonts w:eastAsia="仿宋_GB2312"/>
          <w:color w:val="auto"/>
          <w:sz w:val="28"/>
          <w:szCs w:val="28"/>
        </w:rPr>
        <mc:AlternateContent>
          <mc:Choice Requires="wps">
            <w:drawing>
              <wp:anchor distT="0" distB="0" distL="114300" distR="114300" simplePos="0" relativeHeight="251661312" behindDoc="0" locked="0" layoutInCell="1" allowOverlap="1">
                <wp:simplePos x="0" y="0"/>
                <wp:positionH relativeFrom="column">
                  <wp:posOffset>585470</wp:posOffset>
                </wp:positionH>
                <wp:positionV relativeFrom="paragraph">
                  <wp:posOffset>4287520</wp:posOffset>
                </wp:positionV>
                <wp:extent cx="5486400" cy="792480"/>
                <wp:effectExtent l="0" t="0" r="0" b="7620"/>
                <wp:wrapNone/>
                <wp:docPr id="5" name="Rectangle 7"/>
                <wp:cNvGraphicFramePr/>
                <a:graphic xmlns:a="http://schemas.openxmlformats.org/drawingml/2006/main">
                  <a:graphicData uri="http://schemas.microsoft.com/office/word/2010/wordprocessingShape">
                    <wps:wsp>
                      <wps:cNvSpPr>
                        <a:spLocks noChangeArrowheads="1"/>
                      </wps:cNvSpPr>
                      <wps:spPr bwMode="auto">
                        <a:xfrm>
                          <a:off x="0" y="0"/>
                          <a:ext cx="5486400" cy="792480"/>
                        </a:xfrm>
                        <a:prstGeom prst="rect">
                          <a:avLst/>
                        </a:prstGeom>
                        <a:solidFill>
                          <a:srgbClr val="FFFFFF"/>
                        </a:solidFill>
                        <a:ln>
                          <a:noFill/>
                        </a:ln>
                      </wps:spPr>
                      <wps:txbx>
                        <w:txbxContent>
                          <w:p>
                            <w:pPr>
                              <w:jc w:val="right"/>
                              <w:rPr>
                                <w:rFonts w:eastAsia="黑体"/>
                                <w:b/>
                                <w:bCs/>
                                <w:color w:val="1F497D"/>
                                <w:sz w:val="52"/>
                                <w:szCs w:val="52"/>
                              </w:rPr>
                            </w:pPr>
                            <w:r>
                              <w:rPr>
                                <w:rFonts w:hint="eastAsia" w:eastAsia="黑体"/>
                                <w:b/>
                                <w:bCs/>
                                <w:color w:val="1F497D"/>
                                <w:sz w:val="52"/>
                                <w:szCs w:val="52"/>
                              </w:rPr>
                              <w:t>物资品控体系建设工作汇报</w:t>
                            </w:r>
                          </w:p>
                          <w:p>
                            <w:pPr>
                              <w:rPr>
                                <w:sz w:val="52"/>
                                <w:szCs w:val="52"/>
                              </w:rP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46.1pt;margin-top:337.6pt;height:62.4pt;width:432pt;z-index:251661312;mso-width-relative:page;mso-height-relative:page;" fillcolor="#FFFFFF" filled="t" stroked="f" coordsize="21600,21600" o:gfxdata="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ESirBPXAAAACgEAAA8A&#10;AAAAAAAAAQAgAAAAIgAAAGRycy9kb3ducmV2LnhtbFBLAQIUABQAAAAIAIdO4kCDdlljGAIAADQE&#10;AAAOAAAAAAAAAAEAIAAAACYBAABkcnMvZTJvRG9jLnhtbFBLBQYAAAAABgAGAFkBAACwBQAAAAA=&#10;">
                <v:fill on="t" focussize="0,0"/>
                <v:stroke on="f"/>
                <v:imagedata o:title=""/>
                <o:lock v:ext="edit" aspectratio="f"/>
                <v:textbox>
                  <w:txbxContent>
                    <w:p>
                      <w:pPr>
                        <w:jc w:val="right"/>
                        <w:rPr>
                          <w:rFonts w:eastAsia="黑体"/>
                          <w:b/>
                          <w:bCs/>
                          <w:color w:val="1F497D"/>
                          <w:sz w:val="52"/>
                          <w:szCs w:val="52"/>
                        </w:rPr>
                      </w:pPr>
                      <w:r>
                        <w:rPr>
                          <w:rFonts w:hint="eastAsia" w:eastAsia="黑体"/>
                          <w:b/>
                          <w:bCs/>
                          <w:color w:val="1F497D"/>
                          <w:sz w:val="52"/>
                          <w:szCs w:val="52"/>
                        </w:rPr>
                        <w:t>物资品控体系建设工作汇报</w:t>
                      </w:r>
                    </w:p>
                    <w:p>
                      <w:pPr>
                        <w:rPr>
                          <w:sz w:val="52"/>
                          <w:szCs w:val="52"/>
                        </w:rPr>
                      </w:pPr>
                    </w:p>
                  </w:txbxContent>
                </v:textbox>
              </v:rect>
            </w:pict>
          </mc:Fallback>
        </mc:AlternateContent>
      </w:r>
    </w:p>
    <w:p>
      <w:pPr>
        <w:pStyle w:val="7"/>
        <w:ind w:left="210" w:right="210" w:firstLine="562"/>
        <w:rPr>
          <w:color w:val="auto"/>
        </w:rPr>
      </w:pPr>
    </w:p>
    <w:p>
      <w:pPr>
        <w:wordWrap/>
        <w:jc w:val="center"/>
        <w:rPr>
          <w:rFonts w:hint="eastAsia" w:ascii="方正小标宋_GBK" w:hAnsi="方正小标宋_GBK" w:eastAsia="方正小标宋_GBK" w:cs="方正小标宋_GBK"/>
          <w:b/>
          <w:bCs/>
          <w:color w:val="auto"/>
          <w:sz w:val="44"/>
          <w:szCs w:val="44"/>
          <w:lang w:eastAsia="zh-CN"/>
        </w:rPr>
      </w:pPr>
      <w:r>
        <w:rPr>
          <w:rFonts w:hint="eastAsia" w:ascii="方正小标宋_GBK" w:hAnsi="方正小标宋_GBK" w:eastAsia="方正小标宋_GBK" w:cs="方正小标宋_GBK"/>
          <w:b/>
          <w:bCs/>
          <w:color w:val="auto"/>
          <w:sz w:val="44"/>
          <w:szCs w:val="44"/>
        </w:rPr>
        <w:t>审计中介服务机构履约评价</w:t>
      </w:r>
      <w:r>
        <w:rPr>
          <w:rFonts w:hint="eastAsia" w:ascii="方正小标宋_GBK" w:hAnsi="方正小标宋_GBK" w:eastAsia="方正小标宋_GBK" w:cs="方正小标宋_GBK"/>
          <w:b/>
          <w:bCs/>
          <w:color w:val="auto"/>
          <w:sz w:val="44"/>
          <w:szCs w:val="44"/>
          <w:lang w:val="en-US" w:eastAsia="zh-CN"/>
        </w:rPr>
        <w:t>规则</w:t>
      </w:r>
    </w:p>
    <w:p>
      <w:pPr>
        <w:pStyle w:val="7"/>
        <w:rPr>
          <w:color w:val="auto"/>
        </w:rPr>
      </w:pPr>
    </w:p>
    <w:bookmarkEnd w:id="0"/>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为规范审计中介机构</w:t>
      </w:r>
      <w:r>
        <w:rPr>
          <w:rFonts w:hint="eastAsia" w:ascii="楷体_GB2312" w:hAnsi="楷体_GB2312" w:eastAsia="楷体_GB2312" w:cs="楷体_GB2312"/>
          <w:color w:val="auto"/>
          <w:sz w:val="32"/>
          <w:szCs w:val="40"/>
          <w:lang w:val="en-US" w:eastAsia="zh-CN"/>
        </w:rPr>
        <w:t>（不含工程竣工决算审计委托的中介机构，下同）</w:t>
      </w:r>
      <w:r>
        <w:rPr>
          <w:rFonts w:hint="eastAsia" w:ascii="仿宋_GB2312" w:hAnsi="仿宋_GB2312" w:eastAsia="仿宋_GB2312" w:cs="仿宋_GB2312"/>
          <w:color w:val="auto"/>
          <w:sz w:val="32"/>
          <w:szCs w:val="40"/>
          <w:lang w:val="en-US" w:eastAsia="zh-CN"/>
        </w:rPr>
        <w:t>工作，促进审计中介机构不断提升履约质量，南方电网公司决定开展审计中介服务机构履约评价，并将评价结果反馈应用于审计项目中介服务采购环节。具体规则如下：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一、评价程序和内容</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outlineLvl w:val="9"/>
        <w:rPr>
          <w:rFonts w:hint="eastAsia" w:ascii="仿宋_GB2312" w:hAnsi="仿宋_GB2312" w:eastAsia="仿宋_GB2312" w:cs="仿宋_GB2312"/>
          <w:color w:val="auto"/>
          <w:sz w:val="32"/>
          <w:szCs w:val="40"/>
          <w:lang w:val="en-US" w:eastAsia="zh-CN"/>
        </w:rPr>
      </w:pPr>
      <w:bookmarkStart w:id="1" w:name="_Toc13727"/>
      <w:r>
        <w:rPr>
          <w:rFonts w:hint="eastAsia" w:ascii="仿宋_GB2312" w:hAnsi="仿宋_GB2312" w:eastAsia="仿宋_GB2312" w:cs="仿宋_GB2312"/>
          <w:color w:val="auto"/>
          <w:sz w:val="32"/>
          <w:szCs w:val="40"/>
          <w:lang w:val="en-US" w:eastAsia="zh-CN"/>
        </w:rPr>
        <w:t>原则上每年组织开展一次履约评价工作，评价对象为年度内公司系统受审计机构委托提供审计服务的中介机构。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outlineLvl w:val="1"/>
        <w:rPr>
          <w:rFonts w:hint="eastAsia" w:ascii="楷体" w:hAnsi="楷体" w:eastAsia="楷体" w:cs="楷体"/>
          <w:color w:val="auto"/>
          <w:sz w:val="32"/>
          <w:szCs w:val="40"/>
          <w:lang w:val="en-US" w:eastAsia="zh-CN"/>
        </w:rPr>
      </w:pPr>
      <w:r>
        <w:rPr>
          <w:rFonts w:hint="eastAsia" w:ascii="楷体" w:hAnsi="楷体" w:eastAsia="楷体" w:cs="楷体"/>
          <w:color w:val="auto"/>
          <w:sz w:val="32"/>
          <w:szCs w:val="40"/>
          <w:lang w:val="en-US" w:eastAsia="zh-CN"/>
        </w:rPr>
        <w:t>（一）评价程序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1.评价原则。按照“谁委托、谁评价”“一项目一评价”的原则，对审计中介机构开展评价。</w:t>
      </w:r>
    </w:p>
    <w:bookmarkEnd w:id="1"/>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2.评价主体。中介机构配合实施的审计项目由审计组组长组织项目主审及小组长等关键人员组成评价小组，对中介机构进行评价；中介机构独立实施的审计项目由委托单位审计机构进行评价，评价结果均经本级审计部负责人审核。</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bookmarkStart w:id="2" w:name="_Toc21188"/>
      <w:bookmarkStart w:id="3" w:name="_Toc13621"/>
      <w:r>
        <w:rPr>
          <w:rFonts w:hint="eastAsia" w:ascii="仿宋_GB2312" w:hAnsi="仿宋_GB2312" w:eastAsia="仿宋_GB2312" w:cs="仿宋_GB2312"/>
          <w:color w:val="auto"/>
          <w:sz w:val="32"/>
          <w:szCs w:val="40"/>
          <w:lang w:val="en-US" w:eastAsia="zh-CN"/>
        </w:rPr>
        <w:t>3.评价涉及的扣分、加分项，应提供相应的记录、证明材料，在项目审计报告印发后，审计组将评价结果及证明资料提交委托单位审计机构负责人进行审核，形成最终评价得分。</w:t>
      </w:r>
    </w:p>
    <w:bookmarkEnd w:id="2"/>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4.</w:t>
      </w:r>
      <w:bookmarkEnd w:id="3"/>
      <w:bookmarkStart w:id="4" w:name="_Toc31653"/>
      <w:r>
        <w:rPr>
          <w:rFonts w:hint="eastAsia" w:ascii="仿宋_GB2312" w:hAnsi="仿宋_GB2312" w:eastAsia="仿宋_GB2312" w:cs="仿宋_GB2312"/>
          <w:color w:val="auto"/>
          <w:sz w:val="32"/>
          <w:szCs w:val="40"/>
          <w:lang w:val="en-US" w:eastAsia="zh-CN"/>
        </w:rPr>
        <w:t>每年年底（或次年年初），公司审计部收集公司本部及各二级单位审计部门对当年度（或上一年度）审计中介机构实施全部项目的履约评价得分明细，以审计中介机构为单位进行评价。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bookmarkStart w:id="5" w:name="_Toc7165"/>
      <w:r>
        <w:rPr>
          <w:rFonts w:hint="eastAsia" w:ascii="仿宋_GB2312" w:hAnsi="仿宋_GB2312" w:eastAsia="仿宋_GB2312" w:cs="仿宋_GB2312"/>
          <w:color w:val="auto"/>
          <w:sz w:val="32"/>
          <w:szCs w:val="40"/>
          <w:lang w:val="en-US" w:eastAsia="zh-CN"/>
        </w:rPr>
        <w:t>5.计算中介机构年度履约评价得分。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40"/>
          <w:lang w:val="en-US" w:eastAsia="zh-CN"/>
        </w:rPr>
      </w:pPr>
      <w:r>
        <w:rPr>
          <w:rFonts w:hint="eastAsia" w:ascii="仿宋_GB2312" w:hAnsi="仿宋_GB2312" w:eastAsia="仿宋_GB2312" w:cs="仿宋_GB2312"/>
          <w:b/>
          <w:bCs/>
          <w:color w:val="auto"/>
          <w:sz w:val="32"/>
          <w:szCs w:val="40"/>
          <w:lang w:val="en-US" w:eastAsia="zh-CN"/>
        </w:rPr>
        <w:t>中介机构年度履约评价得分＝</w:t>
      </w:r>
      <w:r>
        <w:rPr>
          <w:rFonts w:hint="eastAsia" w:ascii="仿宋_GB2312" w:hAnsi="仿宋_GB2312" w:eastAsia="仿宋_GB2312" w:cs="仿宋_GB2312"/>
          <w:b w:val="0"/>
          <w:bCs w:val="0"/>
          <w:color w:val="auto"/>
          <w:sz w:val="32"/>
          <w:szCs w:val="40"/>
          <w:lang w:val="en-US" w:eastAsia="zh-CN"/>
        </w:rPr>
        <w:t>∑各标的履约评价得分*该标的中标份额占该中介机构在全网中标份额的比重。</w:t>
      </w:r>
    </w:p>
    <w:p>
      <w:pPr>
        <w:numPr>
          <w:ilvl w:val="0"/>
          <w:numId w:val="0"/>
        </w:numPr>
        <w:spacing w:line="560" w:lineRule="exact"/>
        <w:ind w:firstLine="643" w:firstLineChars="200"/>
        <w:rPr>
          <w:rFonts w:hint="eastAsia" w:ascii="仿宋_GB2312" w:hAnsi="仿宋_GB2312" w:eastAsia="仿宋_GB2312" w:cs="仿宋_GB2312"/>
          <w:b w:val="0"/>
          <w:bCs w:val="0"/>
          <w:color w:val="auto"/>
          <w:sz w:val="32"/>
          <w:szCs w:val="40"/>
          <w:lang w:val="en-US" w:eastAsia="zh-CN"/>
        </w:rPr>
      </w:pPr>
      <w:r>
        <w:rPr>
          <w:rFonts w:hint="eastAsia" w:ascii="仿宋_GB2312" w:hAnsi="仿宋_GB2312" w:eastAsia="仿宋_GB2312" w:cs="仿宋_GB2312"/>
          <w:b/>
          <w:bCs/>
          <w:color w:val="auto"/>
          <w:sz w:val="32"/>
          <w:szCs w:val="40"/>
          <w:lang w:val="en-US" w:eastAsia="zh-CN"/>
        </w:rPr>
        <w:t>其中：各标的履约评价得分</w:t>
      </w:r>
      <w:r>
        <w:rPr>
          <w:rFonts w:hint="eastAsia" w:ascii="仿宋_GB2312" w:hAnsi="仿宋_GB2312" w:eastAsia="仿宋_GB2312" w:cs="仿宋_GB2312"/>
          <w:b w:val="0"/>
          <w:bCs w:val="0"/>
          <w:color w:val="auto"/>
          <w:sz w:val="32"/>
          <w:szCs w:val="40"/>
          <w:lang w:val="en-US" w:eastAsia="zh-CN"/>
        </w:rPr>
        <w:t>=该标的实施项目履约评价得分总和÷该标的实施项目数</w:t>
      </w:r>
    </w:p>
    <w:p>
      <w:pPr>
        <w:numPr>
          <w:ilvl w:val="0"/>
          <w:numId w:val="0"/>
        </w:numPr>
        <w:spacing w:line="560" w:lineRule="exact"/>
        <w:ind w:firstLine="640" w:firstLineChars="200"/>
        <w:rPr>
          <w:rFonts w:hint="default" w:ascii="仿宋_GB2312" w:hAnsi="仿宋_GB2312" w:eastAsia="仿宋_GB2312" w:cs="仿宋_GB2312"/>
          <w:b w:val="0"/>
          <w:bCs w:val="0"/>
          <w:color w:val="auto"/>
          <w:sz w:val="32"/>
          <w:szCs w:val="40"/>
          <w:lang w:val="en-US" w:eastAsia="zh-CN"/>
        </w:rPr>
      </w:pPr>
      <w:r>
        <w:rPr>
          <w:rFonts w:hint="eastAsia" w:ascii="仿宋_GB2312" w:hAnsi="仿宋_GB2312" w:eastAsia="仿宋_GB2312" w:cs="仿宋_GB2312"/>
          <w:b w:val="0"/>
          <w:bCs w:val="0"/>
          <w:color w:val="auto"/>
          <w:sz w:val="32"/>
          <w:szCs w:val="40"/>
          <w:lang w:val="en-US" w:eastAsia="zh-CN"/>
        </w:rPr>
        <w:t>6.中介机构所有服务项目中，如出现单个项目评价得分低于60分的情况，则该中介机构年度履约评价得分最高不超过80分。</w:t>
      </w:r>
    </w:p>
    <w:p>
      <w:pPr>
        <w:numPr>
          <w:ilvl w:val="0"/>
          <w:numId w:val="0"/>
        </w:numPr>
        <w:spacing w:line="560" w:lineRule="exact"/>
        <w:ind w:firstLine="640" w:firstLineChars="200"/>
        <w:rPr>
          <w:rFonts w:hint="default"/>
          <w:color w:val="auto"/>
          <w:lang w:val="en-US" w:eastAsia="zh-CN"/>
        </w:rPr>
      </w:pPr>
      <w:r>
        <w:rPr>
          <w:rFonts w:hint="eastAsia" w:ascii="仿宋_GB2312" w:hAnsi="仿宋_GB2312" w:eastAsia="仿宋_GB2312" w:cs="仿宋_GB2312"/>
          <w:color w:val="auto"/>
          <w:sz w:val="32"/>
          <w:szCs w:val="40"/>
          <w:lang w:val="en-US" w:eastAsia="zh-CN"/>
        </w:rPr>
        <w:t>7.</w:t>
      </w:r>
      <w:r>
        <w:rPr>
          <w:rFonts w:hint="eastAsia" w:ascii="仿宋_GB2312" w:hAnsi="仿宋_GB2312" w:eastAsia="仿宋_GB2312" w:cs="仿宋_GB2312"/>
          <w:color w:val="auto"/>
          <w:sz w:val="32"/>
          <w:szCs w:val="40"/>
        </w:rPr>
        <w:t>公司总部审计部不定期抽取年度审计项目评价情况，对评价的准确性、真实性进行抽查，对扣分、加分不真实、不准确的情况进行通报并纳入年度考核。</w:t>
      </w:r>
    </w:p>
    <w:bookmarkEnd w:id="4"/>
    <w:bookmarkEnd w:id="5"/>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outlineLvl w:val="1"/>
        <w:rPr>
          <w:rFonts w:hint="eastAsia" w:ascii="楷体" w:hAnsi="楷体" w:eastAsia="楷体" w:cs="楷体"/>
          <w:color w:val="auto"/>
          <w:sz w:val="32"/>
          <w:szCs w:val="40"/>
          <w:lang w:val="en-US" w:eastAsia="zh-CN"/>
        </w:rPr>
      </w:pPr>
      <w:r>
        <w:rPr>
          <w:rFonts w:hint="eastAsia" w:ascii="楷体" w:hAnsi="楷体" w:eastAsia="楷体" w:cs="楷体"/>
          <w:color w:val="auto"/>
          <w:sz w:val="32"/>
          <w:szCs w:val="40"/>
          <w:lang w:val="en-US" w:eastAsia="zh-CN"/>
        </w:rPr>
        <w:t>（二）评价内容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1.审计项目履约评价实行百分制，基本要素评价满分为100分，按照定性和定量评价相结合的方式，从合同履约情况、审计项目质量、专业胜任能力和职业道德、审计成果、资料归档情况五个维度，构建审计中介机构履约评价标准，具体计算公式如下：审计中介机构评价得分＝合同履约情况（15分）+审计项目质量（40分）+专业胜任能力和职业道德（20分）+审计成果（15分）+审计资料归档（10分）。</w:t>
      </w:r>
    </w:p>
    <w:p>
      <w:pPr>
        <w:pStyle w:val="2"/>
        <w:rPr>
          <w:rFonts w:hint="eastAsia" w:ascii="仿宋_GB2312" w:hAnsi="仿宋_GB2312" w:eastAsia="仿宋_GB2312" w:cs="仿宋_GB2312"/>
          <w:color w:val="auto"/>
          <w:sz w:val="32"/>
          <w:szCs w:val="40"/>
          <w:lang w:val="en-US" w:eastAsia="zh-CN"/>
        </w:rPr>
      </w:pPr>
    </w:p>
    <w:p>
      <w:pPr>
        <w:pStyle w:val="2"/>
        <w:rPr>
          <w:rFonts w:hint="eastAsia" w:ascii="仿宋_GB2312" w:hAnsi="仿宋_GB2312" w:eastAsia="仿宋_GB2312" w:cs="仿宋_GB2312"/>
          <w:color w:val="auto"/>
          <w:sz w:val="32"/>
          <w:szCs w:val="40"/>
          <w:lang w:val="en-US" w:eastAsia="zh-CN"/>
        </w:rPr>
      </w:pPr>
    </w:p>
    <w:p>
      <w:pPr>
        <w:pStyle w:val="2"/>
        <w:rPr>
          <w:rFonts w:hint="eastAsia" w:ascii="仿宋_GB2312" w:hAnsi="仿宋_GB2312" w:eastAsia="仿宋_GB2312" w:cs="仿宋_GB2312"/>
          <w:color w:val="auto"/>
          <w:sz w:val="32"/>
          <w:szCs w:val="40"/>
          <w:lang w:val="en-US" w:eastAsia="zh-CN"/>
        </w:rPr>
      </w:pPr>
    </w:p>
    <w:p>
      <w:pPr>
        <w:pStyle w:val="2"/>
        <w:rPr>
          <w:rFonts w:hint="eastAsia" w:ascii="仿宋_GB2312" w:hAnsi="仿宋_GB2312" w:eastAsia="仿宋_GB2312" w:cs="仿宋_GB2312"/>
          <w:color w:val="auto"/>
          <w:sz w:val="32"/>
          <w:szCs w:val="40"/>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outlineLvl w:val="9"/>
        <w:rPr>
          <w:rFonts w:hint="eastAsia"/>
          <w:color w:val="auto"/>
          <w:lang w:val="en-US" w:eastAsia="zh-CN"/>
        </w:rPr>
      </w:pPr>
      <w:bookmarkStart w:id="6" w:name="_Toc17095"/>
      <w:r>
        <w:rPr>
          <w:rFonts w:hint="eastAsia" w:ascii="楷体_GB2312" w:hAnsi="楷体_GB2312" w:eastAsia="楷体_GB2312" w:cs="楷体_GB2312"/>
          <w:color w:val="auto"/>
          <w:sz w:val="24"/>
          <w:szCs w:val="21"/>
          <w:highlight w:val="none"/>
          <w:lang w:val="en-US" w:eastAsia="zh-CN"/>
        </w:rPr>
        <w:t>表1 审计中介机构履约评价标准</w:t>
      </w:r>
      <w:bookmarkEnd w:id="6"/>
    </w:p>
    <w:tbl>
      <w:tblPr>
        <w:tblStyle w:val="14"/>
        <w:tblW w:w="833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5"/>
        <w:gridCol w:w="2549"/>
        <w:gridCol w:w="3793"/>
        <w:gridCol w:w="1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95" w:type="dxa"/>
            <w:tcBorders>
              <w:top w:val="single" w:color="000000" w:sz="4" w:space="0"/>
              <w:left w:val="single" w:color="000000" w:sz="4" w:space="0"/>
              <w:bottom w:val="single" w:color="000000" w:sz="4" w:space="0"/>
              <w:right w:val="single" w:color="000000" w:sz="4" w:space="0"/>
            </w:tcBorders>
            <w:shd w:val="clear" w:color="auto" w:fill="DDEBF7"/>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序号</w:t>
            </w:r>
          </w:p>
        </w:tc>
        <w:tc>
          <w:tcPr>
            <w:tcW w:w="2549" w:type="dxa"/>
            <w:tcBorders>
              <w:top w:val="single" w:color="000000" w:sz="4" w:space="0"/>
              <w:left w:val="single" w:color="000000" w:sz="4" w:space="0"/>
              <w:bottom w:val="single" w:color="000000" w:sz="4" w:space="0"/>
              <w:right w:val="single" w:color="000000" w:sz="4" w:space="0"/>
            </w:tcBorders>
            <w:shd w:val="clear" w:color="auto" w:fill="DDEBF7"/>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评价维度及权重</w:t>
            </w:r>
          </w:p>
        </w:tc>
        <w:tc>
          <w:tcPr>
            <w:tcW w:w="3793" w:type="dxa"/>
            <w:tcBorders>
              <w:top w:val="single" w:color="000000" w:sz="4" w:space="0"/>
              <w:left w:val="single" w:color="000000" w:sz="4" w:space="0"/>
              <w:bottom w:val="single" w:color="000000" w:sz="4" w:space="0"/>
              <w:right w:val="single" w:color="000000" w:sz="4" w:space="0"/>
            </w:tcBorders>
            <w:shd w:val="clear" w:color="auto" w:fill="DDEBF7"/>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评价要素</w:t>
            </w:r>
          </w:p>
        </w:tc>
        <w:tc>
          <w:tcPr>
            <w:tcW w:w="1200" w:type="dxa"/>
            <w:tcBorders>
              <w:top w:val="single" w:color="000000" w:sz="4" w:space="0"/>
              <w:left w:val="single" w:color="000000" w:sz="4" w:space="0"/>
              <w:bottom w:val="single" w:color="000000" w:sz="4" w:space="0"/>
              <w:right w:val="single" w:color="000000" w:sz="4" w:space="0"/>
            </w:tcBorders>
            <w:shd w:val="clear" w:color="auto" w:fill="DDEBF7"/>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bidi="ar"/>
              </w:rPr>
            </w:pPr>
            <w:r>
              <w:rPr>
                <w:rFonts w:hint="eastAsia" w:ascii="仿宋_GB2312" w:hAnsi="仿宋_GB2312" w:eastAsia="仿宋_GB2312" w:cs="仿宋_GB2312"/>
                <w:i w:val="0"/>
                <w:iCs w:val="0"/>
                <w:color w:val="auto"/>
                <w:kern w:val="0"/>
                <w:sz w:val="21"/>
                <w:szCs w:val="21"/>
                <w:highlight w:val="none"/>
                <w:u w:val="none"/>
                <w:lang w:val="en-US" w:eastAsia="zh-CN" w:bidi="ar"/>
              </w:rPr>
              <w:t>1</w:t>
            </w:r>
          </w:p>
        </w:tc>
        <w:tc>
          <w:tcPr>
            <w:tcW w:w="2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合同履约情况</w:t>
            </w:r>
          </w:p>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bidi="ar"/>
              </w:rPr>
            </w:pPr>
            <w:r>
              <w:rPr>
                <w:rFonts w:hint="eastAsia" w:ascii="仿宋_GB2312" w:hAnsi="仿宋_GB2312" w:eastAsia="仿宋_GB2312" w:cs="仿宋_GB2312"/>
                <w:i w:val="0"/>
                <w:iCs w:val="0"/>
                <w:color w:val="auto"/>
                <w:kern w:val="0"/>
                <w:sz w:val="21"/>
                <w:szCs w:val="21"/>
                <w:highlight w:val="none"/>
                <w:u w:val="none"/>
                <w:lang w:val="en-US" w:eastAsia="zh-CN" w:bidi="ar"/>
              </w:rPr>
              <w:t>（15%）</w:t>
            </w:r>
          </w:p>
        </w:tc>
        <w:tc>
          <w:tcPr>
            <w:tcW w:w="3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bidi="ar"/>
              </w:rPr>
            </w:pPr>
            <w:r>
              <w:rPr>
                <w:rFonts w:hint="eastAsia" w:ascii="仿宋_GB2312" w:hAnsi="仿宋_GB2312" w:eastAsia="仿宋_GB2312" w:cs="仿宋_GB2312"/>
                <w:i w:val="0"/>
                <w:iCs w:val="0"/>
                <w:color w:val="auto"/>
                <w:kern w:val="0"/>
                <w:sz w:val="21"/>
                <w:szCs w:val="21"/>
                <w:highlight w:val="none"/>
                <w:u w:val="none"/>
                <w:lang w:val="en-US" w:eastAsia="zh-CN" w:bidi="ar"/>
              </w:rPr>
              <w:t>中介机构响应和人员安排情况、审计报告提交及时性</w:t>
            </w:r>
          </w:p>
        </w:tc>
        <w:tc>
          <w:tcPr>
            <w:tcW w:w="12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bidi="ar"/>
              </w:rPr>
            </w:pPr>
            <w:r>
              <w:rPr>
                <w:rFonts w:hint="eastAsia" w:ascii="仿宋_GB2312" w:hAnsi="仿宋_GB2312" w:eastAsia="仿宋_GB2312" w:cs="仿宋_GB2312"/>
                <w:i w:val="0"/>
                <w:iCs w:val="0"/>
                <w:color w:val="auto"/>
                <w:kern w:val="0"/>
                <w:sz w:val="21"/>
                <w:szCs w:val="21"/>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2</w:t>
            </w:r>
          </w:p>
        </w:tc>
        <w:tc>
          <w:tcPr>
            <w:tcW w:w="2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审计项目质量</w:t>
            </w:r>
          </w:p>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（40%）</w:t>
            </w:r>
          </w:p>
        </w:tc>
        <w:tc>
          <w:tcPr>
            <w:tcW w:w="3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审前调查、审计方案执行、取证沟通等情况</w:t>
            </w:r>
          </w:p>
        </w:tc>
        <w:tc>
          <w:tcPr>
            <w:tcW w:w="12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bidi="ar"/>
              </w:rPr>
            </w:pPr>
            <w:r>
              <w:rPr>
                <w:rFonts w:hint="eastAsia" w:ascii="仿宋_GB2312" w:hAnsi="仿宋_GB2312" w:eastAsia="仿宋_GB2312" w:cs="仿宋_GB2312"/>
                <w:i w:val="0"/>
                <w:iCs w:val="0"/>
                <w:color w:val="auto"/>
                <w:kern w:val="0"/>
                <w:sz w:val="21"/>
                <w:szCs w:val="21"/>
                <w:highlight w:val="none"/>
                <w:u w:val="none"/>
                <w:lang w:val="en-US" w:eastAsia="zh-CN" w:bidi="ar"/>
              </w:rPr>
              <w:t>3</w:t>
            </w:r>
          </w:p>
        </w:tc>
        <w:tc>
          <w:tcPr>
            <w:tcW w:w="2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专业胜任能力和职业道德</w:t>
            </w:r>
          </w:p>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bidi="ar"/>
              </w:rPr>
            </w:pPr>
            <w:r>
              <w:rPr>
                <w:rFonts w:hint="eastAsia" w:ascii="仿宋_GB2312" w:hAnsi="仿宋_GB2312" w:eastAsia="仿宋_GB2312" w:cs="仿宋_GB2312"/>
                <w:i w:val="0"/>
                <w:iCs w:val="0"/>
                <w:color w:val="auto"/>
                <w:kern w:val="0"/>
                <w:sz w:val="21"/>
                <w:szCs w:val="21"/>
                <w:highlight w:val="none"/>
                <w:u w:val="none"/>
                <w:lang w:val="en-US" w:eastAsia="zh-CN" w:bidi="ar"/>
              </w:rPr>
              <w:t>（20%）</w:t>
            </w:r>
          </w:p>
        </w:tc>
        <w:tc>
          <w:tcPr>
            <w:tcW w:w="3793" w:type="dxa"/>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bidi="ar"/>
              </w:rPr>
            </w:pPr>
            <w:r>
              <w:rPr>
                <w:rFonts w:hint="eastAsia" w:ascii="仿宋_GB2312" w:hAnsi="仿宋_GB2312" w:eastAsia="仿宋_GB2312" w:cs="仿宋_GB2312"/>
                <w:i w:val="0"/>
                <w:iCs w:val="0"/>
                <w:color w:val="auto"/>
                <w:kern w:val="0"/>
                <w:sz w:val="21"/>
                <w:szCs w:val="21"/>
                <w:highlight w:val="none"/>
                <w:u w:val="none"/>
                <w:lang w:val="en-US" w:eastAsia="zh-CN" w:bidi="ar"/>
              </w:rPr>
              <w:t>派出人员资质、数量和勤勉尽责等职业道德情况</w:t>
            </w:r>
          </w:p>
        </w:tc>
        <w:tc>
          <w:tcPr>
            <w:tcW w:w="12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95" w:type="dxa"/>
            <w:tcBorders>
              <w:top w:val="single" w:color="000000" w:sz="4" w:space="0"/>
              <w:left w:val="single" w:color="000000" w:sz="4" w:space="0"/>
              <w:bottom w:val="nil"/>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bidi="ar"/>
              </w:rPr>
            </w:pPr>
            <w:r>
              <w:rPr>
                <w:rFonts w:hint="eastAsia" w:ascii="仿宋_GB2312" w:hAnsi="仿宋_GB2312" w:eastAsia="仿宋_GB2312" w:cs="仿宋_GB2312"/>
                <w:i w:val="0"/>
                <w:iCs w:val="0"/>
                <w:color w:val="auto"/>
                <w:kern w:val="0"/>
                <w:sz w:val="21"/>
                <w:szCs w:val="21"/>
                <w:highlight w:val="none"/>
                <w:u w:val="none"/>
                <w:lang w:val="en-US" w:eastAsia="zh-CN" w:bidi="ar"/>
              </w:rPr>
              <w:t>4</w:t>
            </w:r>
          </w:p>
        </w:tc>
        <w:tc>
          <w:tcPr>
            <w:tcW w:w="2549"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审计成果</w:t>
            </w:r>
          </w:p>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bidi="ar"/>
              </w:rPr>
            </w:pPr>
            <w:r>
              <w:rPr>
                <w:rFonts w:hint="eastAsia" w:ascii="仿宋_GB2312" w:hAnsi="仿宋_GB2312" w:eastAsia="仿宋_GB2312" w:cs="仿宋_GB2312"/>
                <w:i w:val="0"/>
                <w:iCs w:val="0"/>
                <w:color w:val="auto"/>
                <w:kern w:val="0"/>
                <w:sz w:val="21"/>
                <w:szCs w:val="21"/>
                <w:highlight w:val="none"/>
                <w:u w:val="none"/>
                <w:lang w:val="en-US" w:eastAsia="zh-CN" w:bidi="ar"/>
              </w:rPr>
              <w:t>（15%）</w:t>
            </w:r>
          </w:p>
        </w:tc>
        <w:tc>
          <w:tcPr>
            <w:tcW w:w="3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仿宋_GB2312" w:hAnsi="仿宋_GB2312" w:eastAsia="仿宋_GB2312" w:cs="仿宋_GB2312"/>
                <w:i w:val="0"/>
                <w:iCs w:val="0"/>
                <w:color w:val="auto"/>
                <w:kern w:val="0"/>
                <w:sz w:val="21"/>
                <w:szCs w:val="21"/>
                <w:highlight w:val="none"/>
                <w:u w:val="none"/>
                <w:lang w:val="en-US" w:bidi="ar"/>
              </w:rPr>
            </w:pPr>
            <w:r>
              <w:rPr>
                <w:rFonts w:hint="eastAsia" w:ascii="仿宋_GB2312" w:hAnsi="仿宋_GB2312" w:eastAsia="仿宋_GB2312" w:cs="仿宋_GB2312"/>
                <w:i w:val="0"/>
                <w:iCs w:val="0"/>
                <w:color w:val="auto"/>
                <w:kern w:val="0"/>
                <w:sz w:val="21"/>
                <w:szCs w:val="21"/>
                <w:highlight w:val="none"/>
                <w:u w:val="none"/>
                <w:lang w:val="en-US" w:eastAsia="zh-CN" w:bidi="ar"/>
              </w:rPr>
              <w:t>按要求编写审计报告、风险提示函、问题线索清单、审计专报或管理建议书等项目成果总结材料情况</w:t>
            </w:r>
          </w:p>
        </w:tc>
        <w:tc>
          <w:tcPr>
            <w:tcW w:w="1200" w:type="dxa"/>
            <w:tcBorders>
              <w:top w:val="single" w:color="000000" w:sz="4" w:space="0"/>
              <w:left w:val="single" w:color="000000" w:sz="4" w:space="0"/>
              <w:bottom w:val="nil"/>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仿宋_GB2312" w:hAnsi="仿宋_GB2312" w:eastAsia="仿宋_GB2312" w:cs="仿宋_GB2312"/>
                <w:i w:val="0"/>
                <w:iCs w:val="0"/>
                <w:color w:val="auto"/>
                <w:kern w:val="0"/>
                <w:sz w:val="21"/>
                <w:szCs w:val="21"/>
                <w:highlight w:val="none"/>
                <w:u w:val="none"/>
                <w:lang w:val="en-US" w:bidi="ar"/>
              </w:rPr>
            </w:pPr>
            <w:r>
              <w:rPr>
                <w:rFonts w:hint="eastAsia" w:ascii="仿宋_GB2312" w:hAnsi="仿宋_GB2312" w:eastAsia="仿宋_GB2312" w:cs="仿宋_GB2312"/>
                <w:i w:val="0"/>
                <w:iCs w:val="0"/>
                <w:color w:val="auto"/>
                <w:kern w:val="0"/>
                <w:sz w:val="21"/>
                <w:szCs w:val="21"/>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bidi="ar"/>
              </w:rPr>
            </w:pPr>
            <w:r>
              <w:rPr>
                <w:rFonts w:hint="eastAsia" w:ascii="仿宋_GB2312" w:hAnsi="仿宋_GB2312" w:eastAsia="仿宋_GB2312" w:cs="仿宋_GB2312"/>
                <w:i w:val="0"/>
                <w:iCs w:val="0"/>
                <w:color w:val="auto"/>
                <w:kern w:val="0"/>
                <w:sz w:val="21"/>
                <w:szCs w:val="21"/>
                <w:highlight w:val="none"/>
                <w:u w:val="none"/>
                <w:lang w:val="en-US" w:eastAsia="zh-CN" w:bidi="ar"/>
              </w:rPr>
              <w:t>5</w:t>
            </w:r>
          </w:p>
        </w:tc>
        <w:tc>
          <w:tcPr>
            <w:tcW w:w="2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审计资料归档</w:t>
            </w:r>
          </w:p>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bidi="ar"/>
              </w:rPr>
            </w:pPr>
            <w:r>
              <w:rPr>
                <w:rFonts w:hint="eastAsia" w:ascii="仿宋_GB2312" w:hAnsi="仿宋_GB2312" w:eastAsia="仿宋_GB2312" w:cs="仿宋_GB2312"/>
                <w:i w:val="0"/>
                <w:iCs w:val="0"/>
                <w:color w:val="auto"/>
                <w:kern w:val="0"/>
                <w:sz w:val="21"/>
                <w:szCs w:val="21"/>
                <w:highlight w:val="none"/>
                <w:u w:val="none"/>
                <w:lang w:val="en-US" w:eastAsia="zh-CN" w:bidi="ar"/>
              </w:rPr>
              <w:t>（10%）</w:t>
            </w:r>
          </w:p>
        </w:tc>
        <w:tc>
          <w:tcPr>
            <w:tcW w:w="37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资料归档格式规范、信息系统</w:t>
            </w:r>
          </w:p>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bidi="ar"/>
              </w:rPr>
            </w:pPr>
            <w:r>
              <w:rPr>
                <w:rFonts w:hint="eastAsia" w:ascii="仿宋_GB2312" w:hAnsi="仿宋_GB2312" w:eastAsia="仿宋_GB2312" w:cs="仿宋_GB2312"/>
                <w:i w:val="0"/>
                <w:iCs w:val="0"/>
                <w:color w:val="auto"/>
                <w:kern w:val="0"/>
                <w:sz w:val="21"/>
                <w:szCs w:val="21"/>
                <w:highlight w:val="none"/>
                <w:u w:val="none"/>
                <w:lang w:val="en-US" w:eastAsia="zh-CN" w:bidi="ar"/>
              </w:rPr>
              <w:t>使用情况等</w:t>
            </w:r>
          </w:p>
        </w:tc>
        <w:tc>
          <w:tcPr>
            <w:tcW w:w="12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7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p>
        </w:tc>
        <w:tc>
          <w:tcPr>
            <w:tcW w:w="634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合计</w:t>
            </w:r>
          </w:p>
        </w:tc>
        <w:tc>
          <w:tcPr>
            <w:tcW w:w="12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100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2.设置增值服务加分项，对发现重要问题等情况设置增值服务加分（详见表2），提升中介机构积极性，加分不超过20分。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outlineLvl w:val="9"/>
        <w:rPr>
          <w:rFonts w:hint="eastAsia"/>
          <w:color w:val="auto"/>
          <w:lang w:val="en-US" w:eastAsia="zh-CN"/>
        </w:rPr>
      </w:pPr>
      <w:r>
        <w:rPr>
          <w:rFonts w:hint="eastAsia" w:ascii="楷体_GB2312" w:hAnsi="楷体_GB2312" w:eastAsia="楷体_GB2312" w:cs="楷体_GB2312"/>
          <w:color w:val="auto"/>
          <w:sz w:val="24"/>
          <w:szCs w:val="21"/>
          <w:highlight w:val="none"/>
          <w:lang w:val="en-US" w:eastAsia="zh-CN"/>
        </w:rPr>
        <w:t>表2增值服务加分事项</w:t>
      </w:r>
    </w:p>
    <w:tbl>
      <w:tblPr>
        <w:tblStyle w:val="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7"/>
        <w:gridCol w:w="1645"/>
        <w:gridCol w:w="61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b/>
                <w:bCs/>
                <w:i w:val="0"/>
                <w:iCs w:val="0"/>
                <w:color w:val="auto"/>
                <w:kern w:val="0"/>
                <w:sz w:val="21"/>
                <w:szCs w:val="21"/>
                <w:highlight w:val="none"/>
                <w:u w:val="none"/>
                <w:lang w:val="en-US" w:eastAsia="zh-CN" w:bidi="ar"/>
              </w:rPr>
            </w:pPr>
            <w:r>
              <w:rPr>
                <w:rFonts w:hint="eastAsia" w:ascii="仿宋_GB2312" w:hAnsi="仿宋_GB2312" w:eastAsia="仿宋_GB2312" w:cs="仿宋_GB2312"/>
                <w:b/>
                <w:bCs/>
                <w:i w:val="0"/>
                <w:iCs w:val="0"/>
                <w:color w:val="auto"/>
                <w:kern w:val="0"/>
                <w:sz w:val="21"/>
                <w:szCs w:val="21"/>
                <w:highlight w:val="none"/>
                <w:u w:val="none"/>
                <w:lang w:val="en-US" w:eastAsia="zh-CN" w:bidi="ar"/>
              </w:rPr>
              <w:t>序号</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b/>
                <w:bCs/>
                <w:i w:val="0"/>
                <w:iCs w:val="0"/>
                <w:color w:val="auto"/>
                <w:kern w:val="0"/>
                <w:sz w:val="21"/>
                <w:szCs w:val="21"/>
                <w:highlight w:val="none"/>
                <w:u w:val="none"/>
                <w:lang w:val="en-US" w:eastAsia="zh-CN" w:bidi="ar"/>
              </w:rPr>
            </w:pPr>
            <w:r>
              <w:rPr>
                <w:rFonts w:hint="eastAsia" w:ascii="仿宋_GB2312" w:hAnsi="仿宋_GB2312" w:eastAsia="仿宋_GB2312" w:cs="仿宋_GB2312"/>
                <w:b/>
                <w:bCs/>
                <w:i w:val="0"/>
                <w:iCs w:val="0"/>
                <w:color w:val="auto"/>
                <w:kern w:val="0"/>
                <w:sz w:val="21"/>
                <w:szCs w:val="21"/>
                <w:highlight w:val="none"/>
                <w:u w:val="none"/>
                <w:lang w:val="en-US" w:eastAsia="zh-CN" w:bidi="ar"/>
              </w:rPr>
              <w:t>加分项目</w:t>
            </w:r>
          </w:p>
        </w:tc>
        <w:tc>
          <w:tcPr>
            <w:tcW w:w="6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b/>
                <w:bCs/>
                <w:i w:val="0"/>
                <w:iCs w:val="0"/>
                <w:color w:val="auto"/>
                <w:kern w:val="0"/>
                <w:sz w:val="21"/>
                <w:szCs w:val="21"/>
                <w:highlight w:val="none"/>
                <w:u w:val="none"/>
                <w:lang w:val="en-US" w:eastAsia="zh-CN" w:bidi="ar"/>
              </w:rPr>
            </w:pPr>
            <w:r>
              <w:rPr>
                <w:rFonts w:hint="eastAsia" w:ascii="仿宋_GB2312" w:hAnsi="仿宋_GB2312" w:eastAsia="仿宋_GB2312" w:cs="仿宋_GB2312"/>
                <w:b/>
                <w:bCs/>
                <w:i w:val="0"/>
                <w:iCs w:val="0"/>
                <w:color w:val="auto"/>
                <w:kern w:val="0"/>
                <w:sz w:val="21"/>
                <w:szCs w:val="21"/>
                <w:highlight w:val="none"/>
                <w:u w:val="none"/>
                <w:lang w:val="en-US" w:eastAsia="zh-CN" w:bidi="ar"/>
              </w:rPr>
              <w:t>评价内容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default"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发现重要问题</w:t>
            </w:r>
          </w:p>
        </w:tc>
        <w:tc>
          <w:tcPr>
            <w:tcW w:w="6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审计发现负面清单问题，或委托单位认可的重大审计问题，如私设小金库、截留挪用资金、侵占资产、营私舞弊等问题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挽回经济损失或增加公司收益</w:t>
            </w:r>
          </w:p>
        </w:tc>
        <w:tc>
          <w:tcPr>
            <w:tcW w:w="6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挽回公司损失或增加公司收益合并计算：50万元以内的，加2分，超过50万元小于100万元的，加4分，超过100万元小于500万元的，加4分，超过500万元的加5分，加分不累计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4"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违规经营追责和线索移交</w:t>
            </w:r>
          </w:p>
        </w:tc>
        <w:tc>
          <w:tcPr>
            <w:tcW w:w="6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发现涉及违规经营追责事项或涉嫌违纪违规并被移送纪检监督等部门处理的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8"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4</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成果意见和建议采纳情况</w:t>
            </w:r>
          </w:p>
        </w:tc>
        <w:tc>
          <w:tcPr>
            <w:tcW w:w="6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针对审计发现的重要问题或带有普遍性、苗头性、倾向性问题，中介机构可以形成管理建议书、风险提示函，且被公司采纳，促进公司加强管理、堵塞漏洞和完善内部控制的</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以上两项合计总分不超过120分，结果按百分制折算，详细评分表见附录A。</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3.设置“一票否决”事项。对年度内触犯重大违法违规违纪、重大审计差错事项的审计中介机构，实行“一票否决”管理</w:t>
      </w:r>
      <w:r>
        <w:rPr>
          <w:rFonts w:hint="eastAsia" w:ascii="楷体_GB2312" w:hAnsi="楷体_GB2312" w:eastAsia="楷体_GB2312" w:cs="楷体_GB2312"/>
          <w:color w:val="auto"/>
          <w:sz w:val="32"/>
          <w:szCs w:val="40"/>
          <w:lang w:val="en-US" w:eastAsia="zh-CN"/>
        </w:rPr>
        <w:t>（包含但不限于表3罗列事项）</w:t>
      </w:r>
      <w:r>
        <w:rPr>
          <w:rFonts w:hint="eastAsia" w:ascii="仿宋_GB2312" w:hAnsi="仿宋_GB2312" w:eastAsia="仿宋_GB2312" w:cs="仿宋_GB2312"/>
          <w:color w:val="auto"/>
          <w:sz w:val="32"/>
          <w:szCs w:val="40"/>
          <w:lang w:val="en-US" w:eastAsia="zh-CN"/>
        </w:rPr>
        <w:t>，按《中国南方电网有限责任公司供应商失信扣分管理细则》实施不接受投标的处理措施。</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outlineLvl w:val="9"/>
        <w:rPr>
          <w:rFonts w:hint="eastAsia" w:ascii="楷体_GB2312" w:hAnsi="楷体_GB2312" w:eastAsia="楷体_GB2312" w:cs="楷体_GB2312"/>
          <w:color w:val="auto"/>
          <w:sz w:val="24"/>
          <w:szCs w:val="21"/>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outlineLvl w:val="9"/>
        <w:rPr>
          <w:rFonts w:hint="default"/>
          <w:color w:val="auto"/>
          <w:lang w:val="en-US" w:eastAsia="zh-CN"/>
        </w:rPr>
      </w:pPr>
      <w:r>
        <w:rPr>
          <w:rFonts w:hint="eastAsia" w:ascii="楷体_GB2312" w:hAnsi="楷体_GB2312" w:eastAsia="楷体_GB2312" w:cs="楷体_GB2312"/>
          <w:color w:val="auto"/>
          <w:sz w:val="24"/>
          <w:szCs w:val="21"/>
          <w:highlight w:val="none"/>
          <w:lang w:val="en-US" w:eastAsia="zh-CN"/>
        </w:rPr>
        <w:t>表3审计中介机构“一票否决”事项</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4"/>
        <w:gridCol w:w="1096"/>
        <w:gridCol w:w="66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b/>
                <w:bCs/>
                <w:i w:val="0"/>
                <w:iCs w:val="0"/>
                <w:color w:val="auto"/>
                <w:kern w:val="0"/>
                <w:sz w:val="21"/>
                <w:szCs w:val="21"/>
                <w:highlight w:val="none"/>
                <w:u w:val="none"/>
                <w:lang w:val="en-US" w:eastAsia="zh-CN" w:bidi="ar"/>
              </w:rPr>
            </w:pPr>
            <w:r>
              <w:rPr>
                <w:rFonts w:hint="eastAsia" w:ascii="仿宋_GB2312" w:hAnsi="仿宋_GB2312" w:eastAsia="仿宋_GB2312" w:cs="仿宋_GB2312"/>
                <w:b/>
                <w:bCs/>
                <w:i w:val="0"/>
                <w:iCs w:val="0"/>
                <w:color w:val="auto"/>
                <w:kern w:val="0"/>
                <w:sz w:val="21"/>
                <w:szCs w:val="21"/>
                <w:highlight w:val="none"/>
                <w:u w:val="none"/>
                <w:lang w:val="en-US" w:eastAsia="zh-CN" w:bidi="ar"/>
              </w:rPr>
              <w:t>序号</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b/>
                <w:bCs/>
                <w:i w:val="0"/>
                <w:iCs w:val="0"/>
                <w:color w:val="auto"/>
                <w:kern w:val="0"/>
                <w:sz w:val="21"/>
                <w:szCs w:val="21"/>
                <w:highlight w:val="none"/>
                <w:u w:val="none"/>
                <w:lang w:val="en-US" w:eastAsia="zh-CN" w:bidi="ar"/>
              </w:rPr>
            </w:pPr>
            <w:r>
              <w:rPr>
                <w:rFonts w:hint="eastAsia" w:ascii="仿宋_GB2312" w:hAnsi="仿宋_GB2312" w:eastAsia="仿宋_GB2312" w:cs="仿宋_GB2312"/>
                <w:b/>
                <w:bCs/>
                <w:i w:val="0"/>
                <w:iCs w:val="0"/>
                <w:color w:val="auto"/>
                <w:kern w:val="0"/>
                <w:sz w:val="21"/>
                <w:szCs w:val="21"/>
                <w:highlight w:val="none"/>
                <w:u w:val="none"/>
                <w:lang w:val="en-US" w:eastAsia="zh-CN" w:bidi="ar"/>
              </w:rPr>
              <w:t>一票否决事项</w:t>
            </w:r>
          </w:p>
        </w:tc>
        <w:tc>
          <w:tcPr>
            <w:tcW w:w="391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b/>
                <w:bCs/>
                <w:i w:val="0"/>
                <w:iCs w:val="0"/>
                <w:color w:val="auto"/>
                <w:kern w:val="0"/>
                <w:sz w:val="21"/>
                <w:szCs w:val="21"/>
                <w:highlight w:val="none"/>
                <w:u w:val="none"/>
                <w:lang w:val="en-US" w:eastAsia="zh-CN" w:bidi="ar"/>
              </w:rPr>
            </w:pPr>
            <w:r>
              <w:rPr>
                <w:rFonts w:hint="eastAsia" w:ascii="仿宋_GB2312" w:hAnsi="仿宋_GB2312" w:eastAsia="仿宋_GB2312" w:cs="仿宋_GB2312"/>
                <w:b/>
                <w:bCs/>
                <w:i w:val="0"/>
                <w:iCs w:val="0"/>
                <w:color w:val="auto"/>
                <w:kern w:val="0"/>
                <w:sz w:val="21"/>
                <w:szCs w:val="21"/>
                <w:highlight w:val="none"/>
                <w:u w:val="none"/>
                <w:lang w:val="en-US" w:eastAsia="zh-CN" w:bidi="ar"/>
              </w:rPr>
              <w:t>具体内容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7" w:hRule="atLeast"/>
        </w:trPr>
        <w:tc>
          <w:tcPr>
            <w:tcW w:w="437"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1</w:t>
            </w:r>
          </w:p>
        </w:tc>
        <w:tc>
          <w:tcPr>
            <w:tcW w:w="6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重大违法违规违纪事项</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中介机构以贿赂、串通等不正当手段取得受托项目的；将承接业务转包或分包给其他单位或个人；借用其他审计中介机构或社会人员审计，而以本机构名义出具审计报告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2" w:hRule="atLeast"/>
        </w:trPr>
        <w:tc>
          <w:tcPr>
            <w:tcW w:w="437" w:type="pct"/>
            <w:vMerge w:val="continue"/>
            <w:tcBorders>
              <w:left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p>
        </w:tc>
        <w:tc>
          <w:tcPr>
            <w:tcW w:w="6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审计中介机构和审计中介人员严重违反职业道德，弄虚作假、串通作弊、瞒报谎报审计发现问题，提交虚假审计报告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437"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p>
        </w:tc>
        <w:tc>
          <w:tcPr>
            <w:tcW w:w="6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泄露或者向他人非法提供在审计过程中知悉的国家秘密、工作秘密、商业秘密、个人隐私和个人信息等内容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4"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2</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重大审计差错事项</w:t>
            </w:r>
          </w:p>
        </w:tc>
        <w:tc>
          <w:tcPr>
            <w:tcW w:w="66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仿宋_GB2312" w:hAnsi="仿宋_GB2312" w:eastAsia="仿宋_GB2312" w:cs="仿宋_GB2312"/>
                <w:i w:val="0"/>
                <w:iCs w:val="0"/>
                <w:color w:val="auto"/>
                <w:kern w:val="0"/>
                <w:sz w:val="21"/>
                <w:szCs w:val="21"/>
                <w:highlight w:val="none"/>
                <w:u w:val="none"/>
                <w:lang w:val="en-US" w:eastAsia="zh-CN" w:bidi="ar"/>
              </w:rPr>
            </w:pPr>
            <w:r>
              <w:rPr>
                <w:rFonts w:hint="eastAsia" w:ascii="仿宋_GB2312" w:hAnsi="仿宋_GB2312" w:eastAsia="仿宋_GB2312" w:cs="仿宋_GB2312"/>
                <w:i w:val="0"/>
                <w:iCs w:val="0"/>
                <w:color w:val="auto"/>
                <w:kern w:val="0"/>
                <w:sz w:val="21"/>
                <w:szCs w:val="21"/>
                <w:highlight w:val="none"/>
                <w:u w:val="none"/>
                <w:lang w:val="en-US" w:eastAsia="zh-CN" w:bidi="ar"/>
              </w:rPr>
              <w:t>审计程序不规范，致使审计结论严重失实，或存在应披露未披露的重大事项等重大错漏，给公司带来重大经济损失和严重不良影响</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2" w:firstLineChars="200"/>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注：以上事项情况仅为列举，具体将结合实际情况及《中国南方电网有限责任公司供应商失信扣分管理细则》规定进行处罚。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4.新增登记建档或评价年度内无项目的审计中介机构履约评价得分按本阶段同序列所有审计中介机构履约评价平均得分的85%计算。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outlineLvl w:val="1"/>
        <w:rPr>
          <w:rFonts w:hint="eastAsia" w:ascii="黑体" w:hAnsi="黑体" w:eastAsia="黑体" w:cs="黑体"/>
          <w:color w:val="auto"/>
          <w:sz w:val="32"/>
          <w:szCs w:val="40"/>
          <w:lang w:val="en-US" w:eastAsia="zh-CN"/>
        </w:rPr>
      </w:pPr>
      <w:bookmarkStart w:id="7" w:name="_Toc20702"/>
      <w:r>
        <w:rPr>
          <w:rFonts w:hint="eastAsia" w:ascii="黑体" w:hAnsi="黑体" w:eastAsia="黑体" w:cs="黑体"/>
          <w:color w:val="auto"/>
          <w:sz w:val="32"/>
          <w:szCs w:val="40"/>
          <w:lang w:val="en-US" w:eastAsia="zh-CN"/>
        </w:rPr>
        <w:t>二、评价结果应用</w:t>
      </w:r>
      <w:bookmarkEnd w:id="7"/>
    </w:p>
    <w:p>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公司总部审计部汇总审核审计中介机构履约评价结果，</w:t>
      </w:r>
      <w:r>
        <w:rPr>
          <w:rFonts w:hint="eastAsia" w:ascii="仿宋_GB2312" w:hAnsi="仿宋_GB2312" w:eastAsia="仿宋_GB2312" w:cs="仿宋_GB2312"/>
          <w:b/>
          <w:bCs/>
          <w:color w:val="auto"/>
          <w:sz w:val="32"/>
          <w:szCs w:val="40"/>
          <w:lang w:val="en-US" w:eastAsia="zh-CN"/>
        </w:rPr>
        <w:t>提交公司招标领导小组办公室审议。审议通过后，将中介机构合同周期内评价结果在下一年度审计中介服务项目招标中使用，</w:t>
      </w:r>
      <w:r>
        <w:rPr>
          <w:rFonts w:hint="eastAsia" w:ascii="仿宋_GB2312" w:hAnsi="仿宋_GB2312" w:eastAsia="仿宋_GB2312" w:cs="仿宋_GB2312"/>
          <w:color w:val="auto"/>
          <w:sz w:val="32"/>
          <w:szCs w:val="40"/>
          <w:lang w:val="en-US" w:eastAsia="zh-CN"/>
        </w:rPr>
        <w:t>具体使用规则在招标方案中予以明确。</w:t>
      </w:r>
    </w:p>
    <w:p>
      <w:pPr>
        <w:pStyle w:val="8"/>
        <w:numPr>
          <w:ilvl w:val="0"/>
          <w:numId w:val="0"/>
        </w:numPr>
        <w:spacing w:line="560" w:lineRule="exact"/>
        <w:ind w:firstLine="0" w:firstLineChars="0"/>
        <w:rPr>
          <w:rFonts w:hint="default" w:ascii="仿宋" w:hAnsi="仿宋" w:eastAsia="仿宋" w:cs="仿宋"/>
          <w:color w:val="auto"/>
          <w:sz w:val="32"/>
          <w:szCs w:val="32"/>
          <w:lang w:val="en-US" w:eastAsia="zh-CN"/>
        </w:rPr>
      </w:pPr>
    </w:p>
    <w:p>
      <w:pPr>
        <w:pStyle w:val="8"/>
        <w:numPr>
          <w:ilvl w:val="0"/>
          <w:numId w:val="0"/>
        </w:numPr>
        <w:spacing w:line="560" w:lineRule="exact"/>
        <w:ind w:firstLine="0" w:firstLineChars="0"/>
        <w:rPr>
          <w:rFonts w:hint="default" w:ascii="仿宋" w:hAnsi="仿宋" w:eastAsia="仿宋" w:cs="仿宋"/>
          <w:color w:val="auto"/>
          <w:sz w:val="32"/>
          <w:szCs w:val="32"/>
          <w:lang w:val="en-US" w:eastAsia="zh-CN"/>
        </w:rPr>
        <w:sectPr>
          <w:headerReference r:id="rId5" w:type="default"/>
          <w:footerReference r:id="rId6" w:type="default"/>
          <w:pgSz w:w="11906" w:h="16838"/>
          <w:pgMar w:top="1440" w:right="1800" w:bottom="1440" w:left="1800" w:header="851" w:footer="992" w:gutter="0"/>
          <w:pgNumType w:fmt="decimal" w:start="1"/>
          <w:cols w:space="425" w:num="1"/>
          <w:docGrid w:type="lines" w:linePitch="312" w:charSpace="0"/>
        </w:sectPr>
      </w:pPr>
      <w:bookmarkStart w:id="8" w:name="_GoBack"/>
      <w:bookmarkEnd w:id="8"/>
    </w:p>
    <w:p>
      <w:pPr>
        <w:pStyle w:val="8"/>
        <w:numPr>
          <w:ilvl w:val="0"/>
          <w:numId w:val="0"/>
        </w:numPr>
        <w:spacing w:line="560" w:lineRule="exact"/>
        <w:ind w:firstLine="0" w:firstLineChars="0"/>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附录A</w:t>
      </w:r>
    </w:p>
    <w:tbl>
      <w:tblPr>
        <w:tblStyle w:val="14"/>
        <w:tblpPr w:leftFromText="180" w:rightFromText="180" w:vertAnchor="text" w:horzAnchor="page" w:tblpX="1686" w:tblpY="81"/>
        <w:tblOverlap w:val="never"/>
        <w:tblW w:w="135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923"/>
        <w:gridCol w:w="763"/>
        <w:gridCol w:w="850"/>
        <w:gridCol w:w="1800"/>
        <w:gridCol w:w="787"/>
        <w:gridCol w:w="3913"/>
        <w:gridCol w:w="1062"/>
        <w:gridCol w:w="1263"/>
        <w:gridCol w:w="712"/>
        <w:gridCol w:w="8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trPr>
        <w:tc>
          <w:tcPr>
            <w:tcW w:w="13580" w:type="dxa"/>
            <w:gridSpan w:val="11"/>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黑体" w:hAnsi="黑体" w:eastAsia="黑体" w:cs="黑体"/>
                <w:i w:val="0"/>
                <w:iCs w:val="0"/>
                <w:color w:val="auto"/>
                <w:kern w:val="0"/>
                <w:sz w:val="28"/>
                <w:szCs w:val="28"/>
                <w:u w:val="none"/>
                <w:lang w:val="en-US" w:eastAsia="zh-CN" w:bidi="ar"/>
              </w:rPr>
              <w:t>审计中介机构及中介人员服务质量评分表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2311" w:type="dxa"/>
            <w:gridSpan w:val="3"/>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一、项目情况</w:t>
            </w:r>
          </w:p>
        </w:tc>
        <w:tc>
          <w:tcPr>
            <w:tcW w:w="2650" w:type="dxa"/>
            <w:gridSpan w:val="2"/>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委托单位</w:t>
            </w:r>
          </w:p>
        </w:tc>
        <w:tc>
          <w:tcPr>
            <w:tcW w:w="8619" w:type="dxa"/>
            <w:gridSpan w:val="6"/>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trPr>
        <w:tc>
          <w:tcPr>
            <w:tcW w:w="2311" w:type="dxa"/>
            <w:gridSpan w:val="3"/>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kern w:val="0"/>
                <w:sz w:val="21"/>
                <w:szCs w:val="21"/>
                <w:u w:val="none"/>
                <w:lang w:val="en-US" w:eastAsia="zh-CN" w:bidi="ar"/>
              </w:rPr>
            </w:pPr>
          </w:p>
        </w:tc>
        <w:tc>
          <w:tcPr>
            <w:tcW w:w="2650" w:type="dxa"/>
            <w:gridSpan w:val="2"/>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受托单位</w:t>
            </w:r>
          </w:p>
        </w:tc>
        <w:tc>
          <w:tcPr>
            <w:tcW w:w="8619" w:type="dxa"/>
            <w:gridSpan w:val="6"/>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2311" w:type="dxa"/>
            <w:gridSpan w:val="3"/>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kern w:val="0"/>
                <w:sz w:val="21"/>
                <w:szCs w:val="21"/>
                <w:u w:val="none"/>
                <w:lang w:val="en-US" w:eastAsia="zh-CN" w:bidi="ar"/>
              </w:rPr>
            </w:pPr>
          </w:p>
        </w:tc>
        <w:tc>
          <w:tcPr>
            <w:tcW w:w="2650" w:type="dxa"/>
            <w:gridSpan w:val="2"/>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项目名称</w:t>
            </w:r>
          </w:p>
        </w:tc>
        <w:tc>
          <w:tcPr>
            <w:tcW w:w="8619" w:type="dxa"/>
            <w:gridSpan w:val="6"/>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13580" w:type="dxa"/>
            <w:gridSpan w:val="11"/>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二、审计中介机构</w:t>
            </w:r>
            <w:r>
              <w:rPr>
                <w:rFonts w:hint="eastAsia" w:ascii="宋体" w:hAnsi="宋体" w:cs="宋体"/>
                <w:b/>
                <w:bCs/>
                <w:i w:val="0"/>
                <w:iCs w:val="0"/>
                <w:color w:val="auto"/>
                <w:kern w:val="0"/>
                <w:sz w:val="21"/>
                <w:szCs w:val="21"/>
                <w:u w:val="none"/>
                <w:lang w:val="en-US" w:eastAsia="zh-CN" w:bidi="ar"/>
              </w:rPr>
              <w:t>履约评价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311" w:type="dxa"/>
            <w:gridSpan w:val="3"/>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一级评价指标</w:t>
            </w:r>
          </w:p>
        </w:tc>
        <w:tc>
          <w:tcPr>
            <w:tcW w:w="11269" w:type="dxa"/>
            <w:gridSpan w:val="8"/>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二级评价指标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62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92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指标名称</w:t>
            </w:r>
          </w:p>
        </w:tc>
        <w:tc>
          <w:tcPr>
            <w:tcW w:w="7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权重</w:t>
            </w: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子序号</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指标名称</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权重</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评价要点</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标准分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评价标准</w:t>
            </w:r>
          </w:p>
        </w:tc>
        <w:tc>
          <w:tcPr>
            <w:tcW w:w="71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得分</w:t>
            </w:r>
          </w:p>
        </w:tc>
        <w:tc>
          <w:tcPr>
            <w:tcW w:w="88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扣分原因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2" w:hRule="atLeast"/>
        </w:trPr>
        <w:tc>
          <w:tcPr>
            <w:tcW w:w="625"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2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合同履约情况</w:t>
            </w:r>
          </w:p>
        </w:tc>
        <w:tc>
          <w:tcPr>
            <w:tcW w:w="76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85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80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审计中介人员安排情况</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审计中介机构</w:t>
            </w:r>
            <w:r>
              <w:rPr>
                <w:rFonts w:hint="eastAsia" w:ascii="宋体" w:hAnsi="宋体" w:eastAsia="宋体" w:cs="宋体"/>
                <w:color w:val="auto"/>
                <w:kern w:val="0"/>
                <w:sz w:val="21"/>
                <w:szCs w:val="21"/>
                <w:u w:val="none"/>
                <w:lang w:eastAsia="zh-CN" w:bidi="ar"/>
              </w:rPr>
              <w:t>是否</w:t>
            </w:r>
            <w:r>
              <w:rPr>
                <w:rFonts w:hint="eastAsia" w:ascii="宋体" w:hAnsi="宋体" w:eastAsia="宋体" w:cs="宋体"/>
                <w:color w:val="auto"/>
                <w:kern w:val="0"/>
                <w:sz w:val="21"/>
                <w:szCs w:val="21"/>
                <w:u w:val="none"/>
                <w:lang w:bidi="ar"/>
              </w:rPr>
              <w:t>按照合同要求积极配合委托单位实施审计项目</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ascii="Times New Roman" w:hAnsi="Times New Roman"/>
                <w:color w:val="auto"/>
                <w:szCs w:val="21"/>
              </w:rPr>
              <w:t>5</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ascii="Times New Roman" w:hAnsi="Times New Roman"/>
                <w:color w:val="auto"/>
                <w:szCs w:val="21"/>
              </w:rPr>
              <w:t>3</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left"/>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left"/>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180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是否按合同约定人数派出审计中介人员；是否按时派出审计中介人员</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3</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left"/>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left"/>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180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审计中介人员是否与投标时承诺相符；是否按要求完成现场审计工作，未出现中途撤离情况；审计项目业务量增大时，是否按要求增加相应专业人员</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4</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审计报告或其他审计成果提交情况</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是否按照合同约定提交审计报告或其他审计成果文件</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3</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1" w:hRule="atLeast"/>
        </w:trPr>
        <w:tc>
          <w:tcPr>
            <w:tcW w:w="625"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2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审计项目质量</w:t>
            </w:r>
          </w:p>
        </w:tc>
        <w:tc>
          <w:tcPr>
            <w:tcW w:w="76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color w:val="auto"/>
                <w:lang w:val="en-US" w:eastAsia="zh-CN"/>
              </w:rPr>
            </w:pPr>
            <w:r>
              <w:rPr>
                <w:rFonts w:hint="eastAsia"/>
                <w:color w:val="auto"/>
                <w:lang w:val="en-US" w:eastAsia="zh-CN"/>
              </w:rPr>
              <w:t>40%</w:t>
            </w:r>
          </w:p>
          <w:p>
            <w:pPr>
              <w:pStyle w:val="2"/>
              <w:rPr>
                <w:rFonts w:hint="eastAsia"/>
                <w:color w:val="auto"/>
                <w:lang w:val="en-US" w:eastAsia="zh-CN"/>
              </w:rPr>
            </w:pPr>
          </w:p>
          <w:p>
            <w:pPr>
              <w:pStyle w:val="2"/>
              <w:rPr>
                <w:rFonts w:hint="eastAsia"/>
                <w:color w:val="auto"/>
              </w:rPr>
            </w:pPr>
          </w:p>
        </w:tc>
        <w:tc>
          <w:tcPr>
            <w:tcW w:w="85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80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审前调查情况</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是否落实审前调查方案分工，是否存在负责的审前调查相关工作不深入、流于形式，形成的审计实施方案关注点质量不高</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default"/>
                <w:color w:val="auto"/>
                <w:lang w:val="en-US"/>
              </w:rPr>
            </w:pPr>
            <w:r>
              <w:rPr>
                <w:rFonts w:hint="eastAsia" w:ascii="宋体" w:hAnsi="宋体" w:eastAsia="宋体" w:cs="宋体"/>
                <w:i w:val="0"/>
                <w:iCs w:val="0"/>
                <w:color w:val="auto"/>
                <w:sz w:val="21"/>
                <w:szCs w:val="21"/>
                <w:u w:val="none"/>
                <w:lang w:val="en-US" w:eastAsia="zh-CN"/>
              </w:rPr>
              <w:t>3分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3</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3"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180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是否按时完成审前调查报告或审计方案编制</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3</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180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参与项目审计中介人员是否全部按要求参加审前培训</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3</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80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审计实施方案执行情况</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是否按照审计实施方案全面履盖审计关注点；是否按要求审查审计关注点，是否履行实质性审计程序、抽查范围</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6分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6</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4</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hint="eastAsia" w:ascii="Times New Roman" w:hAnsi="Times New Roman"/>
                <w:color w:val="auto"/>
                <w:szCs w:val="21"/>
                <w:lang w:val="en-US" w:eastAsia="zh-CN"/>
              </w:rPr>
              <w:t>2</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180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color w:val="auto"/>
              </w:rPr>
            </w:pPr>
            <w:r>
              <w:rPr>
                <w:rFonts w:hint="eastAsia" w:ascii="宋体" w:hAnsi="宋体" w:eastAsia="宋体" w:cs="宋体"/>
                <w:i w:val="0"/>
                <w:iCs w:val="0"/>
                <w:color w:val="auto"/>
                <w:sz w:val="21"/>
                <w:szCs w:val="21"/>
                <w:u w:val="none"/>
                <w:lang w:val="en-US" w:eastAsia="zh-CN"/>
              </w:rPr>
              <w:t>3%</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是否配合审计底稿、审计报告等审理工作；是否拒绝或拖延补充查证相关问题或完善问题数据</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3分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3</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180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借阅被审计单位纸质资料是否完好归还；丢失财物凭证原件等关键资料的，除扣分外按相关规定追究中介机构责任</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3</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80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取证沟通情况</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审计取证是否充分、相关、真实；取证表审计标准引用是否恰当、问题定性是否准确、问题描述是否清晰，是否反复修改三次以上</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14</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10</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hint="eastAsia" w:ascii="Times New Roman" w:hAnsi="Times New Roman"/>
                <w:color w:val="auto"/>
                <w:szCs w:val="21"/>
                <w:lang w:val="en-US" w:eastAsia="zh-CN"/>
              </w:rPr>
              <w:t>5</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180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是否及时与委托单位沟通审计发现的重大问题、内部控制缺陷和风险隐患</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5分</w:t>
            </w:r>
          </w:p>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5</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625"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2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专业胜任能力和职业道德</w:t>
            </w:r>
          </w:p>
        </w:tc>
        <w:tc>
          <w:tcPr>
            <w:tcW w:w="76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5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80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审计中介人员专业胜任能力</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审计中介人员资质、经验、胜任能力是否符合审计项目需求，不满足条件的是否及时更换</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6</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4</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180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审计中介人员是否因自身原因长期不在审计现场，或不能持续参与项目，影响审计项目开展，且未及时更换</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4</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80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审计中介人员职业道德</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审计中介人员是否服从审计组主审安排，是否无故迟到、早退、旷工；审计期间是否做与项目无关事项，且提醒后仍不整改</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6</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4</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1800"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审计中介机构外派审计中介人员是否按照回避原则主动提出回避</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4</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trPr>
        <w:tc>
          <w:tcPr>
            <w:tcW w:w="625"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2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审计成果</w:t>
            </w:r>
          </w:p>
        </w:tc>
        <w:tc>
          <w:tcPr>
            <w:tcW w:w="76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color w:val="auto"/>
              </w:rPr>
            </w:pPr>
            <w:r>
              <w:rPr>
                <w:rFonts w:hint="eastAsia" w:ascii="宋体" w:hAnsi="宋体" w:eastAsia="宋体" w:cs="宋体"/>
                <w:i w:val="0"/>
                <w:iCs w:val="0"/>
                <w:color w:val="auto"/>
                <w:kern w:val="0"/>
                <w:sz w:val="21"/>
                <w:szCs w:val="21"/>
                <w:u w:val="none"/>
                <w:lang w:val="en-US" w:eastAsia="zh-CN" w:bidi="ar"/>
              </w:rPr>
              <w:t>15%</w:t>
            </w: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4.1</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审计报告编制质量</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审计报告是否根据审理意见进行修改；经2次审理修改，仍不合格的评为差。</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8</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4</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深化审计结果应用情况</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是否按委托单位要求编写项目成果总结材料，如：“负面清单”问题、风险提示函、问题线索清单、审计专报或管理建议书等</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好，</w:t>
            </w:r>
            <w:r>
              <w:rPr>
                <w:rFonts w:hint="eastAsia" w:ascii="Times New Roman" w:hAnsi="Times New Roman"/>
                <w:color w:val="auto"/>
                <w:szCs w:val="21"/>
                <w:lang w:val="en-US" w:eastAsia="zh-CN"/>
              </w:rPr>
              <w:t>7</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中，</w:t>
            </w:r>
            <w:r>
              <w:rPr>
                <w:rFonts w:hint="eastAsia" w:ascii="Times New Roman" w:hAnsi="Times New Roman"/>
                <w:color w:val="auto"/>
                <w:szCs w:val="21"/>
                <w:lang w:val="en-US" w:eastAsia="zh-CN"/>
              </w:rPr>
              <w:t>4</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差，</w:t>
            </w:r>
            <w:r>
              <w:rPr>
                <w:rFonts w:ascii="Times New Roman" w:hAnsi="Times New Roman"/>
                <w:color w:val="auto"/>
                <w:szCs w:val="21"/>
              </w:rPr>
              <w:t>1</w:t>
            </w:r>
            <w:r>
              <w:rPr>
                <w:rFonts w:hint="eastAsia" w:ascii="Times New Roman" w:hAnsi="Times New Roman"/>
                <w:color w:val="auto"/>
                <w:szCs w:val="21"/>
              </w:rPr>
              <w:t>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8" w:hRule="atLeast"/>
        </w:trPr>
        <w:tc>
          <w:tcPr>
            <w:tcW w:w="625"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2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审计资料归档</w:t>
            </w:r>
          </w:p>
        </w:tc>
        <w:tc>
          <w:tcPr>
            <w:tcW w:w="76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审计</w:t>
            </w:r>
          </w:p>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工作底稿移交</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项目结束后，是否在5个工作日内完成全部审计工作底稿移交</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是，5分；</w:t>
            </w:r>
            <w:r>
              <w:rPr>
                <w:rFonts w:ascii="Times New Roman" w:hAnsi="Times New Roman"/>
                <w:color w:val="auto"/>
                <w:sz w:val="28"/>
                <w:szCs w:val="28"/>
              </w:rPr>
              <w:t>□</w:t>
            </w:r>
            <w:r>
              <w:rPr>
                <w:rFonts w:hint="eastAsia" w:ascii="Times New Roman" w:hAnsi="Times New Roman"/>
                <w:color w:val="auto"/>
                <w:szCs w:val="21"/>
              </w:rPr>
              <w:t>否，0分。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1"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5.2</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格式规范类</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审前调查报告、审计实施方案、审计日志、取证表、报告等是否执行范本格式</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是，</w:t>
            </w:r>
            <w:r>
              <w:rPr>
                <w:rFonts w:hint="eastAsia" w:ascii="Times New Roman" w:hAnsi="Times New Roman"/>
                <w:color w:val="auto"/>
                <w:szCs w:val="21"/>
                <w:lang w:val="en-US" w:eastAsia="zh-CN"/>
              </w:rPr>
              <w:t>2</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否，0分。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6"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信息系统</w:t>
            </w:r>
          </w:p>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使用情况</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是否在系统及时完整录入审计日志、工作小结和取证表等</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sz w:val="21"/>
                <w:szCs w:val="21"/>
                <w:u w:val="none"/>
              </w:rPr>
            </w:pPr>
            <w:r>
              <w:rPr>
                <w:rFonts w:ascii="Times New Roman" w:hAnsi="Times New Roman"/>
                <w:color w:val="auto"/>
                <w:sz w:val="28"/>
                <w:szCs w:val="28"/>
              </w:rPr>
              <w:t>□</w:t>
            </w:r>
            <w:r>
              <w:rPr>
                <w:rFonts w:hint="eastAsia" w:ascii="Times New Roman" w:hAnsi="Times New Roman"/>
                <w:color w:val="auto"/>
                <w:szCs w:val="21"/>
              </w:rPr>
              <w:t>是，</w:t>
            </w:r>
            <w:r>
              <w:rPr>
                <w:rFonts w:hint="eastAsia" w:ascii="Times New Roman" w:hAnsi="Times New Roman"/>
                <w:color w:val="auto"/>
                <w:szCs w:val="21"/>
                <w:lang w:val="en-US" w:eastAsia="zh-CN"/>
              </w:rPr>
              <w:t>3</w:t>
            </w:r>
            <w:r>
              <w:rPr>
                <w:rFonts w:hint="eastAsia" w:ascii="Times New Roman" w:hAnsi="Times New Roman"/>
                <w:color w:val="auto"/>
                <w:szCs w:val="21"/>
              </w:rPr>
              <w:t>分；</w:t>
            </w:r>
            <w:r>
              <w:rPr>
                <w:rFonts w:ascii="Times New Roman" w:hAnsi="Times New Roman"/>
                <w:color w:val="auto"/>
                <w:sz w:val="28"/>
                <w:szCs w:val="28"/>
              </w:rPr>
              <w:t>□</w:t>
            </w:r>
            <w:r>
              <w:rPr>
                <w:rFonts w:hint="eastAsia" w:ascii="Times New Roman" w:hAnsi="Times New Roman"/>
                <w:color w:val="auto"/>
                <w:szCs w:val="21"/>
              </w:rPr>
              <w:t>否，0分。</w:t>
            </w: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bl>
    <w:p>
      <w:pPr>
        <w:rPr>
          <w:color w:val="auto"/>
        </w:rPr>
      </w:pPr>
    </w:p>
    <w:tbl>
      <w:tblPr>
        <w:tblStyle w:val="14"/>
        <w:tblpPr w:leftFromText="180" w:rightFromText="180" w:vertAnchor="text" w:horzAnchor="page" w:tblpX="1686" w:tblpY="81"/>
        <w:tblOverlap w:val="never"/>
        <w:tblW w:w="135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923"/>
        <w:gridCol w:w="763"/>
        <w:gridCol w:w="850"/>
        <w:gridCol w:w="1800"/>
        <w:gridCol w:w="787"/>
        <w:gridCol w:w="3913"/>
        <w:gridCol w:w="1062"/>
        <w:gridCol w:w="1263"/>
        <w:gridCol w:w="712"/>
        <w:gridCol w:w="8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625"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6</w:t>
            </w:r>
          </w:p>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color w:val="auto"/>
                <w:lang w:val="en-US" w:eastAsia="zh-CN"/>
              </w:rPr>
            </w:pPr>
          </w:p>
          <w:p>
            <w:pPr>
              <w:pStyle w:val="2"/>
              <w:rPr>
                <w:rFonts w:hint="eastAsia"/>
                <w:color w:val="auto"/>
                <w:lang w:val="en-US" w:eastAsia="zh-CN"/>
              </w:rPr>
            </w:pPr>
          </w:p>
        </w:tc>
        <w:tc>
          <w:tcPr>
            <w:tcW w:w="923"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color w:val="auto"/>
              </w:rPr>
            </w:pPr>
          </w:p>
          <w:p>
            <w:pPr>
              <w:bidi w:val="0"/>
              <w:jc w:val="center"/>
              <w:rPr>
                <w:rFonts w:hint="eastAsia" w:ascii="Calibri" w:hAnsi="Calibri" w:eastAsia="宋体" w:cs="Times New Roman"/>
                <w:color w:val="auto"/>
                <w:kern w:val="2"/>
                <w:sz w:val="21"/>
                <w:szCs w:val="24"/>
                <w:lang w:val="en-US" w:eastAsia="zh-CN" w:bidi="ar-SA"/>
              </w:rPr>
            </w:pPr>
            <w:r>
              <w:rPr>
                <w:rFonts w:hint="eastAsia" w:ascii="宋体" w:hAnsi="宋体" w:eastAsia="宋体" w:cs="宋体"/>
                <w:i w:val="0"/>
                <w:iCs w:val="0"/>
                <w:color w:val="auto"/>
                <w:sz w:val="21"/>
                <w:szCs w:val="21"/>
                <w:u w:val="none"/>
                <w:lang w:val="en-US" w:eastAsia="zh-CN"/>
              </w:rPr>
              <w:t>增值服务加分</w:t>
            </w:r>
          </w:p>
        </w:tc>
        <w:tc>
          <w:tcPr>
            <w:tcW w:w="763"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20%</w:t>
            </w: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6.1</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发现重要问题</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审计发现负面清单问题，或委托单位认可的重大审计问题，如私设小金库、截留挪用资金、侵占资产、营私舞弊等问题</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ascii="Times New Roman" w:hAnsi="Times New Roman"/>
                <w:color w:val="auto"/>
                <w:sz w:val="28"/>
                <w:szCs w:val="28"/>
              </w:rPr>
            </w:pP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lang w:val="en-US" w:eastAsia="zh-CN"/>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6.2</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挽回经济损失或增加公司收益</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挽回公司损失或增加公司收益合并计算：50万元以内的，加2分，超过50万元小于100万元的，加4分，超过100万元小于500万元的，加4分，超过500万元的加5分，加分不累计</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ascii="Times New Roman" w:hAnsi="Times New Roman"/>
                <w:color w:val="auto"/>
                <w:sz w:val="28"/>
                <w:szCs w:val="28"/>
              </w:rPr>
            </w:pP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625" w:type="dxa"/>
            <w:vMerge w:val="continue"/>
            <w:tcBorders>
              <w:tl2br w:val="nil"/>
              <w:tr2bl w:val="nil"/>
            </w:tcBorders>
            <w:noWrap w:val="0"/>
            <w:vAlign w:val="center"/>
          </w:tcPr>
          <w:p>
            <w:pPr>
              <w:pStyle w:val="2"/>
              <w:rPr>
                <w:rFonts w:hint="eastAsia"/>
                <w:color w:val="auto"/>
                <w:lang w:val="en-US" w:eastAsia="zh-CN"/>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6.3</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违规经营追责和线索移交</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发现涉及违规经营追责事项或涉嫌违纪违规并被移送纪检监督等部门处理的</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ascii="Times New Roman" w:hAnsi="Times New Roman"/>
                <w:color w:val="auto"/>
                <w:sz w:val="28"/>
                <w:szCs w:val="28"/>
              </w:rPr>
            </w:pP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62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lang w:val="en-US" w:eastAsia="zh-CN"/>
              </w:rPr>
            </w:pPr>
          </w:p>
        </w:tc>
        <w:tc>
          <w:tcPr>
            <w:tcW w:w="92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7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5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6.4</w:t>
            </w:r>
          </w:p>
        </w:tc>
        <w:tc>
          <w:tcPr>
            <w:tcW w:w="180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成果意见和建议采纳情况</w:t>
            </w:r>
          </w:p>
        </w:tc>
        <w:tc>
          <w:tcPr>
            <w:tcW w:w="787"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391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针对审计发现的重要问题或带有普遍性、苗头性、倾向性问题，中介机构可以形成管理建议书、风险提示函，且被公司采纳，促进公司加强管理、堵塞漏洞和完善内部控制的</w:t>
            </w:r>
          </w:p>
        </w:tc>
        <w:tc>
          <w:tcPr>
            <w:tcW w:w="106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5分</w:t>
            </w:r>
          </w:p>
        </w:tc>
        <w:tc>
          <w:tcPr>
            <w:tcW w:w="126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firstLine="0" w:firstLineChars="0"/>
              <w:jc w:val="center"/>
              <w:textAlignment w:val="center"/>
              <w:rPr>
                <w:rFonts w:ascii="Times New Roman" w:hAnsi="Times New Roman"/>
                <w:color w:val="auto"/>
                <w:sz w:val="28"/>
                <w:szCs w:val="28"/>
              </w:rPr>
            </w:pPr>
          </w:p>
        </w:tc>
        <w:tc>
          <w:tcPr>
            <w:tcW w:w="7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c>
          <w:tcPr>
            <w:tcW w:w="88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trPr>
        <w:tc>
          <w:tcPr>
            <w:tcW w:w="13580" w:type="dxa"/>
            <w:gridSpan w:val="11"/>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Style w:val="23"/>
                <w:rFonts w:hint="eastAsia" w:ascii="宋体" w:hAnsi="宋体" w:eastAsia="宋体" w:cs="宋体"/>
                <w:b w:val="0"/>
                <w:bCs/>
                <w:color w:val="auto"/>
                <w:sz w:val="24"/>
                <w:szCs w:val="24"/>
              </w:rPr>
            </w:pPr>
            <w:r>
              <w:rPr>
                <w:rFonts w:hint="eastAsia" w:ascii="宋体" w:hAnsi="宋体" w:eastAsia="宋体" w:cs="宋体"/>
                <w:i w:val="0"/>
                <w:iCs w:val="0"/>
                <w:color w:val="auto"/>
                <w:kern w:val="0"/>
                <w:sz w:val="24"/>
                <w:szCs w:val="24"/>
                <w:u w:val="none"/>
                <w:lang w:val="en-US" w:eastAsia="zh-CN" w:bidi="ar"/>
              </w:rPr>
              <w:t>注：委托单位未要求审计中介机构参加的审计工作的相关评价项目按0分计算，审计项目实际得分=评价得分/实际标准分×100。</w:t>
            </w:r>
          </w:p>
          <w:p>
            <w:pPr>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rPr>
                <w:rFonts w:hint="eastAsia" w:ascii="宋体" w:hAnsi="宋体" w:eastAsia="宋体" w:cs="宋体"/>
                <w:i w:val="0"/>
                <w:iCs w:val="0"/>
                <w:color w:val="auto"/>
                <w:sz w:val="21"/>
                <w:szCs w:val="21"/>
                <w:u w:val="none"/>
              </w:rPr>
            </w:pPr>
          </w:p>
        </w:tc>
      </w:tr>
    </w:tbl>
    <w:p>
      <w:pPr>
        <w:pStyle w:val="8"/>
        <w:numPr>
          <w:ilvl w:val="0"/>
          <w:numId w:val="0"/>
        </w:numPr>
        <w:spacing w:line="560" w:lineRule="exact"/>
        <w:ind w:firstLine="0" w:firstLineChars="0"/>
        <w:rPr>
          <w:rFonts w:hint="default" w:ascii="仿宋" w:hAnsi="仿宋" w:eastAsia="仿宋" w:cs="仿宋"/>
          <w:color w:val="auto"/>
          <w:sz w:val="32"/>
          <w:szCs w:val="32"/>
          <w:lang w:val="en-US" w:eastAsia="zh-CN"/>
        </w:rPr>
      </w:pPr>
    </w:p>
    <w:p>
      <w:pPr>
        <w:rPr>
          <w:color w:val="auto"/>
        </w:rPr>
      </w:pPr>
    </w:p>
    <w:p>
      <w:pPr>
        <w:rPr>
          <w:color w:val="auto"/>
        </w:rPr>
      </w:pPr>
    </w:p>
    <w:sectPr>
      <w:pgSz w:w="16838" w:h="11906" w:orient="landscape"/>
      <w:pgMar w:top="1800" w:right="1440" w:bottom="1800" w:left="144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4C4730A-B178-401E-8353-BD1EDBC3E5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2" w:fontKey="{B8687711-954C-49DF-A5F3-92B4DAB0C144}"/>
  </w:font>
  <w:font w:name="仿宋_GB2312">
    <w:panose1 w:val="02010609030101010101"/>
    <w:charset w:val="86"/>
    <w:family w:val="auto"/>
    <w:pitch w:val="default"/>
    <w:sig w:usb0="00000001" w:usb1="080E0000" w:usb2="00000000" w:usb3="00000000" w:csb0="00040000" w:csb1="00000000"/>
    <w:embedRegular r:id="rId3" w:fontKey="{F39F75FA-D71D-4976-998C-7E00B17E17D4}"/>
  </w:font>
  <w:font w:name="华文中宋">
    <w:altName w:val="宋体"/>
    <w:panose1 w:val="02010600040101010101"/>
    <w:charset w:val="86"/>
    <w:family w:val="auto"/>
    <w:pitch w:val="default"/>
    <w:sig w:usb0="00000000" w:usb1="00000000" w:usb2="00000000" w:usb3="00000000" w:csb0="0004009F" w:csb1="DFD70000"/>
  </w:font>
  <w:font w:name="宋体+Times New Roman Baltic">
    <w:altName w:val="宋体"/>
    <w:panose1 w:val="00000000000000000000"/>
    <w:charset w:val="86"/>
    <w:family w:val="auto"/>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embedRegular r:id="rId4" w:fontKey="{EFC24EFF-6606-40D9-8656-13B058428213}"/>
  </w:font>
  <w:font w:name="楷体_GB2312">
    <w:panose1 w:val="02010609030101010101"/>
    <w:charset w:val="86"/>
    <w:family w:val="auto"/>
    <w:pitch w:val="default"/>
    <w:sig w:usb0="00000001" w:usb1="080E0000" w:usb2="00000000" w:usb3="00000000" w:csb0="00040000" w:csb1="00000000"/>
    <w:embedRegular r:id="rId5" w:fontKey="{759F1191-0778-45D6-85C4-4015EAB10D0A}"/>
  </w:font>
  <w:font w:name="楷体">
    <w:panose1 w:val="02010609060101010101"/>
    <w:charset w:val="86"/>
    <w:family w:val="auto"/>
    <w:pitch w:val="default"/>
    <w:sig w:usb0="800002BF" w:usb1="38CF7CFA" w:usb2="00000016" w:usb3="00000000" w:csb0="00040001" w:csb1="00000000"/>
    <w:embedRegular r:id="rId6" w:fontKey="{E13A6109-6519-4C92-A9C6-FDA533BCD02F}"/>
  </w:font>
  <w:font w:name="仿宋">
    <w:panose1 w:val="02010609060101010101"/>
    <w:charset w:val="86"/>
    <w:family w:val="auto"/>
    <w:pitch w:val="default"/>
    <w:sig w:usb0="800002BF" w:usb1="38CF7CFA" w:usb2="00000016" w:usb3="00000000" w:csb0="00040001" w:csb1="00000000"/>
    <w:embedRegular r:id="rId7" w:fontKey="{8EB08934-D66B-4968-9D29-2485243C3EF1}"/>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66432" behindDoc="0" locked="0" layoutInCell="1" allowOverlap="1">
              <wp:simplePos x="0" y="0"/>
              <wp:positionH relativeFrom="margin">
                <wp:posOffset>2564130</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1.9pt;margin-top:0pt;height:144pt;width:144pt;mso-position-horizontal-relative:margin;mso-wrap-style:none;z-index:251666432;mso-width-relative:page;mso-height-relative:page;" filled="f" stroked="f" coordsize="21600,21600" o:gfxdata="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G/kfijVAAAACAEAAA8AAAAAAAAAAQAgAAAAIgAAAGRycy9kb3ducmV2LnhtbFBL&#10;AQIUABQAAAAIAIdO4kC6jDgrMgIAAGEEAAAOAAAAAAAAAAEAIAAAACQBAABkcnMvZTJvRG9jLnht&#10;bFBLBQYAAAAABgAGAFkBAADIBQAAAAA=&#10;">
              <v:fill on="f" focussize="0,0"/>
              <v:stroke on="f" weight="0.5pt"/>
              <v:imagedata o:title=""/>
              <o:lock v:ext="edit" aspectratio="f"/>
              <v:textbox inset="0mm,0mm,0mm,0mm" style="mso-fit-shape-to-text:t;">
                <w:txbxContent>
                  <w:p>
                    <w:pPr>
                      <w:pStyle w:val="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jc w:val="right"/>
      <w:rPr>
        <w:rFonts w:ascii="黑体" w:hAnsi="黑体" w:eastAsia="黑体" w:cs="黑体"/>
        <w:bCs/>
      </w:rPr>
    </w:pPr>
    <w:r>
      <w:drawing>
        <wp:anchor distT="0" distB="0" distL="114300" distR="114300" simplePos="0" relativeHeight="251662336" behindDoc="0" locked="0" layoutInCell="1" allowOverlap="1">
          <wp:simplePos x="0" y="0"/>
          <wp:positionH relativeFrom="column">
            <wp:posOffset>6927850</wp:posOffset>
          </wp:positionH>
          <wp:positionV relativeFrom="paragraph">
            <wp:posOffset>-250825</wp:posOffset>
          </wp:positionV>
          <wp:extent cx="1640205" cy="334010"/>
          <wp:effectExtent l="0" t="0" r="17145" b="8890"/>
          <wp:wrapNone/>
          <wp:docPr id="14" name="图片 14" descr="公司简报样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公司简报样板"/>
                  <pic:cNvPicPr>
                    <a:picLocks noChangeAspect="1" noChangeArrowheads="1"/>
                  </pic:cNvPicPr>
                </pic:nvPicPr>
                <pic:blipFill>
                  <a:blip r:embed="rId1">
                    <a:extLst>
                      <a:ext uri="{28A0092B-C50C-407E-A947-70E740481C1C}">
                        <a14:useLocalDpi xmlns:a14="http://schemas.microsoft.com/office/drawing/2010/main" val="0"/>
                      </a:ext>
                    </a:extLst>
                  </a:blip>
                  <a:srcRect l="19426" t="44986" r="13589" b="28510"/>
                  <a:stretch>
                    <a:fillRect/>
                  </a:stretch>
                </pic:blipFill>
                <pic:spPr>
                  <a:xfrm>
                    <a:off x="0" y="0"/>
                    <a:ext cx="1640205" cy="3340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mMDQ1YTg0YTE5OWM4N2I0YzI5MzQ2ODExNGNmYTIifQ=="/>
  </w:docVars>
  <w:rsids>
    <w:rsidRoot w:val="5F1B6236"/>
    <w:rsid w:val="00457007"/>
    <w:rsid w:val="0204742C"/>
    <w:rsid w:val="025901E7"/>
    <w:rsid w:val="032D3D2F"/>
    <w:rsid w:val="035D445C"/>
    <w:rsid w:val="03704231"/>
    <w:rsid w:val="038E7FC6"/>
    <w:rsid w:val="03F04EDD"/>
    <w:rsid w:val="043121E5"/>
    <w:rsid w:val="04844446"/>
    <w:rsid w:val="04AC0DBF"/>
    <w:rsid w:val="04C21B55"/>
    <w:rsid w:val="05CE6104"/>
    <w:rsid w:val="06525FBE"/>
    <w:rsid w:val="072843E4"/>
    <w:rsid w:val="07B90654"/>
    <w:rsid w:val="07F4372A"/>
    <w:rsid w:val="085A58FE"/>
    <w:rsid w:val="08FA50E4"/>
    <w:rsid w:val="0A2763AD"/>
    <w:rsid w:val="0AB822A5"/>
    <w:rsid w:val="0AFE3D2C"/>
    <w:rsid w:val="0B51342E"/>
    <w:rsid w:val="0BAB4BBC"/>
    <w:rsid w:val="0CF571FE"/>
    <w:rsid w:val="0CFB224A"/>
    <w:rsid w:val="0D9A50E8"/>
    <w:rsid w:val="0FC95811"/>
    <w:rsid w:val="0FEF4AEC"/>
    <w:rsid w:val="11916802"/>
    <w:rsid w:val="11B23646"/>
    <w:rsid w:val="12577104"/>
    <w:rsid w:val="13D03611"/>
    <w:rsid w:val="13DF52F2"/>
    <w:rsid w:val="140E5EE8"/>
    <w:rsid w:val="14533AC1"/>
    <w:rsid w:val="14A800EA"/>
    <w:rsid w:val="154D0E1C"/>
    <w:rsid w:val="15E16C1D"/>
    <w:rsid w:val="16C350F8"/>
    <w:rsid w:val="181E778C"/>
    <w:rsid w:val="189F7A56"/>
    <w:rsid w:val="18D97890"/>
    <w:rsid w:val="1A8045DC"/>
    <w:rsid w:val="1BB67591"/>
    <w:rsid w:val="1BBF2C12"/>
    <w:rsid w:val="20C52024"/>
    <w:rsid w:val="21A71C91"/>
    <w:rsid w:val="21AC0B87"/>
    <w:rsid w:val="24D31CEF"/>
    <w:rsid w:val="28E207C3"/>
    <w:rsid w:val="28F119A3"/>
    <w:rsid w:val="290E652C"/>
    <w:rsid w:val="293004FF"/>
    <w:rsid w:val="29405EED"/>
    <w:rsid w:val="294C1384"/>
    <w:rsid w:val="2CEF2903"/>
    <w:rsid w:val="2D054405"/>
    <w:rsid w:val="2F1653CE"/>
    <w:rsid w:val="30002DCD"/>
    <w:rsid w:val="304506CA"/>
    <w:rsid w:val="30C3032E"/>
    <w:rsid w:val="312536F5"/>
    <w:rsid w:val="34062C68"/>
    <w:rsid w:val="34DC7A6A"/>
    <w:rsid w:val="351C625F"/>
    <w:rsid w:val="354062A5"/>
    <w:rsid w:val="3660007A"/>
    <w:rsid w:val="395D0BF4"/>
    <w:rsid w:val="3A0456A0"/>
    <w:rsid w:val="3A2A4F7A"/>
    <w:rsid w:val="3AE35129"/>
    <w:rsid w:val="3CE21B3C"/>
    <w:rsid w:val="3EBF7C5B"/>
    <w:rsid w:val="3ED90148"/>
    <w:rsid w:val="3F84512C"/>
    <w:rsid w:val="40A34F11"/>
    <w:rsid w:val="41526F90"/>
    <w:rsid w:val="423D5A66"/>
    <w:rsid w:val="424F7693"/>
    <w:rsid w:val="42791374"/>
    <w:rsid w:val="42DA1D0B"/>
    <w:rsid w:val="43AA1790"/>
    <w:rsid w:val="46220AA4"/>
    <w:rsid w:val="466D7F4D"/>
    <w:rsid w:val="46ED626F"/>
    <w:rsid w:val="473C009B"/>
    <w:rsid w:val="48AB372A"/>
    <w:rsid w:val="48E716A7"/>
    <w:rsid w:val="4A7B107A"/>
    <w:rsid w:val="4A933D32"/>
    <w:rsid w:val="4AD056CA"/>
    <w:rsid w:val="4C433C79"/>
    <w:rsid w:val="4CB726ED"/>
    <w:rsid w:val="4CBB7CB4"/>
    <w:rsid w:val="4D294BEC"/>
    <w:rsid w:val="4D4203D5"/>
    <w:rsid w:val="4ED67027"/>
    <w:rsid w:val="4F3E6870"/>
    <w:rsid w:val="502D461E"/>
    <w:rsid w:val="50852AB2"/>
    <w:rsid w:val="51846B3A"/>
    <w:rsid w:val="55132319"/>
    <w:rsid w:val="560E354A"/>
    <w:rsid w:val="56666EE2"/>
    <w:rsid w:val="570916BE"/>
    <w:rsid w:val="57D4431F"/>
    <w:rsid w:val="582D4EE0"/>
    <w:rsid w:val="5838043E"/>
    <w:rsid w:val="583B5151"/>
    <w:rsid w:val="58EE2308"/>
    <w:rsid w:val="59917875"/>
    <w:rsid w:val="59F76A12"/>
    <w:rsid w:val="5B164B60"/>
    <w:rsid w:val="5C4131B7"/>
    <w:rsid w:val="5C4B1BA6"/>
    <w:rsid w:val="5C884067"/>
    <w:rsid w:val="5DCF7A63"/>
    <w:rsid w:val="5E070A4E"/>
    <w:rsid w:val="5F1B6236"/>
    <w:rsid w:val="5F3D09FC"/>
    <w:rsid w:val="615A3AE7"/>
    <w:rsid w:val="61C1213A"/>
    <w:rsid w:val="61F759E8"/>
    <w:rsid w:val="62E63DCB"/>
    <w:rsid w:val="63DF7068"/>
    <w:rsid w:val="63F20007"/>
    <w:rsid w:val="64062AD3"/>
    <w:rsid w:val="6472500B"/>
    <w:rsid w:val="648132E9"/>
    <w:rsid w:val="65401246"/>
    <w:rsid w:val="667B76B0"/>
    <w:rsid w:val="66BF7D5E"/>
    <w:rsid w:val="6770306A"/>
    <w:rsid w:val="686A2060"/>
    <w:rsid w:val="6997791C"/>
    <w:rsid w:val="69B475A4"/>
    <w:rsid w:val="6A315C77"/>
    <w:rsid w:val="6A4D58B0"/>
    <w:rsid w:val="6AE46D58"/>
    <w:rsid w:val="6AE74201"/>
    <w:rsid w:val="6C0A61C1"/>
    <w:rsid w:val="6CDE0992"/>
    <w:rsid w:val="6D4B5B2F"/>
    <w:rsid w:val="6DAC5479"/>
    <w:rsid w:val="70277E2F"/>
    <w:rsid w:val="708478B3"/>
    <w:rsid w:val="71087328"/>
    <w:rsid w:val="71763BDE"/>
    <w:rsid w:val="722E01C7"/>
    <w:rsid w:val="72C15774"/>
    <w:rsid w:val="73D94D40"/>
    <w:rsid w:val="73EA439B"/>
    <w:rsid w:val="74845476"/>
    <w:rsid w:val="75397D24"/>
    <w:rsid w:val="75D525F7"/>
    <w:rsid w:val="762C6036"/>
    <w:rsid w:val="764E38F0"/>
    <w:rsid w:val="7786126C"/>
    <w:rsid w:val="78805622"/>
    <w:rsid w:val="78C0202A"/>
    <w:rsid w:val="79A2593A"/>
    <w:rsid w:val="79D40D9E"/>
    <w:rsid w:val="79F309DD"/>
    <w:rsid w:val="7A335771"/>
    <w:rsid w:val="7A6B246A"/>
    <w:rsid w:val="7B2C6D6D"/>
    <w:rsid w:val="7E0224E7"/>
    <w:rsid w:val="7E7062A0"/>
    <w:rsid w:val="7EB40ECD"/>
    <w:rsid w:val="7ED62A31"/>
    <w:rsid w:val="7FB47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link w:val="23"/>
    <w:unhideWhenUsed/>
    <w:qFormat/>
    <w:uiPriority w:val="0"/>
    <w:pPr>
      <w:keepNext/>
      <w:keepLines/>
      <w:spacing w:before="260" w:after="260" w:line="413" w:lineRule="auto"/>
      <w:outlineLvl w:val="1"/>
    </w:pPr>
    <w:rPr>
      <w:rFonts w:ascii="Arial" w:hAnsi="Arial" w:eastAsia="黑体"/>
      <w:b/>
      <w:sz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pPr>
    <w:rPr>
      <w:rFonts w:cs="宋体"/>
      <w:szCs w:val="20"/>
    </w:rPr>
  </w:style>
  <w:style w:type="paragraph" w:styleId="3">
    <w:name w:val="Body Text Indent"/>
    <w:basedOn w:val="1"/>
    <w:next w:val="2"/>
    <w:qFormat/>
    <w:uiPriority w:val="0"/>
    <w:pPr>
      <w:spacing w:line="620" w:lineRule="exact"/>
      <w:ind w:firstLine="640" w:firstLineChars="200"/>
    </w:pPr>
    <w:rPr>
      <w:rFonts w:ascii="Times New Roman" w:hAnsi="Times New Roman" w:eastAsia="仿宋_GB2312" w:cs="Times New Roman"/>
      <w:sz w:val="32"/>
    </w:rPr>
  </w:style>
  <w:style w:type="paragraph" w:styleId="6">
    <w:name w:val="caption"/>
    <w:basedOn w:val="1"/>
    <w:next w:val="1"/>
    <w:semiHidden/>
    <w:unhideWhenUsed/>
    <w:qFormat/>
    <w:uiPriority w:val="0"/>
    <w:rPr>
      <w:rFonts w:ascii="Arial" w:hAnsi="Arial" w:eastAsia="黑体"/>
      <w:sz w:val="20"/>
    </w:rPr>
  </w:style>
  <w:style w:type="paragraph" w:styleId="7">
    <w:name w:val="Body Text"/>
    <w:basedOn w:val="1"/>
    <w:next w:val="1"/>
    <w:qFormat/>
    <w:uiPriority w:val="0"/>
    <w:pPr>
      <w:widowControl w:val="0"/>
      <w:spacing w:after="120" w:line="240" w:lineRule="auto"/>
    </w:pPr>
    <w:rPr>
      <w:sz w:val="21"/>
      <w:szCs w:val="24"/>
    </w:r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footnote text"/>
    <w:basedOn w:val="1"/>
    <w:qFormat/>
    <w:uiPriority w:val="0"/>
    <w:pPr>
      <w:snapToGrid w:val="0"/>
      <w:jc w:val="left"/>
    </w:pPr>
    <w:rPr>
      <w:sz w:val="18"/>
    </w:rPr>
  </w:style>
  <w:style w:type="paragraph" w:styleId="13">
    <w:name w:val="Title"/>
    <w:basedOn w:val="1"/>
    <w:next w:val="1"/>
    <w:qFormat/>
    <w:uiPriority w:val="0"/>
    <w:pPr>
      <w:widowControl w:val="0"/>
      <w:spacing w:before="240" w:after="60" w:line="240" w:lineRule="auto"/>
      <w:jc w:val="center"/>
      <w:outlineLvl w:val="0"/>
    </w:pPr>
    <w:rPr>
      <w:rFonts w:ascii="Arial" w:hAnsi="Arial" w:eastAsia="华文中宋" w:cs="Arial"/>
      <w:b/>
      <w:bCs/>
      <w:color w:val="FF0000"/>
      <w:sz w:val="116"/>
      <w:szCs w:val="32"/>
    </w:rPr>
  </w:style>
  <w:style w:type="character" w:styleId="16">
    <w:name w:val="footnote reference"/>
    <w:basedOn w:val="15"/>
    <w:unhideWhenUsed/>
    <w:qFormat/>
    <w:uiPriority w:val="99"/>
    <w:rPr>
      <w:vertAlign w:val="superscript"/>
    </w:rPr>
  </w:style>
  <w:style w:type="paragraph" w:customStyle="1" w:styleId="17">
    <w:name w:val="正文_0"/>
    <w:next w:val="7"/>
    <w:qFormat/>
    <w:uiPriority w:val="0"/>
    <w:pPr>
      <w:spacing w:line="560" w:lineRule="exact"/>
      <w:jc w:val="both"/>
    </w:pPr>
    <w:rPr>
      <w:rFonts w:ascii="Times New Roman" w:hAnsi="Times New Roman" w:eastAsia="仿宋_GB2312" w:cs="仿宋_GB2312"/>
      <w:kern w:val="2"/>
      <w:sz w:val="32"/>
      <w:szCs w:val="32"/>
      <w:lang w:val="en-US" w:eastAsia="zh-CN" w:bidi="ar-SA"/>
    </w:rPr>
  </w:style>
  <w:style w:type="character" w:customStyle="1" w:styleId="18">
    <w:name w:val="font11"/>
    <w:basedOn w:val="15"/>
    <w:qFormat/>
    <w:uiPriority w:val="0"/>
    <w:rPr>
      <w:rFonts w:hint="eastAsia" w:ascii="宋体" w:hAnsi="宋体" w:eastAsia="宋体" w:cs="宋体"/>
      <w:b/>
      <w:bCs/>
      <w:color w:val="000000"/>
      <w:sz w:val="18"/>
      <w:szCs w:val="18"/>
      <w:u w:val="none"/>
    </w:rPr>
  </w:style>
  <w:style w:type="character" w:customStyle="1" w:styleId="19">
    <w:name w:val="font21"/>
    <w:basedOn w:val="15"/>
    <w:qFormat/>
    <w:uiPriority w:val="0"/>
    <w:rPr>
      <w:rFonts w:hint="eastAsia" w:ascii="宋体" w:hAnsi="宋体" w:eastAsia="宋体" w:cs="宋体"/>
      <w:color w:val="000000"/>
      <w:sz w:val="18"/>
      <w:szCs w:val="18"/>
      <w:u w:val="none"/>
    </w:rPr>
  </w:style>
  <w:style w:type="character" w:customStyle="1" w:styleId="20">
    <w:name w:val="font31"/>
    <w:basedOn w:val="15"/>
    <w:qFormat/>
    <w:uiPriority w:val="0"/>
    <w:rPr>
      <w:rFonts w:hint="eastAsia" w:ascii="宋体" w:hAnsi="宋体" w:eastAsia="宋体" w:cs="宋体"/>
      <w:color w:val="000000"/>
      <w:sz w:val="18"/>
      <w:szCs w:val="18"/>
      <w:u w:val="none"/>
    </w:rPr>
  </w:style>
  <w:style w:type="paragraph" w:customStyle="1" w:styleId="21">
    <w:name w:val="p0"/>
    <w:basedOn w:val="1"/>
    <w:qFormat/>
    <w:uiPriority w:val="0"/>
    <w:pPr>
      <w:widowControl/>
    </w:pPr>
    <w:rPr>
      <w:kern w:val="0"/>
    </w:rPr>
  </w:style>
  <w:style w:type="paragraph" w:customStyle="1" w:styleId="22">
    <w:name w:val="悬空缩进"/>
    <w:qFormat/>
    <w:uiPriority w:val="0"/>
    <w:pPr>
      <w:widowControl w:val="0"/>
      <w:tabs>
        <w:tab w:val="left" w:pos="240"/>
      </w:tabs>
      <w:autoSpaceDE w:val="0"/>
      <w:autoSpaceDN w:val="0"/>
      <w:adjustRightInd w:val="0"/>
      <w:ind w:firstLine="471"/>
      <w:jc w:val="both"/>
    </w:pPr>
    <w:rPr>
      <w:rFonts w:ascii="宋体+Times New Roman Baltic" w:hAnsi="Times New Roman" w:eastAsia="宋体+Times New Roman Baltic" w:cs="宋体+Times New Roman Baltic"/>
      <w:sz w:val="24"/>
      <w:szCs w:val="24"/>
      <w:lang w:val="en-US" w:eastAsia="zh-CN" w:bidi="ar-SA"/>
    </w:rPr>
  </w:style>
  <w:style w:type="character" w:customStyle="1" w:styleId="23">
    <w:name w:val="标题 2 字符"/>
    <w:link w:val="5"/>
    <w:qFormat/>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4671</Words>
  <Characters>6488</Characters>
  <Lines>0</Lines>
  <Paragraphs>0</Paragraphs>
  <TotalTime>16</TotalTime>
  <ScaleCrop>false</ScaleCrop>
  <LinksUpToDate>false</LinksUpToDate>
  <CharactersWithSpaces>6526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2023-12-08T07:30:00Z</dcterms:created>
  <dc:creator>李佑明</dc:creator>
  <cp:lastModifiedBy>李然</cp:lastModifiedBy>
  <cp:lastPrinted>2024-12-24T00:31:00Z</cp:lastPrinted>
  <dcterms:modified xsi:type="dcterms:W3CDTF">2025-01-15T07:57:08Z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253C5D7EDA574EAB844FB8FCFAE2BE1A</vt:lpwstr>
  </property>
</Properties>
</file>