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bookmarkStart w:id="64" w:name="_GoBack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招标人提供的工程量资料</w:t>
      </w:r>
      <w:bookmarkEnd w:id="64"/>
    </w:p>
    <w:p>
      <w:pPr>
        <w:keepNext w:val="0"/>
        <w:keepLines w:val="0"/>
        <w:widowControl/>
        <w:suppressLineNumbers w:val="0"/>
        <w:jc w:val="both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/>
          <w:b/>
          <w:sz w:val="24"/>
          <w:szCs w:val="24"/>
        </w:rPr>
        <w:t>主要设备清册及主要工程量如下,各投标人按提供工程量报价</w:t>
      </w:r>
    </w:p>
    <w:tbl>
      <w:tblPr>
        <w:tblStyle w:val="4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"/>
        <w:gridCol w:w="1390"/>
        <w:gridCol w:w="1896"/>
        <w:gridCol w:w="562"/>
        <w:gridCol w:w="638"/>
        <w:gridCol w:w="2376"/>
        <w:gridCol w:w="10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outlineLvl w:val="9"/>
              <w:rPr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917" w:type="pct"/>
            <w:noWrap w:val="0"/>
            <w:vAlign w:val="center"/>
          </w:tcPr>
          <w:p>
            <w:pPr>
              <w:spacing w:line="240" w:lineRule="auto"/>
              <w:jc w:val="center"/>
              <w:outlineLvl w:val="9"/>
              <w:rPr>
                <w:b/>
                <w:sz w:val="24"/>
                <w:szCs w:val="24"/>
                <w:vertAlign w:val="baseline"/>
              </w:rPr>
            </w:pPr>
            <w:bookmarkStart w:id="0" w:name="_Toc14924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设备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(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材料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)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名称</w:t>
            </w:r>
            <w:bookmarkEnd w:id="0"/>
          </w:p>
        </w:tc>
        <w:tc>
          <w:tcPr>
            <w:tcW w:w="1078" w:type="pct"/>
            <w:noWrap w:val="0"/>
            <w:vAlign w:val="center"/>
          </w:tcPr>
          <w:p>
            <w:pPr>
              <w:spacing w:line="240" w:lineRule="auto"/>
              <w:jc w:val="center"/>
              <w:outlineLvl w:val="9"/>
              <w:rPr>
                <w:b/>
                <w:sz w:val="24"/>
                <w:szCs w:val="24"/>
                <w:vertAlign w:val="baseline"/>
              </w:rPr>
            </w:pPr>
            <w:bookmarkStart w:id="1" w:name="_Toc1357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型号及规格</w:t>
            </w:r>
            <w:bookmarkEnd w:id="1"/>
          </w:p>
        </w:tc>
        <w:tc>
          <w:tcPr>
            <w:tcW w:w="431" w:type="pct"/>
            <w:noWrap w:val="0"/>
            <w:vAlign w:val="center"/>
          </w:tcPr>
          <w:p>
            <w:pPr>
              <w:spacing w:line="240" w:lineRule="auto"/>
              <w:jc w:val="center"/>
              <w:outlineLvl w:val="9"/>
              <w:rPr>
                <w:b/>
                <w:sz w:val="24"/>
                <w:szCs w:val="24"/>
                <w:vertAlign w:val="baseline"/>
              </w:rPr>
            </w:pPr>
            <w:bookmarkStart w:id="2" w:name="_Toc18235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  <w:bookmarkEnd w:id="2"/>
          </w:p>
        </w:tc>
        <w:tc>
          <w:tcPr>
            <w:tcW w:w="476" w:type="pct"/>
            <w:noWrap w:val="0"/>
            <w:vAlign w:val="center"/>
          </w:tcPr>
          <w:p>
            <w:pPr>
              <w:spacing w:line="240" w:lineRule="auto"/>
              <w:jc w:val="center"/>
              <w:outlineLvl w:val="9"/>
              <w:rPr>
                <w:b/>
                <w:sz w:val="24"/>
                <w:szCs w:val="24"/>
                <w:vertAlign w:val="baseline"/>
              </w:rPr>
            </w:pPr>
            <w:bookmarkStart w:id="3" w:name="_Toc28691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  <w:bookmarkEnd w:id="3"/>
          </w:p>
        </w:tc>
        <w:tc>
          <w:tcPr>
            <w:tcW w:w="9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outlineLvl w:val="9"/>
              <w:rPr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  <w:tc>
          <w:tcPr>
            <w:tcW w:w="71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bookmarkStart w:id="4" w:name="_Toc25426"/>
          </w:p>
        </w:tc>
        <w:tc>
          <w:tcPr>
            <w:tcW w:w="917" w:type="pct"/>
            <w:noWrap w:val="0"/>
            <w:vAlign w:val="center"/>
          </w:tcPr>
          <w:p>
            <w:pPr>
              <w:spacing w:line="240" w:lineRule="auto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预装式预制舱式模块化变电站</w:t>
            </w:r>
          </w:p>
        </w:tc>
        <w:tc>
          <w:tcPr>
            <w:tcW w:w="1078" w:type="pct"/>
            <w:noWrap w:val="0"/>
            <w:vAlign w:val="center"/>
          </w:tcPr>
          <w:p>
            <w:pPr>
              <w:spacing w:line="240" w:lineRule="auto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spacing w:line="240" w:lineRule="auto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476" w:type="pct"/>
            <w:noWrap w:val="0"/>
            <w:vAlign w:val="center"/>
          </w:tcPr>
          <w:p>
            <w:pPr>
              <w:spacing w:line="240" w:lineRule="auto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20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1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  <w:t>一</w:t>
            </w:r>
            <w:bookmarkEnd w:id="4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预制舱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920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5" w:name="_Toc21294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包含预制舱基础、知名空调、照明等</w:t>
            </w:r>
            <w:bookmarkEnd w:id="5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，见1.4性能要求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土建施工单位另招，预制舱基础由土建施工单位负责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舱体 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bookmarkStart w:id="6" w:name="_Toc11777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19.0*7.4*3.2</w:t>
            </w:r>
            <w:bookmarkEnd w:id="6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（m）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bookmarkStart w:id="7" w:name="_Toc18625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台</w:t>
            </w:r>
            <w:bookmarkEnd w:id="7"/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3 列共 60 面屏位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舱体 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28.6*5.1*3.2（m）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8" w:name="_Toc14215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台</w:t>
            </w:r>
            <w:bookmarkEnd w:id="8"/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2 列共 60 面屏位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3 </w:t>
            </w:r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舱体 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20.6*9.5*3.2（m）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9" w:name="_Toc11281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台</w:t>
            </w:r>
            <w:bookmarkEnd w:id="9"/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 列共 88 面屏位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4 </w:t>
            </w:r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舱体 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25.4*5.1*3.2（m）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10" w:name="_Toc21009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台</w:t>
            </w:r>
            <w:bookmarkEnd w:id="10"/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2 列共 56 面屏位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bookmarkStart w:id="11" w:name="_Toc17068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  <w:t>二</w:t>
            </w:r>
            <w:bookmarkEnd w:id="11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各系统及接入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920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  <w:t>各系统均需考虑接入原系统所需设备或配件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12" w:name="_Toc16572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  <w:bookmarkEnd w:id="12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门禁安防（含空调水浸）设备及接入现有系统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078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bookmarkStart w:id="13" w:name="_Toc12248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具有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人脸识别、密码、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刷卡开门、关门，驱动电锁等功能</w:t>
            </w:r>
            <w:bookmarkEnd w:id="13"/>
          </w:p>
        </w:tc>
        <w:tc>
          <w:tcPr>
            <w:tcW w:w="431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bookmarkStart w:id="14" w:name="_Toc23505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  <w:t>套</w:t>
            </w:r>
            <w:bookmarkEnd w:id="14"/>
          </w:p>
        </w:tc>
        <w:tc>
          <w:tcPr>
            <w:tcW w:w="47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15" w:name="_Toc3180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  <w:bookmarkEnd w:id="15"/>
          </w:p>
        </w:tc>
        <w:tc>
          <w:tcPr>
            <w:tcW w:w="920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bookmarkStart w:id="16" w:name="_Toc15284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根据门数量、空调数量配置。需要接入原系统为大华系统：</w:t>
            </w:r>
            <w:bookmarkEnd w:id="16"/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bookmarkStart w:id="17" w:name="_Toc3714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门禁：DH-ASI7213X-V1  空调远程控制器：ZHT-AC485T</w:t>
            </w:r>
            <w:bookmarkEnd w:id="17"/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bookmarkStart w:id="18" w:name="_Toc18515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温湿度传感器：TC-TH-D1</w:t>
            </w:r>
            <w:bookmarkEnd w:id="18"/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bookmarkStart w:id="19" w:name="_Toc18338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泄漏感应绳：TC-ALD-5M</w:t>
            </w:r>
            <w:bookmarkEnd w:id="19"/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bookmarkStart w:id="20" w:name="_Toc14625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泄漏检测器：TC-ALD-301</w:t>
            </w:r>
            <w:bookmarkEnd w:id="20"/>
          </w:p>
        </w:tc>
        <w:tc>
          <w:tcPr>
            <w:tcW w:w="71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8" w:hRule="atLeast"/>
        </w:trPr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智能</w:t>
            </w:r>
            <w:r>
              <w:rPr>
                <w:rFonts w:hint="eastAsia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摄像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设备及接入现有系统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</w:rPr>
              <w:t>可见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球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形终端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及配套设施（含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POE交换机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bookmarkStart w:id="21" w:name="_Toc4384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  <w:t>台</w:t>
            </w:r>
            <w:bookmarkEnd w:id="21"/>
          </w:p>
        </w:tc>
        <w:tc>
          <w:tcPr>
            <w:tcW w:w="47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22" w:name="_Toc5189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16</w:t>
            </w:r>
            <w:bookmarkEnd w:id="22"/>
          </w:p>
        </w:tc>
        <w:tc>
          <w:tcPr>
            <w:tcW w:w="920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bookmarkStart w:id="23" w:name="_Toc8895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每个小室根据现有屏柜配置2台</w:t>
            </w:r>
            <w:bookmarkEnd w:id="23"/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bookmarkStart w:id="24" w:name="_Toc31751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，需要接入原系统：杭州宇视系统</w:t>
            </w:r>
            <w:bookmarkEnd w:id="24"/>
          </w:p>
        </w:tc>
        <w:tc>
          <w:tcPr>
            <w:tcW w:w="71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WAPI网络终端及接入现有系统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25" w:name="_Toc17652"/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无线AP，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室内型WAPI（光口），带光纤PoE供电器，5年质保。</w:t>
            </w:r>
            <w:bookmarkEnd w:id="25"/>
          </w:p>
        </w:tc>
        <w:tc>
          <w:tcPr>
            <w:tcW w:w="431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  <w:bookmarkStart w:id="26" w:name="_Toc32133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台</w:t>
            </w:r>
            <w:bookmarkEnd w:id="26"/>
          </w:p>
          <w:p>
            <w:pPr>
              <w:pStyle w:val="2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27" w:name="_Toc3954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  <w:bookmarkEnd w:id="27"/>
          </w:p>
        </w:tc>
        <w:tc>
          <w:tcPr>
            <w:tcW w:w="920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bookmarkStart w:id="28" w:name="_Toc22649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每个小室配置室内AP一台</w:t>
            </w:r>
            <w:bookmarkEnd w:id="28"/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bookmarkStart w:id="29" w:name="_Toc11242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需要接入原系统为华为技术有限公司</w:t>
            </w:r>
            <w:bookmarkEnd w:id="29"/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bookmarkStart w:id="30" w:name="_Toc25909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AP AirEngine5761R-11E</w:t>
            </w:r>
            <w:bookmarkEnd w:id="30"/>
          </w:p>
        </w:tc>
        <w:tc>
          <w:tcPr>
            <w:tcW w:w="71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917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bookmarkStart w:id="31" w:name="_Toc28594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火灾报警设备及接入现有系统</w:t>
            </w:r>
            <w:bookmarkEnd w:id="31"/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  <w:t>含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声光报警器、模块、按钮等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920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bookmarkStart w:id="32" w:name="_Toc5003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需要接入原系统为海湾JB-QB-GST200</w:t>
            </w:r>
            <w:bookmarkEnd w:id="32"/>
          </w:p>
        </w:tc>
        <w:tc>
          <w:tcPr>
            <w:tcW w:w="71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现场服务费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78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eastAsia="zh-CN"/>
              </w:rPr>
              <w:t>项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71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二 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屏柜及设备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78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920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bookmarkStart w:id="33" w:name="_Toc26822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门锁采用智能锁具（原站内系统为珠海优特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</w:rPr>
              <w:t>JOYO-E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</w:rPr>
              <w:t xml:space="preserve"> 智能锁具管理系统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）</w:t>
            </w:r>
            <w:bookmarkEnd w:id="33"/>
          </w:p>
        </w:tc>
        <w:tc>
          <w:tcPr>
            <w:tcW w:w="71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34" w:name="_Toc21926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  <w:bookmarkEnd w:id="34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交流综合电源屏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含设备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面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各小室配置一面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35" w:name="_Toc23288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  <w:bookmarkEnd w:id="35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直流馈线屏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含设备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面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36" w:name="_Toc24097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8</w:t>
            </w:r>
            <w:bookmarkEnd w:id="36"/>
          </w:p>
        </w:tc>
        <w:tc>
          <w:tcPr>
            <w:tcW w:w="920" w:type="pct"/>
            <w:noWrap w:val="0"/>
            <w:vAlign w:val="top"/>
          </w:tcPr>
          <w:p>
            <w:pPr>
              <w:widowControl/>
              <w:spacing w:line="240" w:lineRule="auto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各小室配置二面（包含绝缘监测装置从机）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widowControl/>
              <w:spacing w:line="240" w:lineRule="auto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37" w:name="_Toc30333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  <w:bookmarkEnd w:id="37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时钟同步分屏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含设备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面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各小室配置一面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71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38" w:name="_Toc30286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  <w:bookmarkEnd w:id="38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光纤接口屏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含设备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面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39" w:name="_Toc20700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  <w:bookmarkEnd w:id="39"/>
          </w:p>
        </w:tc>
        <w:tc>
          <w:tcPr>
            <w:tcW w:w="920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40" w:name="_Toc21795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35kV 保护小室不配置</w:t>
            </w:r>
            <w:bookmarkEnd w:id="40"/>
          </w:p>
        </w:tc>
        <w:tc>
          <w:tcPr>
            <w:tcW w:w="71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41" w:name="_Toc26283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  <w:bookmarkEnd w:id="41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交流电源分屏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含设备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面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各小室配置一面</w:t>
            </w:r>
          </w:p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716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42" w:name="_Toc2155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三</w:t>
            </w:r>
            <w:bookmarkEnd w:id="42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线缆及辅材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43" w:name="_Toc19411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  <w:bookmarkEnd w:id="43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镀锌钢管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DN50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公里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满足工程实际需求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土建施工单位负责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44" w:name="_Toc17548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  <w:bookmarkEnd w:id="44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镀锌钢管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45" w:name="_Toc6849"/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DN32</w:t>
            </w:r>
            <w:bookmarkEnd w:id="45"/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公里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满足工程实际需求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土建施工单位负责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46" w:name="_Toc31607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  <w:bookmarkEnd w:id="46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动力电缆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ZAN/NH-YJV22-4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x50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公里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9.7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甲供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47" w:name="_Toc519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  <w:bookmarkEnd w:id="47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光缆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 芯单模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公里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1.3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甲供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48" w:name="_Toc15410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  <w:bookmarkEnd w:id="48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光缆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48芯单模（通信光缆）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公里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1.3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甲供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49" w:name="_Toc3147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  <w:bookmarkEnd w:id="49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感温电缆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含固定卡具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公里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1.2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S 型敷设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50" w:name="_Toc10143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  <w:bookmarkEnd w:id="50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感温电缆微机/终端盒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与感温电缆配套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套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51" w:name="_Toc23673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8</w:t>
            </w:r>
            <w:bookmarkEnd w:id="51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烟感探测器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个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16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每个舱体2个烟感探测器，满足工程实际需求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52" w:name="_Toc27743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9</w:t>
            </w:r>
            <w:bookmarkEnd w:id="52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自动灭火装置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超细干粉悬挂灭火器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只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default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40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安装于电缆夹层，根据夹层面积布置，预估每个小室电缆夹层布置不少于10只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53" w:name="_Toc10369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10</w:t>
            </w:r>
            <w:bookmarkEnd w:id="53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灭火器箱及灭火器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每个舱体配置2个灭火器箱及4支二氧化碳灭火器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54" w:name="_Toc2830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11</w:t>
            </w:r>
            <w:bookmarkEnd w:id="54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模块箱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55" w:name="_Toc20282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12</w:t>
            </w:r>
            <w:bookmarkEnd w:id="55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电缆沟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default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1.2x1.0（m）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米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60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土建施工单位负责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56" w:name="_Toc27950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13</w:t>
            </w:r>
            <w:bookmarkEnd w:id="56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电缆沟支架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角钢热镀锌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副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200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土建施工单位负责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57" w:name="_Toc2585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14</w:t>
            </w:r>
            <w:bookmarkEnd w:id="57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盖板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米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60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土建施工单位负责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58" w:name="_Toc27758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15</w:t>
            </w:r>
            <w:bookmarkEnd w:id="58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镀锌扁钢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-60x6 热镀锌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米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100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沟内一次接地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土建施工单位负责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59" w:name="_Toc477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16</w:t>
            </w:r>
            <w:bookmarkEnd w:id="59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接地铜牌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40x5（mm）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米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150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沟内二次接地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土建施工单位负责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60" w:name="_Toc5432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17</w:t>
            </w:r>
            <w:bookmarkEnd w:id="60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接地铜牌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40x5（mm）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米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400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预制舱二次接地网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土建施工单位负责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61" w:name="_Toc1376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18</w:t>
            </w:r>
            <w:bookmarkEnd w:id="61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铜缆线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1x120mm2</w:t>
            </w: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米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50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本期屏柜接地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土建施工单位负责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62" w:name="_Toc1708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19</w:t>
            </w:r>
            <w:bookmarkEnd w:id="62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掀盖板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公里</w:t>
            </w: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土建施工单位负责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noWrap w:val="0"/>
            <w:vAlign w:val="top"/>
          </w:tcPr>
          <w:p>
            <w:pPr>
              <w:spacing w:line="240" w:lineRule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63" w:name="_Toc23596"/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20</w:t>
            </w:r>
            <w:bookmarkEnd w:id="63"/>
          </w:p>
        </w:tc>
        <w:tc>
          <w:tcPr>
            <w:tcW w:w="917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网线和计算机屏蔽双绞线。</w:t>
            </w:r>
          </w:p>
        </w:tc>
        <w:tc>
          <w:tcPr>
            <w:tcW w:w="1078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31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7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2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满足工程实际需求</w:t>
            </w:r>
          </w:p>
        </w:tc>
        <w:tc>
          <w:tcPr>
            <w:tcW w:w="716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JlZjY5YWJkNGEwNjhhYmZlN2EwOTgyYzMxYTJlYTYifQ=="/>
    <w:docVar w:name="KSO_WPS_MARK_KEY" w:val="add76c4a-f7ee-472f-a10c-e695386a185e"/>
  </w:docVars>
  <w:rsids>
    <w:rsidRoot w:val="6BED423C"/>
    <w:rsid w:val="6BE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宋体" w:hAnsi="宋体" w:eastAsia="宋体" w:cs="宋体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unhideWhenUsed/>
    <w:qFormat/>
    <w:uiPriority w:val="0"/>
    <w:pPr>
      <w:spacing w:before="100" w:beforeAutospacing="1" w:after="0"/>
      <w:ind w:firstLine="420"/>
    </w:pPr>
    <w:rPr>
      <w:rFonts w:ascii="Times New Roman" w:hAnsi="Times New Roman"/>
    </w:rPr>
  </w:style>
  <w:style w:type="table" w:styleId="4">
    <w:name w:val="Table Grid"/>
    <w:basedOn w:val="3"/>
    <w:qFormat/>
    <w:uiPriority w:val="59"/>
    <w:rPr>
      <w:rFonts w:ascii="Calibri" w:hAnsi="Calibri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2025-01-23T08:51:00Z</dcterms:created>
  <dc:creator>林家成</dc:creator>
  <cp:lastModifiedBy>林家成</cp:lastModifiedBy>
  <dcterms:modified xsi:type="dcterms:W3CDTF">2025-01-23T08:58:19Z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6182B836088D4925875BEE08940F5052_11</vt:lpwstr>
  </property>
</Properties>
</file>