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1"/>
          <w:numId w:val="0"/>
        </w:numPr>
        <w:tabs>
          <w:tab w:val="center" w:pos="4156"/>
        </w:tabs>
        <w:bidi w:val="0"/>
        <w:spacing w:line="360" w:lineRule="auto"/>
        <w:ind w:left="142" w:leftChars="0"/>
        <w:jc w:val="center"/>
        <w:outlineLvl w:val="0"/>
        <w:rPr>
          <w:rFonts w:hint="default" w:cs="Times New Roman"/>
          <w:b/>
          <w:bCs/>
          <w:lang w:val="en-US" w:eastAsia="zh-CN"/>
        </w:rPr>
      </w:pPr>
      <w:r>
        <w:rPr>
          <w:rFonts w:hint="default" w:cs="Times New Roman"/>
          <w:b/>
          <w:bCs/>
          <w:lang w:val="en-US" w:eastAsia="zh-CN"/>
        </w:rPr>
        <w:t>南方电网资本控股公司所属融资租赁公司蒙西项目债权回收评估鉴</w:t>
      </w:r>
      <w:bookmarkStart w:id="0" w:name="_GoBack"/>
      <w:bookmarkEnd w:id="0"/>
      <w:r>
        <w:rPr>
          <w:rFonts w:hint="default" w:cs="Times New Roman"/>
          <w:b/>
          <w:bCs/>
          <w:lang w:val="en-US" w:eastAsia="zh-CN"/>
        </w:rPr>
        <w:t>证</w:t>
      </w:r>
    </w:p>
    <w:tbl>
      <w:tblPr>
        <w:tblStyle w:val="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2130"/>
        <w:gridCol w:w="4335"/>
        <w:gridCol w:w="1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27" w:type="dxa"/>
            <w:tcBorders>
              <w:bottom w:val="single" w:color="auto" w:sz="4" w:space="0"/>
            </w:tcBorders>
            <w:noWrap w:val="0"/>
            <w:vAlign w:val="center"/>
          </w:tcPr>
          <w:p>
            <w:pPr>
              <w:spacing w:line="560" w:lineRule="exact"/>
              <w:jc w:val="center"/>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t>成果分类</w:t>
            </w:r>
          </w:p>
        </w:tc>
        <w:tc>
          <w:tcPr>
            <w:tcW w:w="2130" w:type="dxa"/>
            <w:tcBorders>
              <w:bottom w:val="single" w:color="auto" w:sz="4" w:space="0"/>
            </w:tcBorders>
            <w:noWrap w:val="0"/>
            <w:vAlign w:val="center"/>
          </w:tcPr>
          <w:p>
            <w:pPr>
              <w:spacing w:line="560" w:lineRule="exact"/>
              <w:jc w:val="center"/>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成果名称</w:t>
            </w:r>
          </w:p>
        </w:tc>
        <w:tc>
          <w:tcPr>
            <w:tcW w:w="4335" w:type="dxa"/>
            <w:tcBorders>
              <w:bottom w:val="single" w:color="auto" w:sz="4" w:space="0"/>
            </w:tcBorders>
            <w:noWrap w:val="0"/>
            <w:vAlign w:val="center"/>
          </w:tcPr>
          <w:p>
            <w:pPr>
              <w:spacing w:line="560" w:lineRule="exact"/>
              <w:jc w:val="center"/>
              <w:rPr>
                <w:rFonts w:hint="default" w:ascii="Times New Roman" w:hAnsi="Times New Roman" w:cs="Times New Roman"/>
                <w:sz w:val="24"/>
                <w:szCs w:val="24"/>
              </w:rPr>
            </w:pPr>
            <w:r>
              <w:rPr>
                <w:rFonts w:hint="default" w:ascii="Times New Roman" w:hAnsi="Times New Roman" w:cs="Times New Roman"/>
                <w:sz w:val="24"/>
                <w:szCs w:val="24"/>
              </w:rPr>
              <w:t>交付标准</w:t>
            </w:r>
          </w:p>
        </w:tc>
        <w:tc>
          <w:tcPr>
            <w:tcW w:w="1946" w:type="dxa"/>
            <w:tcBorders>
              <w:bottom w:val="single" w:color="auto" w:sz="4" w:space="0"/>
            </w:tcBorders>
            <w:noWrap w:val="0"/>
            <w:vAlign w:val="center"/>
          </w:tcPr>
          <w:p>
            <w:pPr>
              <w:spacing w:line="560" w:lineRule="exact"/>
              <w:jc w:val="center"/>
              <w:rPr>
                <w:rFonts w:hint="default" w:ascii="Times New Roman" w:hAnsi="Times New Roman" w:cs="Times New Roman"/>
                <w:sz w:val="24"/>
                <w:szCs w:val="24"/>
                <w:lang w:val="en-US" w:eastAsia="zh-CN"/>
              </w:rPr>
            </w:pPr>
            <w:r>
              <w:rPr>
                <w:rFonts w:hint="default" w:ascii="Times New Roman" w:hAnsi="Times New Roman" w:cs="Times New Roman"/>
                <w:sz w:val="24"/>
                <w:szCs w:val="24"/>
              </w:rPr>
              <w:t>成果说明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227" w:type="dxa"/>
            <w:tcBorders>
              <w:bottom w:val="single" w:color="auto" w:sz="4" w:space="0"/>
            </w:tcBorders>
            <w:noWrap w:val="0"/>
            <w:vAlign w:val="center"/>
          </w:tcPr>
          <w:p>
            <w:pPr>
              <w:spacing w:line="560" w:lineRule="exact"/>
              <w:jc w:val="center"/>
              <w:rPr>
                <w:rFonts w:hint="default" w:ascii="Times New Roman" w:hAnsi="Times New Roman" w:cs="Times New Roman"/>
                <w:sz w:val="24"/>
                <w:szCs w:val="24"/>
              </w:rPr>
            </w:pPr>
            <w:r>
              <w:rPr>
                <w:rFonts w:hint="default" w:ascii="Times New Roman" w:hAnsi="Times New Roman" w:cs="Times New Roman"/>
                <w:sz w:val="24"/>
                <w:szCs w:val="24"/>
              </w:rPr>
              <w:t>报告</w:t>
            </w:r>
          </w:p>
        </w:tc>
        <w:tc>
          <w:tcPr>
            <w:tcW w:w="2130" w:type="dxa"/>
            <w:tcBorders>
              <w:bottom w:val="single" w:color="auto" w:sz="4" w:space="0"/>
            </w:tcBorders>
            <w:noWrap w:val="0"/>
            <w:vAlign w:val="center"/>
          </w:tcPr>
          <w:p>
            <w:pPr>
              <w:spacing w:line="560" w:lineRule="exac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南方电网资本控股公司所属融资租赁公司蒙西项目债权回收评估鉴证</w:t>
            </w:r>
            <w:r>
              <w:rPr>
                <w:rFonts w:hint="eastAsia" w:cs="Times New Roman"/>
                <w:sz w:val="24"/>
                <w:szCs w:val="24"/>
                <w:lang w:val="en-US" w:eastAsia="zh-CN"/>
              </w:rPr>
              <w:t>报告</w:t>
            </w:r>
          </w:p>
        </w:tc>
        <w:tc>
          <w:tcPr>
            <w:tcW w:w="4335" w:type="dxa"/>
            <w:tcBorders>
              <w:bottom w:val="single" w:color="auto" w:sz="4" w:space="0"/>
            </w:tcBorders>
            <w:noWrap w:val="0"/>
            <w:vAlign w:val="center"/>
          </w:tcPr>
          <w:p>
            <w:pPr>
              <w:spacing w:line="560" w:lineRule="exact"/>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针对南网融资租赁有限公司乌拉特、杭锦旗、阿拉善光伏电站售后回租项目债权回收进行评估鉴证并出具报告</w:t>
            </w:r>
          </w:p>
        </w:tc>
        <w:tc>
          <w:tcPr>
            <w:tcW w:w="1946" w:type="dxa"/>
            <w:tcBorders>
              <w:bottom w:val="single" w:color="auto" w:sz="4" w:space="0"/>
            </w:tcBorders>
            <w:noWrap w:val="0"/>
            <w:vAlign w:val="center"/>
          </w:tcPr>
          <w:p>
            <w:pPr>
              <w:spacing w:line="560" w:lineRule="exact"/>
              <w:jc w:val="center"/>
              <w:rPr>
                <w:rFonts w:hint="default" w:ascii="Times New Roman" w:hAnsi="Times New Roman" w:eastAsia="宋体" w:cs="Times New Roman"/>
                <w:sz w:val="24"/>
                <w:szCs w:val="24"/>
                <w:lang w:val="en-US" w:eastAsia="zh-CN"/>
              </w:rPr>
            </w:pPr>
            <w:r>
              <w:rPr>
                <w:rFonts w:hint="eastAsia" w:cs="Times New Roman"/>
                <w:sz w:val="24"/>
                <w:szCs w:val="24"/>
                <w:lang w:val="en-US" w:eastAsia="zh-CN"/>
              </w:rPr>
              <w:t>2025年2月28日前完成</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BC729A"/>
    <w:multiLevelType w:val="multilevel"/>
    <w:tmpl w:val="88BC729A"/>
    <w:lvl w:ilvl="0" w:tentative="0">
      <w:start w:val="1"/>
      <w:numFmt w:val="decimal"/>
      <w:pStyle w:val="2"/>
      <w:suff w:val="nothing"/>
      <w:lvlText w:val="%1"/>
      <w:lvlJc w:val="left"/>
      <w:pPr>
        <w:ind w:left="432" w:hanging="432"/>
      </w:pPr>
      <w:rPr>
        <w:rFonts w:hint="default" w:ascii="宋体" w:hAnsi="宋体" w:eastAsia="宋体" w:cs="宋体"/>
      </w:rPr>
    </w:lvl>
    <w:lvl w:ilvl="1" w:tentative="0">
      <w:start w:val="1"/>
      <w:numFmt w:val="decimal"/>
      <w:pStyle w:val="3"/>
      <w:suff w:val="nothing"/>
      <w:lvlText w:val="%2 "/>
      <w:lvlJc w:val="left"/>
      <w:pPr>
        <w:tabs>
          <w:tab w:val="left" w:pos="0"/>
        </w:tabs>
        <w:ind w:left="718" w:hanging="576"/>
      </w:pPr>
      <w:rPr>
        <w:rFonts w:hint="default" w:ascii="宋体" w:hAnsi="宋体" w:eastAsia="宋体" w:cs="宋体"/>
      </w:rPr>
    </w:lvl>
    <w:lvl w:ilvl="2" w:tentative="0">
      <w:start w:val="1"/>
      <w:numFmt w:val="decimal"/>
      <w:suff w:val="nothing"/>
      <w:lvlText w:val="%2.%3 "/>
      <w:lvlJc w:val="left"/>
      <w:pPr>
        <w:tabs>
          <w:tab w:val="left" w:pos="420"/>
        </w:tabs>
        <w:ind w:left="720" w:hanging="720"/>
      </w:pPr>
      <w:rPr>
        <w:rFonts w:hint="default" w:ascii="宋体" w:hAnsi="宋体" w:eastAsia="宋体" w:cs="宋体"/>
      </w:rPr>
    </w:lvl>
    <w:lvl w:ilvl="3" w:tentative="0">
      <w:start w:val="1"/>
      <w:numFmt w:val="decimal"/>
      <w:lvlText w:val="%2.%3.%4 "/>
      <w:lvlJc w:val="left"/>
      <w:pPr>
        <w:tabs>
          <w:tab w:val="left" w:pos="420"/>
        </w:tabs>
        <w:ind w:left="1006" w:hanging="864"/>
      </w:pPr>
      <w:rPr>
        <w:rFonts w:hint="default" w:ascii="宋体" w:hAnsi="宋体" w:eastAsia="宋体" w:cs="宋体"/>
      </w:rPr>
    </w:lvl>
    <w:lvl w:ilvl="4" w:tentative="0">
      <w:start w:val="1"/>
      <w:numFmt w:val="decimal"/>
      <w:lvlText w:val="%2.%3.%4.%5"/>
      <w:lvlJc w:val="left"/>
      <w:pPr>
        <w:ind w:left="1008" w:hanging="1008"/>
      </w:pPr>
      <w:rPr>
        <w:rFonts w:hint="default" w:ascii="宋体" w:hAnsi="宋体" w:eastAsia="宋体" w:cs="宋体"/>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5D496D"/>
    <w:rsid w:val="0BEB1A87"/>
    <w:rsid w:val="12C00AC4"/>
    <w:rsid w:val="1C4F10E8"/>
    <w:rsid w:val="1F796D4F"/>
    <w:rsid w:val="27CE1A0E"/>
    <w:rsid w:val="28B84E30"/>
    <w:rsid w:val="29850C10"/>
    <w:rsid w:val="30332B06"/>
    <w:rsid w:val="35522B8E"/>
    <w:rsid w:val="37990551"/>
    <w:rsid w:val="39CE4D92"/>
    <w:rsid w:val="3B6A488E"/>
    <w:rsid w:val="3C0F22B8"/>
    <w:rsid w:val="3CAB0685"/>
    <w:rsid w:val="4174348E"/>
    <w:rsid w:val="4A496431"/>
    <w:rsid w:val="4E776D2D"/>
    <w:rsid w:val="4EF00A7B"/>
    <w:rsid w:val="59C109D7"/>
    <w:rsid w:val="66F43AF7"/>
    <w:rsid w:val="743E7726"/>
    <w:rsid w:val="7B9C3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9"/>
    <w:pPr>
      <w:keepNext/>
      <w:keepLines/>
      <w:pageBreakBefore/>
      <w:numPr>
        <w:ilvl w:val="0"/>
        <w:numId w:val="1"/>
      </w:numPr>
      <w:adjustRightInd w:val="0"/>
      <w:snapToGrid w:val="0"/>
      <w:outlineLvl w:val="0"/>
    </w:pPr>
    <w:rPr>
      <w:rFonts w:eastAsia="宋体"/>
      <w:b/>
      <w:bCs/>
      <w:kern w:val="44"/>
      <w:sz w:val="32"/>
      <w:szCs w:val="44"/>
    </w:rPr>
  </w:style>
  <w:style w:type="paragraph" w:styleId="3">
    <w:name w:val="heading 2"/>
    <w:basedOn w:val="1"/>
    <w:next w:val="1"/>
    <w:qFormat/>
    <w:uiPriority w:val="0"/>
    <w:pPr>
      <w:keepLines/>
      <w:numPr>
        <w:ilvl w:val="1"/>
        <w:numId w:val="1"/>
      </w:numPr>
      <w:spacing w:before="50" w:beforeLines="50" w:after="50" w:afterLines="50"/>
      <w:outlineLvl w:val="1"/>
    </w:pPr>
    <w:rPr>
      <w:rFonts w:ascii="Cambria" w:hAnsi="Cambria" w:eastAsia="宋体"/>
      <w:b/>
      <w:bCs/>
      <w:sz w:val="28"/>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2024-10-09T08:42:00Z</dcterms:created>
  <dc:creator>wangrx</dc:creator>
  <cp:lastModifiedBy>1390495DA19446D3801F55149C4E6023</cp:lastModifiedBy>
  <dcterms:modified xsi:type="dcterms:W3CDTF">2025-02-14T01:42:30Z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8D38654C922546B6B2861CD0F1FF9F26</vt:lpwstr>
  </property>
</Properties>
</file>