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报价清单</w:t>
      </w:r>
    </w:p>
    <w:tbl>
      <w:tblPr>
        <w:tblStyle w:val="9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9"/>
        <w:gridCol w:w="1394"/>
        <w:gridCol w:w="6791"/>
        <w:gridCol w:w="569"/>
        <w:gridCol w:w="742"/>
        <w:gridCol w:w="1459"/>
        <w:gridCol w:w="1230"/>
        <w:gridCol w:w="11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1" w:hRule="atLeast"/>
          <w:jc w:val="center"/>
        </w:trPr>
        <w:tc>
          <w:tcPr>
            <w:tcW w:w="282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492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服务名称</w:t>
            </w:r>
          </w:p>
        </w:tc>
        <w:tc>
          <w:tcPr>
            <w:tcW w:w="2397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服务主要内容</w:t>
            </w:r>
          </w:p>
        </w:tc>
        <w:tc>
          <w:tcPr>
            <w:tcW w:w="201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260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515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含税最高限价（元）</w:t>
            </w:r>
          </w:p>
        </w:tc>
        <w:tc>
          <w:tcPr>
            <w:tcW w:w="434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含税报价（元）</w:t>
            </w:r>
          </w:p>
        </w:tc>
        <w:tc>
          <w:tcPr>
            <w:tcW w:w="416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8" w:hRule="atLeast"/>
          <w:jc w:val="center"/>
        </w:trPr>
        <w:tc>
          <w:tcPr>
            <w:tcW w:w="282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49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编制</w:t>
            </w:r>
            <w:r>
              <w:rPr>
                <w:rFonts w:hint="eastAsia" w:eastAsia="宋体"/>
                <w:color w:val="auto"/>
                <w:sz w:val="28"/>
                <w:szCs w:val="28"/>
                <w:lang w:val="en-US" w:eastAsia="zh-CN"/>
              </w:rPr>
              <w:t>研发费专项</w:t>
            </w:r>
            <w:r>
              <w:rPr>
                <w:rFonts w:hint="eastAsia" w:eastAsia="宋体"/>
                <w:color w:val="auto"/>
                <w:sz w:val="28"/>
                <w:szCs w:val="28"/>
                <w:lang w:eastAsia="zh-CN"/>
              </w:rPr>
              <w:t>审计报告</w:t>
            </w:r>
          </w:p>
        </w:tc>
        <w:tc>
          <w:tcPr>
            <w:tcW w:w="2397" w:type="pct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编制云南储能</w:t>
            </w:r>
            <w:r>
              <w:rPr>
                <w:rFonts w:hint="eastAsia" w:eastAsia="宋体"/>
                <w:color w:val="auto"/>
                <w:sz w:val="28"/>
                <w:szCs w:val="28"/>
                <w:lang w:eastAsia="zh-CN"/>
              </w:rPr>
              <w:t>2023年、2024年度</w:t>
            </w:r>
            <w:r>
              <w:rPr>
                <w:rFonts w:hint="eastAsia" w:eastAsia="宋体"/>
                <w:color w:val="auto"/>
                <w:sz w:val="28"/>
                <w:szCs w:val="28"/>
                <w:lang w:val="en-US" w:eastAsia="zh-CN"/>
              </w:rPr>
              <w:t>研发费专项</w:t>
            </w:r>
            <w:r>
              <w:rPr>
                <w:rFonts w:hint="eastAsia" w:eastAsia="宋体"/>
                <w:color w:val="auto"/>
                <w:sz w:val="28"/>
                <w:szCs w:val="28"/>
                <w:lang w:eastAsia="zh-CN"/>
              </w:rPr>
              <w:t>审计报告（需体现营业收入、主营业务收入、主营业务收入占营业收入比重、主营业务收入增长率、净利润率、资产负债率、研发费用及占比等关键指标）</w:t>
            </w:r>
          </w:p>
        </w:tc>
        <w:tc>
          <w:tcPr>
            <w:tcW w:w="201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260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515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20000</w:t>
            </w:r>
          </w:p>
        </w:tc>
        <w:tc>
          <w:tcPr>
            <w:tcW w:w="434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6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服务内容详见技术规范书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5" w:hRule="atLeast"/>
          <w:jc w:val="center"/>
        </w:trPr>
        <w:tc>
          <w:tcPr>
            <w:tcW w:w="282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49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eastAsia="宋体"/>
                <w:color w:val="auto"/>
                <w:sz w:val="28"/>
                <w:szCs w:val="28"/>
                <w:lang w:val="en-US" w:eastAsia="zh-CN"/>
              </w:rPr>
              <w:t>专精特新中小企业申报</w:t>
            </w: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服务</w:t>
            </w:r>
          </w:p>
        </w:tc>
        <w:tc>
          <w:tcPr>
            <w:tcW w:w="239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8"/>
                <w:szCs w:val="28"/>
                <w:lang w:val="en-US" w:eastAsia="zh-CN"/>
              </w:rPr>
              <w:t>负责收集</w:t>
            </w:r>
            <w:r>
              <w:rPr>
                <w:rFonts w:hint="default" w:eastAsia="宋体"/>
                <w:color w:val="auto"/>
                <w:sz w:val="28"/>
                <w:szCs w:val="28"/>
                <w:lang w:val="en-US" w:eastAsia="zh-CN"/>
              </w:rPr>
              <w:t>专精特新中小企业申报</w:t>
            </w:r>
            <w:r>
              <w:rPr>
                <w:rFonts w:hint="eastAsia" w:ascii="Times New Roman" w:hAnsi="Times New Roman" w:eastAsia="宋体" w:cs="Times New Roman"/>
                <w:color w:val="auto"/>
                <w:sz w:val="28"/>
                <w:szCs w:val="28"/>
                <w:lang w:val="en-US" w:eastAsia="zh-CN"/>
              </w:rPr>
              <w:t>材料，全程跟进申报流程，负责线上系统填报、材料提交及与主管部门沟通协调，相关部门现场答疑说明，并提供申报成功后的后续维护服务。</w:t>
            </w:r>
          </w:p>
        </w:tc>
        <w:tc>
          <w:tcPr>
            <w:tcW w:w="201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260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515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25000</w:t>
            </w:r>
          </w:p>
        </w:tc>
        <w:tc>
          <w:tcPr>
            <w:tcW w:w="434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6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服务内容详见技术规范书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3634" w:type="pct"/>
            <w:gridSpan w:val="5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合计</w:t>
            </w:r>
          </w:p>
        </w:tc>
        <w:tc>
          <w:tcPr>
            <w:tcW w:w="515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  <w:t>45000</w:t>
            </w:r>
          </w:p>
        </w:tc>
        <w:tc>
          <w:tcPr>
            <w:tcW w:w="434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6" w:type="pct"/>
            <w:vAlign w:val="center"/>
          </w:tcPr>
          <w:p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</w:tr>
    </w:tbl>
    <w:p>
      <w:pPr>
        <w:numPr>
          <w:ilvl w:val="0"/>
          <w:numId w:val="0"/>
        </w:numPr>
        <w:ind w:left="560" w:left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注：</w:t>
      </w:r>
    </w:p>
    <w:p>
      <w:pPr>
        <w:numPr>
          <w:ilvl w:val="0"/>
          <w:numId w:val="0"/>
        </w:numPr>
        <w:ind w:left="560" w:leftChars="0"/>
        <w:jc w:val="both"/>
        <w:rPr>
          <w:rFonts w:hint="eastAsia" w:cstheme="minorBidi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/>
          <w:sz w:val="28"/>
          <w:szCs w:val="28"/>
          <w:lang w:val="en-US" w:eastAsia="zh-CN"/>
        </w:rPr>
        <w:t>1、上述报价为完成所有工作的费用，税率为6%，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报价前应仔细阅读技术规范书、合同修改对照表，正确理解服务要求，以便正确报价</w:t>
      </w:r>
      <w:r>
        <w:rPr>
          <w:rFonts w:hint="eastAsia" w:cstheme="minorBidi"/>
          <w:b w:val="0"/>
          <w:bCs w:val="0"/>
          <w:kern w:val="2"/>
          <w:sz w:val="28"/>
          <w:szCs w:val="28"/>
          <w:lang w:val="en-US" w:eastAsia="zh-CN" w:bidi="ar-SA"/>
        </w:rPr>
        <w:t>。</w:t>
      </w:r>
    </w:p>
    <w:p>
      <w:pPr>
        <w:numPr>
          <w:ilvl w:val="0"/>
          <w:numId w:val="0"/>
        </w:numPr>
        <w:ind w:left="560" w:leftChars="0"/>
        <w:jc w:val="both"/>
        <w:rPr>
          <w:rFonts w:hint="eastAsia"/>
          <w:lang w:val="en-US" w:eastAsia="zh-CN"/>
        </w:rPr>
      </w:pPr>
      <w:r>
        <w:rPr>
          <w:rFonts w:hint="eastAsia" w:cstheme="minorBidi"/>
          <w:b w:val="0"/>
          <w:bCs w:val="0"/>
          <w:kern w:val="2"/>
          <w:sz w:val="28"/>
          <w:szCs w:val="28"/>
          <w:lang w:val="en-US" w:eastAsia="zh-CN" w:bidi="ar-SA"/>
        </w:rPr>
        <w:t>2、本报价清单盖章后，与证明文件一起上传至零星采购平台。</w:t>
      </w:r>
    </w:p>
    <w:p>
      <w:pPr>
        <w:pStyle w:val="3"/>
        <w:rPr>
          <w:rFonts w:hint="eastAsia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报价单位（盖章）：</w:t>
      </w: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                                </w:t>
      </w:r>
      <w:r>
        <w:rPr>
          <w:rFonts w:hint="eastAsia"/>
          <w:sz w:val="28"/>
          <w:szCs w:val="28"/>
          <w:lang w:val="en-US" w:eastAsia="zh-CN"/>
        </w:rPr>
        <w:t>年    月    日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align>left</wp:align>
              </wp:positionH>
              <wp:positionV relativeFrom="page">
                <wp:posOffset>9570085</wp:posOffset>
              </wp:positionV>
              <wp:extent cx="826135" cy="231140"/>
              <wp:effectExtent l="0" t="0" r="0" b="0"/>
              <wp:wrapNone/>
              <wp:docPr id="1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6135" cy="231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210" w:leftChars="100"/>
                            <w:textAlignment w:val="top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11"/>
                              <w:rFonts w:ascii="宋体" w:hAnsi="宋体" w:eastAsia="宋体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Style w:val="11"/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2" o:spid="_x0000_s1026" o:spt="202" type="#_x0000_t202" style="position:absolute;left:0pt;margin-top:753.55pt;height:18.2pt;width:65.05pt;mso-position-horizontal:left;mso-position-vertical-relative:page;mso-wrap-style:none;z-index:251659264;mso-width-relative:page;mso-height-relative:page;" filled="f" stroked="f" coordsize="21600,21600" o:allowincell="f" o:gfxdata="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pc1AYNUAAAAKAQAADwAAAAAAAAABACAAAAAiAAAAZHJz&#10;L2Rvd25yZXYueG1sUEsBAhQAFAAAAAgAh07iQEraZCXOAQAAmAMAAA4AAAAAAAAAAQAgAAAAJAEA&#10;AGRycy9lMm9Eb2MueG1sUEsFBgAAAAAGAAYAWQEAAGQ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ind w:left="210" w:leftChars="100"/>
                      <w:textAlignment w:val="top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—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Style w:val="11"/>
                        <w:rFonts w:ascii="宋体" w:hAnsi="宋体" w:eastAsia="宋体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Style w:val="11"/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szCs w:val="2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CDE"/>
    <w:rsid w:val="00344B8B"/>
    <w:rsid w:val="003738E8"/>
    <w:rsid w:val="00823AD5"/>
    <w:rsid w:val="00894C76"/>
    <w:rsid w:val="00996852"/>
    <w:rsid w:val="00B97CDE"/>
    <w:rsid w:val="00D86690"/>
    <w:rsid w:val="00D9055A"/>
    <w:rsid w:val="00E03CE3"/>
    <w:rsid w:val="00E2005B"/>
    <w:rsid w:val="00E23C8B"/>
    <w:rsid w:val="00EA573E"/>
    <w:rsid w:val="050E3B36"/>
    <w:rsid w:val="07A35B9F"/>
    <w:rsid w:val="124624FA"/>
    <w:rsid w:val="18041188"/>
    <w:rsid w:val="322619F3"/>
    <w:rsid w:val="35094799"/>
    <w:rsid w:val="3A303304"/>
    <w:rsid w:val="3E674E96"/>
    <w:rsid w:val="3F5ED426"/>
    <w:rsid w:val="45445C70"/>
    <w:rsid w:val="4B743FED"/>
    <w:rsid w:val="4C5058C9"/>
    <w:rsid w:val="4D0F7727"/>
    <w:rsid w:val="4E304697"/>
    <w:rsid w:val="552B771C"/>
    <w:rsid w:val="59837320"/>
    <w:rsid w:val="5AE01E2F"/>
    <w:rsid w:val="5C9663B6"/>
    <w:rsid w:val="5E3069E3"/>
    <w:rsid w:val="68246C0D"/>
    <w:rsid w:val="6B89582D"/>
    <w:rsid w:val="710205ED"/>
    <w:rsid w:val="7AFF0E41"/>
    <w:rsid w:val="7D366389"/>
    <w:rsid w:val="7F5D4E94"/>
    <w:rsid w:val="EFFAB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adjustRightInd w:val="0"/>
      <w:spacing w:line="360" w:lineRule="auto"/>
      <w:jc w:val="center"/>
      <w:textAlignment w:val="baseline"/>
    </w:pPr>
    <w:rPr>
      <w:kern w:val="0"/>
      <w:sz w:val="24"/>
      <w:szCs w:val="20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Normal Indent"/>
    <w:basedOn w:val="1"/>
    <w:qFormat/>
    <w:uiPriority w:val="0"/>
    <w:pPr>
      <w:adjustRightInd w:val="0"/>
      <w:spacing w:line="560" w:lineRule="exact"/>
      <w:ind w:firstLine="624"/>
      <w:jc w:val="left"/>
      <w:textAlignment w:val="baseline"/>
    </w:pPr>
    <w:rPr>
      <w:rFonts w:ascii="Times New Roman" w:hAnsi="Times New Roman" w:eastAsia="仿宋_GB2312" w:cs="Times New Roman"/>
      <w:kern w:val="0"/>
      <w:sz w:val="32"/>
      <w:szCs w:val="20"/>
    </w:rPr>
  </w:style>
  <w:style w:type="paragraph" w:styleId="5">
    <w:name w:val="footer"/>
    <w:basedOn w:val="1"/>
    <w:link w:val="14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6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adjustRightInd w:val="0"/>
      <w:spacing w:line="240" w:lineRule="atLeas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7">
    <w:name w:val="Normal (Web)"/>
    <w:basedOn w:val="1"/>
    <w:unhideWhenUsed/>
    <w:qFormat/>
    <w:uiPriority w:val="99"/>
    <w:pPr>
      <w:keepNext w:val="0"/>
      <w:keepLines w:val="0"/>
      <w:widowControl/>
      <w:suppressLineNumbers w:val="0"/>
      <w:spacing w:before="100" w:beforeAutospacing="1" w:after="100" w:afterAutospacing="1"/>
      <w:ind w:left="0" w:right="0"/>
      <w:jc w:val="left"/>
    </w:pPr>
    <w:rPr>
      <w:rFonts w:hint="eastAsia" w:ascii="宋体" w:hAnsi="宋体" w:eastAsia="宋体" w:cs="宋体"/>
      <w:color w:val="000000"/>
      <w:kern w:val="0"/>
      <w:sz w:val="24"/>
      <w:szCs w:val="24"/>
      <w:lang w:val="en-US" w:eastAsia="zh-CN" w:bidi="ar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qFormat/>
    <w:uiPriority w:val="0"/>
  </w:style>
  <w:style w:type="paragraph" w:customStyle="1" w:styleId="12">
    <w:name w:val="正文（缩进）"/>
    <w:basedOn w:val="1"/>
    <w:qFormat/>
    <w:uiPriority w:val="0"/>
    <w:pPr>
      <w:spacing w:before="156" w:after="156"/>
      <w:ind w:firstLine="480" w:firstLineChars="200"/>
    </w:pPr>
  </w:style>
  <w:style w:type="character" w:customStyle="1" w:styleId="13">
    <w:name w:val="页眉 Char"/>
    <w:basedOn w:val="10"/>
    <w:link w:val="6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character" w:customStyle="1" w:styleId="14">
    <w:name w:val="页脚 Char"/>
    <w:basedOn w:val="10"/>
    <w:link w:val="5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paragraph" w:customStyle="1" w:styleId="15">
    <w:name w:val="版记-其他左对齐"/>
    <w:qFormat/>
    <w:uiPriority w:val="0"/>
    <w:pPr>
      <w:widowControl w:val="0"/>
      <w:suppressAutoHyphens/>
      <w:snapToGrid w:val="0"/>
      <w:spacing w:line="560" w:lineRule="exact"/>
      <w:ind w:left="-35" w:leftChars="-35" w:right="-35" w:rightChars="-35"/>
    </w:pPr>
    <w:rPr>
      <w:rFonts w:ascii="仿宋_GB2312" w:hAnsi="Times New Roman" w:eastAsia="仿宋_GB2312" w:cs="宋体"/>
      <w:kern w:val="0"/>
      <w:sz w:val="32"/>
      <w:szCs w:val="20"/>
      <w:lang w:val="en-US" w:eastAsia="zh-CN" w:bidi="ar-SA"/>
    </w:rPr>
  </w:style>
  <w:style w:type="paragraph" w:customStyle="1" w:styleId="16">
    <w:name w:val="样式 首行缩进 + 宋体 行距: 1.5 倍行距"/>
    <w:basedOn w:val="1"/>
    <w:qFormat/>
    <w:uiPriority w:val="0"/>
    <w:pPr>
      <w:spacing w:line="360" w:lineRule="auto"/>
      <w:ind w:firstLine="420" w:firstLineChars="200"/>
    </w:pPr>
    <w:rPr>
      <w:rFonts w:ascii="宋体" w:hAnsi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1</Pages>
  <Words>21</Words>
  <Characters>120</Characters>
  <Lines>1</Lines>
  <Paragraphs>1</Paragraphs>
  <TotalTime>95</TotalTime>
  <ScaleCrop>false</ScaleCrop>
  <LinksUpToDate>false</LinksUpToDate>
  <CharactersWithSpaces>140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2018-05-30T15:26:00Z</dcterms:created>
  <dc:creator>罗曦</dc:creator>
  <cp:lastModifiedBy>E809B8828B36413FA7406EEE87CB1C9F</cp:lastModifiedBy>
  <dcterms:modified xsi:type="dcterms:W3CDTF">2025-02-20T01:54:22Z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B5D7973925734E53B58898A3CC0C8A33</vt:lpwstr>
  </property>
</Properties>
</file>