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center"/>
        <w:rPr>
          <w:rFonts w:ascii="仿宋" w:hAnsi="仿宋" w:eastAsia="仿宋" w:cs="仿宋"/>
          <w:b/>
          <w:bCs/>
          <w:color w:val="000000"/>
          <w:kern w:val="0"/>
          <w:sz w:val="30"/>
          <w:szCs w:val="30"/>
          <w:lang w:val="en-US" w:eastAsia="zh-CN" w:bidi="ar"/>
        </w:rPr>
      </w:pPr>
      <w:r>
        <w:rPr>
          <w:rFonts w:ascii="仿宋" w:hAnsi="仿宋" w:eastAsia="仿宋" w:cs="仿宋"/>
          <w:b/>
          <w:bCs/>
          <w:color w:val="000000"/>
          <w:kern w:val="0"/>
          <w:sz w:val="30"/>
          <w:szCs w:val="30"/>
          <w:lang w:val="en-US" w:eastAsia="zh-CN" w:bidi="ar"/>
        </w:rPr>
        <w:t>2025 年南网大数据公司网页防篡改保护系统防护端采购项目</w:t>
      </w:r>
    </w:p>
    <w:p>
      <w:pPr>
        <w:keepNext w:val="0"/>
        <w:keepLines w:val="0"/>
        <w:widowControl/>
        <w:suppressLineNumbers w:val="0"/>
        <w:jc w:val="center"/>
        <w:rPr>
          <w:rFonts w:hint="default" w:ascii="仿宋" w:hAnsi="仿宋" w:eastAsia="仿宋" w:cs="仿宋"/>
          <w:b/>
          <w:bCs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30"/>
          <w:szCs w:val="30"/>
          <w:lang w:val="en-US" w:eastAsia="zh-CN" w:bidi="ar"/>
        </w:rPr>
        <w:t>技术条件书</w:t>
      </w:r>
    </w:p>
    <w:p>
      <w:pPr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一</w:t>
      </w:r>
      <w:r>
        <w:rPr>
          <w:rFonts w:hint="eastAsia"/>
          <w:b/>
          <w:bCs/>
          <w:sz w:val="24"/>
          <w:szCs w:val="24"/>
        </w:rPr>
        <w:t>、项目概述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为</w:t>
      </w:r>
      <w:r>
        <w:rPr>
          <w:rFonts w:hint="eastAsia" w:ascii="宋体" w:hAnsi="宋体" w:eastAsia="宋体" w:cs="宋体"/>
          <w:b w:val="0"/>
          <w:bCs w:val="0"/>
          <w:snapToGrid w:val="0"/>
          <w:kern w:val="0"/>
          <w:sz w:val="24"/>
          <w:szCs w:val="24"/>
          <w:highlight w:val="none"/>
          <w:lang w:val="en-US" w:eastAsia="zh-Hans" w:bidi="ar"/>
        </w:rPr>
        <w:t>提升公司网络安全布防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业务水平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，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开展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2025年南网大数据公司网页防篡改保护系统防护端采购项目。</w:t>
      </w:r>
    </w:p>
    <w:p>
      <w:pPr>
        <w:rPr>
          <w:rFonts w:hint="eastAsia" w:eastAsia="宋体" w:cs="Times New Roman"/>
          <w:b/>
          <w:bCs/>
          <w:sz w:val="24"/>
          <w:szCs w:val="24"/>
          <w:lang w:val="en-US" w:eastAsia="zh-CN"/>
        </w:rPr>
      </w:pPr>
      <w:r>
        <w:rPr>
          <w:rFonts w:hint="eastAsia" w:eastAsia="宋体" w:cs="Times New Roman"/>
          <w:b/>
          <w:bCs/>
          <w:sz w:val="24"/>
          <w:szCs w:val="24"/>
          <w:lang w:val="en-US" w:eastAsia="zh-CN"/>
        </w:rPr>
        <w:t>二、交付要求：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1.质保要求：质保期不少于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年，质保期内有任何质量问题将免费进行更换。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2.售后服务响应：售后服务的响应时间为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小时内。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3.交付时间：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合同签订之日起15个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工作日</w:t>
      </w:r>
      <w:bookmarkStart w:id="6" w:name="_GoBack"/>
      <w:bookmarkEnd w:id="6"/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内。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4.交付地点：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广州</w:t>
      </w:r>
    </w:p>
    <w:p>
      <w:pPr>
        <w:rPr>
          <w:rFonts w:hint="eastAsia" w:eastAsia="宋体" w:cs="Times New Roman"/>
          <w:b/>
          <w:bCs/>
          <w:sz w:val="24"/>
          <w:szCs w:val="24"/>
          <w:lang w:val="en-US" w:eastAsia="zh-CN"/>
        </w:rPr>
      </w:pPr>
      <w:r>
        <w:rPr>
          <w:rFonts w:hint="eastAsia" w:eastAsia="宋体" w:cs="Times New Roman"/>
          <w:b/>
          <w:bCs/>
          <w:sz w:val="24"/>
          <w:szCs w:val="24"/>
          <w:lang w:val="en-US" w:eastAsia="zh-CN"/>
        </w:rPr>
        <w:t>三、技术要求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1.满足技术条件如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下表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具体参数，提供检查报告。</w:t>
      </w:r>
    </w:p>
    <w:tbl>
      <w:tblPr>
        <w:tblStyle w:val="13"/>
        <w:tblW w:w="499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85"/>
        <w:gridCol w:w="66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  <w:jc w:val="center"/>
        </w:trPr>
        <w:tc>
          <w:tcPr>
            <w:tcW w:w="1106" w:type="pc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指标项</w:t>
            </w:r>
          </w:p>
        </w:tc>
        <w:tc>
          <w:tcPr>
            <w:tcW w:w="3893" w:type="pc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详细要求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" w:hRule="atLeast"/>
          <w:jc w:val="center"/>
        </w:trPr>
        <w:tc>
          <w:tcPr>
            <w:tcW w:w="1106" w:type="pc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OS类型、版本</w:t>
            </w:r>
          </w:p>
        </w:tc>
        <w:tc>
          <w:tcPr>
            <w:tcW w:w="3893" w:type="pct"/>
            <w:vAlign w:val="center"/>
          </w:tcPr>
          <w:p>
            <w:pPr>
              <w:spacing w:line="300" w:lineRule="exact"/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支持windows2000/2003/2008/2012/2016/Unix/Linux/Solaries等。支持国产化环境部署，兼容兆芯、飞腾、鲲鹏、中标麒麟、银河麒麟、Uos统信等软硬件平台。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" w:hRule="atLeast"/>
          <w:jc w:val="center"/>
        </w:trPr>
        <w:tc>
          <w:tcPr>
            <w:tcW w:w="1106" w:type="pc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WEB发布类型</w:t>
            </w:r>
          </w:p>
        </w:tc>
        <w:tc>
          <w:tcPr>
            <w:tcW w:w="3893" w:type="pct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IIS、Apache、Weblogic、Tomcat、WebSphere等。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  <w:jc w:val="center"/>
        </w:trPr>
        <w:tc>
          <w:tcPr>
            <w:tcW w:w="1106" w:type="pct"/>
            <w:vMerge w:val="restar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日志功能</w:t>
            </w:r>
          </w:p>
        </w:tc>
        <w:tc>
          <w:tcPr>
            <w:tcW w:w="3893" w:type="pct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系统能够对用户操作、文件操作和修改、安全日志以及策略配置事件进行完整日志记录。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  <w:jc w:val="center"/>
        </w:trPr>
        <w:tc>
          <w:tcPr>
            <w:tcW w:w="1106" w:type="pct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3893" w:type="pct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bookmarkStart w:id="0" w:name="_Hlk78914923"/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系统支持对记录日志类型进行选择，并能够对日志中包含的敏感字段进行排除不记录。</w:t>
            </w:r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  <w:jc w:val="center"/>
        </w:trPr>
        <w:tc>
          <w:tcPr>
            <w:tcW w:w="1106" w:type="pct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3893" w:type="pct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系统支持日志记录查询及导出，支持excel报表导出查询。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  <w:jc w:val="center"/>
        </w:trPr>
        <w:tc>
          <w:tcPr>
            <w:tcW w:w="1106" w:type="pct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3893" w:type="pct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根据操作类型,篡改文件等提供数据统计分析。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  <w:jc w:val="center"/>
        </w:trPr>
        <w:tc>
          <w:tcPr>
            <w:tcW w:w="1106" w:type="pct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3893" w:type="pct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系统支持syslog日志外发功能。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  <w:jc w:val="center"/>
        </w:trPr>
        <w:tc>
          <w:tcPr>
            <w:tcW w:w="1106" w:type="pct"/>
            <w:vMerge w:val="restar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防篡改功能</w:t>
            </w:r>
          </w:p>
        </w:tc>
        <w:tc>
          <w:tcPr>
            <w:tcW w:w="3893" w:type="pct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支持各类网页文件的保护，包括静态和动态网页以及各类文件信息。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  <w:jc w:val="center"/>
        </w:trPr>
        <w:tc>
          <w:tcPr>
            <w:tcW w:w="1106" w:type="pct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3893" w:type="pct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支持对指定文件夹以及子文件夹的保护，避免上传非法文件及木马等恶意文件或插入恶意代码。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  <w:jc w:val="center"/>
        </w:trPr>
        <w:tc>
          <w:tcPr>
            <w:tcW w:w="1106" w:type="pct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3893" w:type="pct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在驱动遭到破坏文件被篡改的情况下，系统能基于事件触发机制及时恢复被篡改页面，恢复时间小于5MS。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  <w:jc w:val="center"/>
        </w:trPr>
        <w:tc>
          <w:tcPr>
            <w:tcW w:w="1106" w:type="pct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3893" w:type="pct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bookmarkStart w:id="1" w:name="_Hlk78915157"/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支持在客户端断线情况下对监控文件目录进行篡改防护的功能。</w:t>
            </w:r>
            <w:bookmarkEnd w:id="1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  <w:jc w:val="center"/>
        </w:trPr>
        <w:tc>
          <w:tcPr>
            <w:tcW w:w="1106" w:type="pct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3893" w:type="pct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系统支持黑白名单设置功能，提供进程黑白名单设置。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  <w:jc w:val="center"/>
        </w:trPr>
        <w:tc>
          <w:tcPr>
            <w:tcW w:w="1106" w:type="pct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3893" w:type="pct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bookmarkStart w:id="2" w:name="_Hlk78915204"/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支持监控/许可文件的模糊匹配功能。</w:t>
            </w:r>
            <w:bookmarkEnd w:id="2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  <w:jc w:val="center"/>
        </w:trPr>
        <w:tc>
          <w:tcPr>
            <w:tcW w:w="1106" w:type="pct"/>
            <w:vMerge w:val="restart"/>
            <w:vAlign w:val="center"/>
          </w:tcPr>
          <w:p>
            <w:pPr>
              <w:spacing w:line="300" w:lineRule="exact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系统管理</w:t>
            </w:r>
          </w:p>
        </w:tc>
        <w:tc>
          <w:tcPr>
            <w:tcW w:w="3893" w:type="pct"/>
            <w:vAlign w:val="center"/>
          </w:tcPr>
          <w:p>
            <w:pPr>
              <w:spacing w:before="60" w:after="60" w:line="295" w:lineRule="auto"/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防篡改系统的安装与卸载过程中，无需重启服务器，保障客户业务的连续性。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  <w:jc w:val="center"/>
        </w:trPr>
        <w:tc>
          <w:tcPr>
            <w:tcW w:w="1106" w:type="pct"/>
            <w:vMerge w:val="continue"/>
            <w:vAlign w:val="center"/>
          </w:tcPr>
          <w:p>
            <w:pPr>
              <w:spacing w:line="300" w:lineRule="exact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3893" w:type="pct"/>
            <w:vAlign w:val="center"/>
          </w:tcPr>
          <w:p>
            <w:pPr>
              <w:spacing w:before="60" w:after="60" w:line="295" w:lineRule="auto"/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系统支持添加许可路径及许可进程，排除无需保护内容。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  <w:jc w:val="center"/>
        </w:trPr>
        <w:tc>
          <w:tcPr>
            <w:tcW w:w="1106" w:type="pct"/>
            <w:vMerge w:val="continue"/>
            <w:vAlign w:val="center"/>
          </w:tcPr>
          <w:p>
            <w:pPr>
              <w:spacing w:line="300" w:lineRule="exact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3893" w:type="pct"/>
            <w:vAlign w:val="center"/>
          </w:tcPr>
          <w:p>
            <w:pPr>
              <w:spacing w:before="60" w:after="60" w:line="295" w:lineRule="auto"/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bookmarkStart w:id="3" w:name="_Hlk78915308"/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管理中心支持对全局配置的导入/导出，方便客户运维管理。</w:t>
            </w:r>
            <w:bookmarkEnd w:id="3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  <w:jc w:val="center"/>
        </w:trPr>
        <w:tc>
          <w:tcPr>
            <w:tcW w:w="1106" w:type="pct"/>
            <w:vMerge w:val="continue"/>
            <w:vAlign w:val="center"/>
          </w:tcPr>
          <w:p>
            <w:pPr>
              <w:spacing w:line="300" w:lineRule="exact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3893" w:type="pct"/>
            <w:vAlign w:val="center"/>
          </w:tcPr>
          <w:p>
            <w:pPr>
              <w:spacing w:before="60" w:after="60" w:line="295" w:lineRule="auto"/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支持将客户端进行分组管理。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  <w:jc w:val="center"/>
        </w:trPr>
        <w:tc>
          <w:tcPr>
            <w:tcW w:w="1106" w:type="pct"/>
            <w:vMerge w:val="continue"/>
            <w:vAlign w:val="center"/>
          </w:tcPr>
          <w:p>
            <w:pPr>
              <w:spacing w:line="300" w:lineRule="exact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3893" w:type="pct"/>
            <w:vAlign w:val="center"/>
          </w:tcPr>
          <w:p>
            <w:pPr>
              <w:spacing w:before="60" w:after="60" w:line="295" w:lineRule="auto"/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bookmarkStart w:id="4" w:name="_Hlk78915394"/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支持自定义登录失败次数，账户锁定时间及密码复杂度等配置，同时支持登录IP限制保障防篡改系统运维安全。</w:t>
            </w:r>
            <w:bookmarkEnd w:id="4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  <w:jc w:val="center"/>
        </w:trPr>
        <w:tc>
          <w:tcPr>
            <w:tcW w:w="1106" w:type="pct"/>
            <w:vMerge w:val="continue"/>
            <w:vAlign w:val="center"/>
          </w:tcPr>
          <w:p>
            <w:pPr>
              <w:spacing w:line="300" w:lineRule="exact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3893" w:type="pct"/>
            <w:vAlign w:val="center"/>
          </w:tcPr>
          <w:p>
            <w:pPr>
              <w:spacing w:before="60" w:after="60" w:line="295" w:lineRule="auto"/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支持对服务器的内存、cpu设置阈值告警。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  <w:jc w:val="center"/>
        </w:trPr>
        <w:tc>
          <w:tcPr>
            <w:tcW w:w="1106" w:type="pc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用户管理</w:t>
            </w:r>
          </w:p>
        </w:tc>
        <w:tc>
          <w:tcPr>
            <w:tcW w:w="3893" w:type="pct"/>
            <w:vAlign w:val="center"/>
          </w:tcPr>
          <w:p>
            <w:pPr>
              <w:spacing w:before="60" w:after="60" w:line="295" w:lineRule="auto"/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默认支持系统管理员，日志管理员，审计员等用户，同时支持新建用户及自定义用户权限。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  <w:jc w:val="center"/>
        </w:trPr>
        <w:tc>
          <w:tcPr>
            <w:tcW w:w="1106" w:type="pct"/>
            <w:vMerge w:val="restar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自身安全性</w:t>
            </w:r>
          </w:p>
        </w:tc>
        <w:tc>
          <w:tcPr>
            <w:tcW w:w="3893" w:type="pct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系统各个模块之间、进程之间的通讯、交互和自身配置均采用加密传输和保护。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  <w:jc w:val="center"/>
        </w:trPr>
        <w:tc>
          <w:tcPr>
            <w:tcW w:w="1106" w:type="pct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3893" w:type="pct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卸载时需要提供管理员口令才可执行。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  <w:jc w:val="center"/>
        </w:trPr>
        <w:tc>
          <w:tcPr>
            <w:tcW w:w="1106" w:type="pct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3893" w:type="pct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bookmarkStart w:id="5" w:name="_Hlk78915979"/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支持守护进程：能够防止防篡改主进程运行异常，保证软件运行稳定</w:t>
            </w:r>
            <w:bookmarkEnd w:id="5"/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  <w:jc w:val="center"/>
        </w:trPr>
        <w:tc>
          <w:tcPr>
            <w:tcW w:w="1106" w:type="pct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3893" w:type="pct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隐藏主进程：能够将系统监控进程进行隐藏。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  <w:jc w:val="center"/>
        </w:trPr>
        <w:tc>
          <w:tcPr>
            <w:tcW w:w="1106" w:type="pct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3893" w:type="pct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支持对备份目录文件的保护。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  <w:jc w:val="center"/>
        </w:trPr>
        <w:tc>
          <w:tcPr>
            <w:tcW w:w="1106" w:type="pct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3893" w:type="pct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支持系统安装目录的保护功能。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  <w:jc w:val="center"/>
        </w:trPr>
        <w:tc>
          <w:tcPr>
            <w:tcW w:w="1106" w:type="pct"/>
            <w:vMerge w:val="restar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报警方式</w:t>
            </w:r>
          </w:p>
        </w:tc>
        <w:tc>
          <w:tcPr>
            <w:tcW w:w="3893" w:type="pct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支持邮件提示报警，对非授权用户篡改网页提供实时邮件报警提示。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  <w:jc w:val="center"/>
        </w:trPr>
        <w:tc>
          <w:tcPr>
            <w:tcW w:w="1106" w:type="pct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3893" w:type="pct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支持报警提示框，对非授权用户篡改网页提供实时报警框弹出提示。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  <w:jc w:val="center"/>
        </w:trPr>
        <w:tc>
          <w:tcPr>
            <w:tcW w:w="1106" w:type="pct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3893" w:type="pct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支持短信提示告警，对非授权用户篡改网页提供实时短信告警提示。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  <w:jc w:val="center"/>
        </w:trPr>
        <w:tc>
          <w:tcPr>
            <w:tcW w:w="1106" w:type="pct"/>
            <w:vMerge w:val="restar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性能指标</w:t>
            </w:r>
          </w:p>
        </w:tc>
        <w:tc>
          <w:tcPr>
            <w:tcW w:w="3893" w:type="pct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系统能够保护站点的最大文件和目录的数量不限。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  <w:jc w:val="center"/>
        </w:trPr>
        <w:tc>
          <w:tcPr>
            <w:tcW w:w="1106" w:type="pct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3893" w:type="pct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系统能够保护站点的最长路径不得小于10级。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  <w:jc w:val="center"/>
        </w:trPr>
        <w:tc>
          <w:tcPr>
            <w:tcW w:w="1106" w:type="pct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3893" w:type="pct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系统运行过程中，被保护主机的CPU资源占用率和内存占用率小于2%。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  <w:jc w:val="center"/>
        </w:trPr>
        <w:tc>
          <w:tcPr>
            <w:tcW w:w="1106" w:type="pct"/>
            <w:vMerge w:val="restar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产品资质</w:t>
            </w:r>
          </w:p>
        </w:tc>
        <w:tc>
          <w:tcPr>
            <w:tcW w:w="3893" w:type="pct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《网络关键设备和网络安全专用产品安全认证证书》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  <w:jc w:val="center"/>
        </w:trPr>
        <w:tc>
          <w:tcPr>
            <w:tcW w:w="1106" w:type="pct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</w:p>
        </w:tc>
        <w:tc>
          <w:tcPr>
            <w:tcW w:w="3893" w:type="pct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</w:rPr>
              <w:t>《计算机软件著作权登记证书》</w:t>
            </w:r>
          </w:p>
        </w:tc>
      </w:tr>
    </w:tbl>
    <w:p>
      <w:pPr>
        <w:rPr>
          <w:rFonts w:hint="eastAsia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2.报价单位提供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报价清单，天融信授权书，营业执照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证明文件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eastAsia="zh-CN"/>
        </w:rPr>
        <w:t>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18CFD32"/>
    <w:multiLevelType w:val="multilevel"/>
    <w:tmpl w:val="D18CFD32"/>
    <w:lvl w:ilvl="0" w:tentative="0">
      <w:start w:val="1"/>
      <w:numFmt w:val="decimal"/>
      <w:pStyle w:val="3"/>
      <w:lvlText w:val="%1  "/>
      <w:lvlJc w:val="left"/>
      <w:pPr>
        <w:tabs>
          <w:tab w:val="left" w:pos="1077"/>
        </w:tabs>
        <w:ind w:left="432" w:hanging="432"/>
      </w:pPr>
      <w:rPr>
        <w:rFonts w:hint="eastAsia" w:ascii="Arial" w:eastAsia="宋体"/>
        <w:b/>
        <w:i w:val="0"/>
        <w:sz w:val="44"/>
        <w:szCs w:val="44"/>
        <w:u w:val="none"/>
      </w:rPr>
    </w:lvl>
    <w:lvl w:ilvl="1" w:tentative="0">
      <w:start w:val="1"/>
      <w:numFmt w:val="decimal"/>
      <w:pStyle w:val="4"/>
      <w:lvlText w:val="%1.%2  "/>
      <w:lvlJc w:val="left"/>
      <w:pPr>
        <w:tabs>
          <w:tab w:val="left" w:pos="1080"/>
        </w:tabs>
        <w:ind w:left="576" w:hanging="576"/>
      </w:pPr>
      <w:rPr>
        <w:rFonts w:hint="default" w:ascii="Arial" w:hAnsi="Arial" w:eastAsia="黑体" w:cs="Arial"/>
        <w:b w:val="0"/>
        <w:i w:val="0"/>
        <w:sz w:val="32"/>
      </w:rPr>
    </w:lvl>
    <w:lvl w:ilvl="2" w:tentative="0">
      <w:start w:val="1"/>
      <w:numFmt w:val="decimal"/>
      <w:pStyle w:val="5"/>
      <w:lvlText w:val="%1.%2.%3  "/>
      <w:lvlJc w:val="left"/>
      <w:pPr>
        <w:tabs>
          <w:tab w:val="left" w:pos="1080"/>
        </w:tabs>
        <w:ind w:left="720" w:hanging="720"/>
      </w:pPr>
      <w:rPr>
        <w:rFonts w:hint="default" w:ascii="Arial" w:hAnsi="Arial" w:eastAsia="宋体" w:cs="Arial"/>
        <w:b w:val="0"/>
        <w:i w:val="0"/>
        <w:sz w:val="28"/>
      </w:rPr>
    </w:lvl>
    <w:lvl w:ilvl="3" w:tentative="0">
      <w:start w:val="1"/>
      <w:numFmt w:val="decimal"/>
      <w:pStyle w:val="6"/>
      <w:lvlText w:val="%1.%2.%3.%4  "/>
      <w:lvlJc w:val="left"/>
      <w:pPr>
        <w:tabs>
          <w:tab w:val="left" w:pos="1440"/>
        </w:tabs>
        <w:ind w:left="864" w:hanging="864"/>
      </w:pPr>
      <w:rPr>
        <w:rFonts w:hint="default" w:ascii="Arial" w:hAnsi="Arial" w:eastAsia="黑体" w:cs="Arial"/>
        <w:b/>
        <w:i w:val="0"/>
        <w:sz w:val="24"/>
      </w:rPr>
    </w:lvl>
    <w:lvl w:ilvl="4" w:tentative="0">
      <w:start w:val="1"/>
      <w:numFmt w:val="decimal"/>
      <w:pStyle w:val="7"/>
      <w:lvlText w:val="%1.%2.%3.%4.%5"/>
      <w:lvlJc w:val="left"/>
      <w:pPr>
        <w:tabs>
          <w:tab w:val="left" w:pos="1800"/>
        </w:tabs>
        <w:ind w:left="1008" w:hanging="1008"/>
      </w:pPr>
      <w:rPr>
        <w:rFonts w:hint="eastAsia"/>
        <w:b/>
        <w:sz w:val="24"/>
        <w:szCs w:val="24"/>
      </w:rPr>
    </w:lvl>
    <w:lvl w:ilvl="5" w:tentative="0">
      <w:start w:val="1"/>
      <w:numFmt w:val="decimal"/>
      <w:pStyle w:val="8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  <w:b w:val="0"/>
      </w:rPr>
    </w:lvl>
    <w:lvl w:ilvl="6" w:tentative="0">
      <w:start w:val="1"/>
      <w:numFmt w:val="decimal"/>
      <w:pStyle w:val="9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pStyle w:val="10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pStyle w:val="11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1">
    <w:nsid w:val="667140AF"/>
    <w:multiLevelType w:val="multilevel"/>
    <w:tmpl w:val="667140AF"/>
    <w:lvl w:ilvl="0" w:tentative="0">
      <w:start w:val="1"/>
      <w:numFmt w:val="decimal"/>
      <w:lvlText w:val="%1"/>
      <w:lvlJc w:val="left"/>
      <w:pPr>
        <w:ind w:left="272" w:hanging="272"/>
      </w:pPr>
    </w:lvl>
    <w:lvl w:ilvl="1" w:tentative="0">
      <w:start w:val="1"/>
      <w:numFmt w:val="decimal"/>
      <w:lvlText w:val="%1.%2"/>
      <w:lvlJc w:val="left"/>
      <w:pPr>
        <w:ind w:left="272" w:hanging="272"/>
      </w:pPr>
    </w:lvl>
    <w:lvl w:ilvl="2" w:tentative="0">
      <w:start w:val="1"/>
      <w:numFmt w:val="decimal"/>
      <w:lvlText w:val="%1.%2.%3"/>
      <w:lvlJc w:val="left"/>
      <w:pPr>
        <w:ind w:left="272" w:hanging="272"/>
      </w:pPr>
    </w:lvl>
    <w:lvl w:ilvl="3" w:tentative="0">
      <w:start w:val="1"/>
      <w:numFmt w:val="decimal"/>
      <w:lvlText w:val="%1.%2.%3.%4"/>
      <w:lvlJc w:val="left"/>
      <w:pPr>
        <w:tabs>
          <w:tab w:val="left" w:pos="386"/>
        </w:tabs>
        <w:ind w:left="272" w:hanging="272"/>
      </w:pPr>
    </w:lvl>
    <w:lvl w:ilvl="4" w:tentative="0">
      <w:start w:val="1"/>
      <w:numFmt w:val="decimal"/>
      <w:pStyle w:val="17"/>
      <w:lvlText w:val="%1.%2.%3.%4.%5"/>
      <w:lvlJc w:val="left"/>
      <w:pPr>
        <w:tabs>
          <w:tab w:val="left" w:pos="556"/>
        </w:tabs>
        <w:ind w:left="272" w:hanging="272"/>
      </w:pPr>
    </w:lvl>
    <w:lvl w:ilvl="5" w:tentative="0">
      <w:start w:val="1"/>
      <w:numFmt w:val="decimal"/>
      <w:pStyle w:val="18"/>
      <w:lvlText w:val="%1.%2.%3.%4.%5.%6"/>
      <w:lvlJc w:val="left"/>
      <w:pPr>
        <w:ind w:left="272" w:hanging="272"/>
      </w:pPr>
    </w:lvl>
    <w:lvl w:ilvl="6" w:tentative="0">
      <w:start w:val="1"/>
      <w:numFmt w:val="decimal"/>
      <w:pStyle w:val="19"/>
      <w:lvlText w:val="%1.%2.%3.%4.%5.%6.%7"/>
      <w:lvlJc w:val="left"/>
      <w:pPr>
        <w:ind w:left="272" w:hanging="272"/>
      </w:pPr>
    </w:lvl>
    <w:lvl w:ilvl="7" w:tentative="0">
      <w:start w:val="1"/>
      <w:numFmt w:val="decimal"/>
      <w:lvlText w:val="%1.%2.%3.%4.%5.%6.%7.%8"/>
      <w:lvlJc w:val="left"/>
      <w:pPr>
        <w:ind w:left="272" w:hanging="272"/>
      </w:pPr>
    </w:lvl>
    <w:lvl w:ilvl="8" w:tentative="0">
      <w:start w:val="1"/>
      <w:numFmt w:val="decimal"/>
      <w:lvlText w:val="%1.%2.%3.%4.%5.%6.%7.%8.%9"/>
      <w:lvlJc w:val="left"/>
      <w:pPr>
        <w:ind w:left="272" w:hanging="272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QzZTI3MTA2MjhiZGFlZDE4Y2MxOGNkNjgwZjc5ZDUifQ=="/>
    <w:docVar w:name="KSO_WPS_MARK_KEY" w:val="77042874-241d-46a3-9b55-361a91c4a44b"/>
  </w:docVars>
  <w:rsids>
    <w:rsidRoot w:val="00000000"/>
    <w:rsid w:val="00D576D8"/>
    <w:rsid w:val="018C2D23"/>
    <w:rsid w:val="043326E0"/>
    <w:rsid w:val="0D835602"/>
    <w:rsid w:val="12064CAD"/>
    <w:rsid w:val="139C47A2"/>
    <w:rsid w:val="15AB09EB"/>
    <w:rsid w:val="176A5B2B"/>
    <w:rsid w:val="1D2D6585"/>
    <w:rsid w:val="1DED0F07"/>
    <w:rsid w:val="1E137E05"/>
    <w:rsid w:val="1E877D62"/>
    <w:rsid w:val="24883C71"/>
    <w:rsid w:val="25103BC2"/>
    <w:rsid w:val="29B12BA4"/>
    <w:rsid w:val="2D556453"/>
    <w:rsid w:val="2FA477C2"/>
    <w:rsid w:val="2FAD1FDF"/>
    <w:rsid w:val="40C923A6"/>
    <w:rsid w:val="42760499"/>
    <w:rsid w:val="46CB7B51"/>
    <w:rsid w:val="48206787"/>
    <w:rsid w:val="4B2F1109"/>
    <w:rsid w:val="4F5231BF"/>
    <w:rsid w:val="503B5269"/>
    <w:rsid w:val="52D94940"/>
    <w:rsid w:val="549561E9"/>
    <w:rsid w:val="55FC381D"/>
    <w:rsid w:val="5A2E0B44"/>
    <w:rsid w:val="5CCE3BBA"/>
    <w:rsid w:val="620D0B5A"/>
    <w:rsid w:val="631F7C49"/>
    <w:rsid w:val="68A634CD"/>
    <w:rsid w:val="6CA01AB8"/>
    <w:rsid w:val="720C538C"/>
    <w:rsid w:val="75AB28A2"/>
    <w:rsid w:val="769149E0"/>
    <w:rsid w:val="77482766"/>
    <w:rsid w:val="7975660E"/>
    <w:rsid w:val="7A801F5E"/>
    <w:rsid w:val="7C485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15"/>
    <w:qFormat/>
    <w:uiPriority w:val="0"/>
    <w:pPr>
      <w:keepNext/>
      <w:keepLines/>
      <w:numPr>
        <w:ilvl w:val="0"/>
        <w:numId w:val="1"/>
      </w:numPr>
      <w:tabs>
        <w:tab w:val="left" w:pos="720"/>
      </w:tabs>
      <w:spacing w:before="120" w:after="120" w:line="240" w:lineRule="auto"/>
      <w:ind w:left="432" w:hanging="432" w:firstLineChars="0"/>
      <w:jc w:val="left"/>
      <w:outlineLvl w:val="0"/>
    </w:pPr>
    <w:rPr>
      <w:rFonts w:ascii="Times New Roman" w:hAnsi="Times New Roman" w:eastAsia="宋体"/>
      <w:kern w:val="44"/>
      <w:sz w:val="36"/>
    </w:rPr>
  </w:style>
  <w:style w:type="paragraph" w:styleId="4">
    <w:name w:val="heading 2"/>
    <w:basedOn w:val="1"/>
    <w:next w:val="1"/>
    <w:semiHidden/>
    <w:unhideWhenUsed/>
    <w:qFormat/>
    <w:uiPriority w:val="0"/>
    <w:pPr>
      <w:keepNext/>
      <w:keepLines/>
      <w:numPr>
        <w:ilvl w:val="1"/>
        <w:numId w:val="1"/>
      </w:numPr>
      <w:spacing w:before="260" w:after="260" w:line="416" w:lineRule="auto"/>
      <w:outlineLvl w:val="1"/>
    </w:pPr>
    <w:rPr>
      <w:rFonts w:ascii="Arial" w:hAnsi="Arial" w:eastAsia="黑体" w:cs="Times New Roman"/>
      <w:sz w:val="32"/>
      <w:szCs w:val="32"/>
    </w:rPr>
  </w:style>
  <w:style w:type="paragraph" w:styleId="5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pacing w:before="260" w:after="260" w:line="416" w:lineRule="auto"/>
      <w:outlineLvl w:val="2"/>
    </w:pPr>
    <w:rPr>
      <w:rFonts w:ascii="Arial" w:hAnsi="Arial" w:eastAsia="宋体" w:cs="Times New Roman"/>
      <w:b/>
      <w:sz w:val="28"/>
      <w:szCs w:val="28"/>
    </w:rPr>
  </w:style>
  <w:style w:type="paragraph" w:styleId="6">
    <w:name w:val="heading 4"/>
    <w:basedOn w:val="1"/>
    <w:next w:val="1"/>
    <w:link w:val="16"/>
    <w:semiHidden/>
    <w:unhideWhenUsed/>
    <w:qFormat/>
    <w:uiPriority w:val="0"/>
    <w:pPr>
      <w:keepNext/>
      <w:keepLines/>
      <w:numPr>
        <w:ilvl w:val="3"/>
        <w:numId w:val="1"/>
      </w:numPr>
      <w:tabs>
        <w:tab w:val="left" w:pos="1096"/>
      </w:tabs>
      <w:spacing w:before="280" w:after="290" w:line="376" w:lineRule="auto"/>
      <w:ind w:left="864" w:hanging="864"/>
      <w:outlineLvl w:val="3"/>
    </w:pPr>
    <w:rPr>
      <w:rFonts w:ascii="Arial" w:hAnsi="Arial" w:eastAsia="黑体" w:cs="Times New Roman"/>
      <w:bCs/>
    </w:rPr>
  </w:style>
  <w:style w:type="paragraph" w:styleId="7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tabs>
        <w:tab w:val="left" w:pos="1260"/>
      </w:tabs>
      <w:spacing w:before="280" w:after="290" w:line="376" w:lineRule="auto"/>
      <w:ind w:left="1008" w:hanging="1008"/>
      <w:outlineLvl w:val="4"/>
    </w:pPr>
    <w:rPr>
      <w:rFonts w:ascii="Arial" w:hAnsi="Arial" w:eastAsia="宋体" w:cs="Times New Roman"/>
      <w:b/>
    </w:rPr>
  </w:style>
  <w:style w:type="paragraph" w:styleId="8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1152" w:hanging="1152" w:firstLineChars="0"/>
      <w:outlineLvl w:val="5"/>
    </w:pPr>
    <w:rPr>
      <w:rFonts w:ascii="Arial" w:hAnsi="Arial" w:eastAsia="宋体"/>
      <w:b/>
    </w:rPr>
  </w:style>
  <w:style w:type="paragraph" w:styleId="9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1296" w:hanging="1296" w:firstLineChars="0"/>
      <w:outlineLvl w:val="6"/>
    </w:pPr>
    <w:rPr>
      <w:b/>
      <w:sz w:val="24"/>
    </w:rPr>
  </w:style>
  <w:style w:type="paragraph" w:styleId="10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1440" w:hanging="1440" w:firstLineChars="0"/>
      <w:outlineLvl w:val="7"/>
    </w:pPr>
    <w:rPr>
      <w:rFonts w:ascii="Arial" w:hAnsi="Arial" w:eastAsia="黑体"/>
      <w:sz w:val="24"/>
    </w:rPr>
  </w:style>
  <w:style w:type="paragraph" w:styleId="11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1584" w:hanging="1584" w:firstLineChars="0"/>
      <w:outlineLvl w:val="8"/>
    </w:pPr>
    <w:rPr>
      <w:rFonts w:ascii="Arial" w:hAnsi="Arial" w:eastAsia="黑体"/>
      <w:sz w:val="21"/>
    </w:rPr>
  </w:style>
  <w:style w:type="character" w:default="1" w:styleId="14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  <w:rPr>
      <w:rFonts w:eastAsia="宋体" w:cs="Times New Roman"/>
    </w:rPr>
  </w:style>
  <w:style w:type="paragraph" w:styleId="12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character" w:customStyle="1" w:styleId="15">
    <w:name w:val="标题 1 字符"/>
    <w:link w:val="3"/>
    <w:qFormat/>
    <w:uiPriority w:val="0"/>
    <w:rPr>
      <w:rFonts w:ascii="Times New Roman" w:hAnsi="Times New Roman" w:eastAsia="宋体"/>
      <w:b/>
      <w:kern w:val="44"/>
      <w:sz w:val="36"/>
    </w:rPr>
  </w:style>
  <w:style w:type="character" w:customStyle="1" w:styleId="16">
    <w:name w:val="标题 4 字符"/>
    <w:link w:val="6"/>
    <w:qFormat/>
    <w:uiPriority w:val="9"/>
    <w:rPr>
      <w:rFonts w:ascii="Arial" w:hAnsi="Arial" w:eastAsia="黑体" w:cs="Times New Roman"/>
      <w:bCs/>
      <w:kern w:val="2"/>
      <w:sz w:val="24"/>
      <w:szCs w:val="24"/>
      <w:lang w:val="en-US" w:eastAsia="zh-CN" w:bidi="ar-SA"/>
    </w:rPr>
  </w:style>
  <w:style w:type="paragraph" w:customStyle="1" w:styleId="17">
    <w:name w:val="WA 标题 5"/>
    <w:basedOn w:val="1"/>
    <w:qFormat/>
    <w:uiPriority w:val="0"/>
    <w:pPr>
      <w:numPr>
        <w:ilvl w:val="4"/>
        <w:numId w:val="2"/>
      </w:numPr>
      <w:ind w:left="272" w:hanging="272"/>
    </w:pPr>
  </w:style>
  <w:style w:type="paragraph" w:customStyle="1" w:styleId="18">
    <w:name w:val="WA 标题 6"/>
    <w:basedOn w:val="1"/>
    <w:qFormat/>
    <w:uiPriority w:val="0"/>
    <w:pPr>
      <w:numPr>
        <w:ilvl w:val="5"/>
        <w:numId w:val="2"/>
      </w:numPr>
      <w:ind w:left="272" w:hanging="272"/>
    </w:pPr>
  </w:style>
  <w:style w:type="paragraph" w:customStyle="1" w:styleId="19">
    <w:name w:val="WA 标题 7"/>
    <w:basedOn w:val="1"/>
    <w:qFormat/>
    <w:uiPriority w:val="0"/>
    <w:pPr>
      <w:numPr>
        <w:ilvl w:val="6"/>
        <w:numId w:val="2"/>
      </w:numPr>
      <w:ind w:left="272" w:hanging="272"/>
    </w:pPr>
  </w:style>
  <w:style w:type="paragraph" w:styleId="20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1192</Words>
  <Characters>1305</Characters>
  <Lines>0</Lines>
  <Paragraphs>0</Paragraphs>
  <TotalTime>6</TotalTime>
  <ScaleCrop>false</ScaleCrop>
  <LinksUpToDate>false</LinksUpToDate>
  <CharactersWithSpaces>1306</CharactersWithSpaces>
  <Application>WPS Office_11.1.0.12165_F1E327BC-269C-435d-A152-05C5408002CA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2022-05-06T10:54:00Z</dcterms:created>
  <dc:creator>庞佳明</dc:creator>
  <cp:lastModifiedBy>chens</cp:lastModifiedBy>
  <dcterms:modified xsi:type="dcterms:W3CDTF">2025-02-19T09:04:35Z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2052-11.1.0.12165</vt:lpwstr>
  </property>
  <property fmtid="{D5CDD505-2E9C-101B-9397-08002B2CF9AE}" pid="3" name="ICV">
    <vt:lpwstr>6CE70EF0D23A4817A1D9FC6F85781275_13</vt:lpwstr>
  </property>
  <property fmtid="{D5CDD505-2E9C-101B-9397-08002B2CF9AE}" pid="4" name="KSOTemplateDocerSaveRecord">
    <vt:lpwstr>eyJoZGlkIjoiMmI0MTk1NGI3MzFmYTdmNTZhZDY4MjljN2EwZjU3NTEiLCJ1c2VySWQiOiIzMTIxOTA3NDcifQ==</vt:lpwstr>
  </property>
</Properties>
</file>