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spacing w:line="560" w:lineRule="exact"/>
        <w:jc w:val="center"/>
        <w:outlineLvl w:val="9"/>
        <w:rPr>
          <w:rFonts w:hint="eastAsia" w:ascii="宋体" w:hAnsi="宋体" w:eastAsia="宋体" w:cs="宋体"/>
          <w:b/>
          <w:bCs/>
          <w:sz w:val="44"/>
          <w:szCs w:val="44"/>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mc:AlternateContent>
          <mc:Choice Requires="wps">
            <w:drawing>
              <wp:anchor distT="45720" distB="45720" distL="114300" distR="114300" simplePos="0" relativeHeight="251660288" behindDoc="0" locked="0" layoutInCell="1" allowOverlap="1">
                <wp:simplePos x="0" y="0"/>
                <wp:positionH relativeFrom="margin">
                  <wp:posOffset>-1114425</wp:posOffset>
                </wp:positionH>
                <wp:positionV relativeFrom="paragraph">
                  <wp:posOffset>2299970</wp:posOffset>
                </wp:positionV>
                <wp:extent cx="6715760" cy="1290955"/>
                <wp:effectExtent l="0" t="0" r="0" b="0"/>
                <wp:wrapSquare wrapText="bothSides"/>
                <wp:docPr id="217" name="文本框 217"/>
                <wp:cNvGraphicFramePr/>
                <a:graphic xmlns:a="http://schemas.openxmlformats.org/drawingml/2006/main">
                  <a:graphicData uri="http://schemas.microsoft.com/office/word/2010/wordprocessingShape">
                    <wps:wsp>
                      <wps:cNvSpPr txBox="1">
                        <a:spLocks noChangeArrowheads="1"/>
                      </wps:cNvSpPr>
                      <wps:spPr bwMode="auto">
                        <a:xfrm>
                          <a:off x="0" y="0"/>
                          <a:ext cx="6715760" cy="1290955"/>
                        </a:xfrm>
                        <a:prstGeom prst="rect">
                          <a:avLst/>
                        </a:prstGeom>
                        <a:noFill/>
                        <a:ln w="9525">
                          <a:noFill/>
                          <a:miter lim="800000"/>
                        </a:ln>
                        <a:effectLst/>
                      </wps:spPr>
                      <wps:txbx>
                        <w:txbxContent>
                          <w:p>
                            <w:pPr>
                              <w:ind w:firstLine="10280" w:firstLineChars="3200"/>
                              <w:jc w:val="both"/>
                              <w:rPr>
                                <w:rFonts w:hint="eastAsia" w:ascii="黑体" w:hAnsi="黑体" w:eastAsia="黑体"/>
                                <w:b/>
                                <w:sz w:val="32"/>
                                <w:szCs w:val="21"/>
                                <w:highlight w:val="none"/>
                              </w:rPr>
                            </w:pPr>
                            <w:r>
                              <w:rPr>
                                <w:rFonts w:hint="eastAsia" w:ascii="黑体" w:hAnsi="黑体" w:eastAsia="黑体"/>
                                <w:b/>
                                <w:sz w:val="32"/>
                                <w:szCs w:val="21"/>
                                <w:lang w:val="en-US" w:eastAsia="zh-CN"/>
                              </w:rPr>
                              <w:t xml:space="preserve"> </w:t>
                            </w:r>
                            <w:r>
                              <w:rPr>
                                <w:rFonts w:hint="eastAsia" w:ascii="黑体" w:hAnsi="黑体" w:eastAsia="黑体"/>
                                <w:b/>
                                <w:sz w:val="32"/>
                                <w:szCs w:val="21"/>
                                <w:lang w:eastAsia="zh-CN"/>
                              </w:rPr>
                              <w:t>广西电网公司</w:t>
                            </w:r>
                            <w:r>
                              <w:rPr>
                                <w:rFonts w:hint="eastAsia" w:ascii="黑体" w:hAnsi="黑体" w:eastAsia="黑体"/>
                                <w:b/>
                                <w:sz w:val="32"/>
                                <w:szCs w:val="21"/>
                              </w:rPr>
                              <w:t>20</w:t>
                            </w:r>
                            <w:r>
                              <w:rPr>
                                <w:rFonts w:hint="eastAsia" w:ascii="黑体" w:hAnsi="黑体" w:eastAsia="黑体"/>
                                <w:b/>
                                <w:sz w:val="32"/>
                                <w:szCs w:val="21"/>
                                <w:lang w:val="en-US" w:eastAsia="zh-CN"/>
                              </w:rPr>
                              <w:t>25</w:t>
                            </w:r>
                            <w:r>
                              <w:rPr>
                                <w:rFonts w:hint="eastAsia" w:ascii="黑体" w:hAnsi="黑体" w:eastAsia="黑体"/>
                                <w:b/>
                                <w:sz w:val="32"/>
                                <w:szCs w:val="21"/>
                              </w:rPr>
                              <w:t>-2</w:t>
                            </w:r>
                            <w:r>
                              <w:rPr>
                                <w:rFonts w:hint="eastAsia" w:ascii="黑体" w:hAnsi="黑体" w:eastAsia="黑体"/>
                                <w:b/>
                                <w:sz w:val="32"/>
                                <w:szCs w:val="21"/>
                                <w:lang w:val="en-US" w:eastAsia="zh-CN"/>
                              </w:rPr>
                              <w:t>026</w:t>
                            </w:r>
                            <w:r>
                              <w:rPr>
                                <w:rFonts w:hint="eastAsia" w:ascii="黑体" w:hAnsi="黑体" w:eastAsia="黑体"/>
                                <w:b/>
                                <w:sz w:val="32"/>
                                <w:szCs w:val="21"/>
                              </w:rPr>
                              <w:t>年消防检测</w:t>
                            </w:r>
                            <w:r>
                              <w:rPr>
                                <w:rFonts w:hint="eastAsia" w:ascii="黑体" w:hAnsi="黑体" w:eastAsia="黑体"/>
                                <w:b/>
                                <w:sz w:val="32"/>
                                <w:szCs w:val="21"/>
                                <w:lang w:eastAsia="zh-CN"/>
                              </w:rPr>
                              <w:t>项目（南宁区域、钦州区域、北海区域、</w:t>
                            </w:r>
                            <w:r>
                              <w:rPr>
                                <w:rFonts w:hint="eastAsia" w:ascii="黑体" w:hAnsi="黑体" w:eastAsia="黑体"/>
                                <w:b/>
                                <w:sz w:val="32"/>
                                <w:szCs w:val="21"/>
                                <w:lang w:val="en-US" w:eastAsia="zh-CN"/>
                              </w:rPr>
                              <w:t xml:space="preserve">  </w:t>
                            </w:r>
                            <w:r>
                              <w:rPr>
                                <w:rFonts w:hint="eastAsia" w:ascii="黑体" w:hAnsi="黑体" w:eastAsia="黑体"/>
                                <w:b/>
                                <w:sz w:val="32"/>
                                <w:szCs w:val="21"/>
                                <w:lang w:eastAsia="zh-CN"/>
                              </w:rPr>
                              <w:t>防城港区域、崇左区域、百色区域）</w:t>
                            </w:r>
                            <w:r>
                              <w:rPr>
                                <w:rFonts w:hint="eastAsia" w:ascii="黑体" w:hAnsi="黑体" w:eastAsia="黑体"/>
                                <w:b/>
                                <w:sz w:val="32"/>
                                <w:szCs w:val="21"/>
                                <w:highlight w:val="none"/>
                              </w:rPr>
                              <w:t>服务标准及要求</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87.75pt;margin-top:181.1pt;height:101.65pt;width:528.8pt;mso-position-horizontal-relative:margin;mso-wrap-distance-bottom:3.6pt;mso-wrap-distance-left:9pt;mso-wrap-distance-right:9pt;mso-wrap-distance-top:3.6pt;z-index:251660288;mso-width-relative:page;mso-height-relative:page;" filled="f" stroked="f" coordsize="21600,21600" o:gfxdata="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OzAsITYAAAADAEAAA8AAAAAAAAAAQAgAAAAIgAAAGRycy9kb3ducmV2LnhtbFBLAQIU&#10;ABQAAAAIAIdO4kDmfyxzLAIAADwEAAAOAAAAAAAAAAEAIAAAACcBAABkcnMvZTJvRG9jLnhtbFBL&#10;BQYAAAAABgAGAFkBAADFBQAAAAA=&#10;">
                <v:fill on="f" focussize="0,0"/>
                <v:stroke on="f" miterlimit="8" joinstyle="miter"/>
                <v:imagedata o:title=""/>
                <o:lock v:ext="edit" aspectratio="f"/>
                <v:textbox>
                  <w:txbxContent>
                    <w:p>
                      <w:pPr>
                        <w:ind w:firstLine="10280" w:firstLineChars="3200"/>
                        <w:jc w:val="both"/>
                        <w:rPr>
                          <w:rFonts w:hint="eastAsia" w:ascii="黑体" w:hAnsi="黑体" w:eastAsia="黑体"/>
                          <w:b/>
                          <w:sz w:val="32"/>
                          <w:szCs w:val="21"/>
                          <w:highlight w:val="none"/>
                        </w:rPr>
                      </w:pPr>
                      <w:r>
                        <w:rPr>
                          <w:rFonts w:hint="eastAsia" w:ascii="黑体" w:hAnsi="黑体" w:eastAsia="黑体"/>
                          <w:b/>
                          <w:sz w:val="32"/>
                          <w:szCs w:val="21"/>
                          <w:lang w:val="en-US" w:eastAsia="zh-CN"/>
                        </w:rPr>
                        <w:t xml:space="preserve"> </w:t>
                      </w:r>
                      <w:r>
                        <w:rPr>
                          <w:rFonts w:hint="eastAsia" w:ascii="黑体" w:hAnsi="黑体" w:eastAsia="黑体"/>
                          <w:b/>
                          <w:sz w:val="32"/>
                          <w:szCs w:val="21"/>
                          <w:lang w:eastAsia="zh-CN"/>
                        </w:rPr>
                        <w:t>广西电网公司</w:t>
                      </w:r>
                      <w:r>
                        <w:rPr>
                          <w:rFonts w:hint="eastAsia" w:ascii="黑体" w:hAnsi="黑体" w:eastAsia="黑体"/>
                          <w:b/>
                          <w:sz w:val="32"/>
                          <w:szCs w:val="21"/>
                        </w:rPr>
                        <w:t>20</w:t>
                      </w:r>
                      <w:r>
                        <w:rPr>
                          <w:rFonts w:hint="eastAsia" w:ascii="黑体" w:hAnsi="黑体" w:eastAsia="黑体"/>
                          <w:b/>
                          <w:sz w:val="32"/>
                          <w:szCs w:val="21"/>
                          <w:lang w:val="en-US" w:eastAsia="zh-CN"/>
                        </w:rPr>
                        <w:t>25</w:t>
                      </w:r>
                      <w:r>
                        <w:rPr>
                          <w:rFonts w:hint="eastAsia" w:ascii="黑体" w:hAnsi="黑体" w:eastAsia="黑体"/>
                          <w:b/>
                          <w:sz w:val="32"/>
                          <w:szCs w:val="21"/>
                        </w:rPr>
                        <w:t>-2</w:t>
                      </w:r>
                      <w:r>
                        <w:rPr>
                          <w:rFonts w:hint="eastAsia" w:ascii="黑体" w:hAnsi="黑体" w:eastAsia="黑体"/>
                          <w:b/>
                          <w:sz w:val="32"/>
                          <w:szCs w:val="21"/>
                          <w:lang w:val="en-US" w:eastAsia="zh-CN"/>
                        </w:rPr>
                        <w:t>026</w:t>
                      </w:r>
                      <w:r>
                        <w:rPr>
                          <w:rFonts w:hint="eastAsia" w:ascii="黑体" w:hAnsi="黑体" w:eastAsia="黑体"/>
                          <w:b/>
                          <w:sz w:val="32"/>
                          <w:szCs w:val="21"/>
                        </w:rPr>
                        <w:t>年消防检测</w:t>
                      </w:r>
                      <w:r>
                        <w:rPr>
                          <w:rFonts w:hint="eastAsia" w:ascii="黑体" w:hAnsi="黑体" w:eastAsia="黑体"/>
                          <w:b/>
                          <w:sz w:val="32"/>
                          <w:szCs w:val="21"/>
                          <w:lang w:eastAsia="zh-CN"/>
                        </w:rPr>
                        <w:t>项目（南宁区域、钦州区域、北海区域、</w:t>
                      </w:r>
                      <w:r>
                        <w:rPr>
                          <w:rFonts w:hint="eastAsia" w:ascii="黑体" w:hAnsi="黑体" w:eastAsia="黑体"/>
                          <w:b/>
                          <w:sz w:val="32"/>
                          <w:szCs w:val="21"/>
                          <w:lang w:val="en-US" w:eastAsia="zh-CN"/>
                        </w:rPr>
                        <w:t xml:space="preserve">  </w:t>
                      </w:r>
                      <w:r>
                        <w:rPr>
                          <w:rFonts w:hint="eastAsia" w:ascii="黑体" w:hAnsi="黑体" w:eastAsia="黑体"/>
                          <w:b/>
                          <w:sz w:val="32"/>
                          <w:szCs w:val="21"/>
                          <w:lang w:eastAsia="zh-CN"/>
                        </w:rPr>
                        <w:t>防城港区域、崇左区域、百色区域）</w:t>
                      </w:r>
                      <w:r>
                        <w:rPr>
                          <w:rFonts w:hint="eastAsia" w:ascii="黑体" w:hAnsi="黑体" w:eastAsia="黑体"/>
                          <w:b/>
                          <w:sz w:val="32"/>
                          <w:szCs w:val="21"/>
                          <w:highlight w:val="none"/>
                        </w:rPr>
                        <w:t>服务标准及要求</w:t>
                      </w:r>
                    </w:p>
                  </w:txbxContent>
                </v:textbox>
                <w10:wrap type="square"/>
              </v:shape>
            </w:pict>
          </mc:Fallback>
        </mc:AlternateContent>
      </w:r>
      <w:r>
        <mc:AlternateContent>
          <mc:Choice Requires="wps">
            <w:drawing>
              <wp:anchor distT="45720" distB="45720" distL="114300" distR="114300" simplePos="0" relativeHeight="251661312" behindDoc="0" locked="0" layoutInCell="1" allowOverlap="1">
                <wp:simplePos x="0" y="0"/>
                <wp:positionH relativeFrom="margin">
                  <wp:posOffset>78740</wp:posOffset>
                </wp:positionH>
                <wp:positionV relativeFrom="paragraph">
                  <wp:posOffset>7938770</wp:posOffset>
                </wp:positionV>
                <wp:extent cx="5106035" cy="843280"/>
                <wp:effectExtent l="0" t="0" r="0" b="0"/>
                <wp:wrapSquare wrapText="bothSides"/>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5106035" cy="843280"/>
                        </a:xfrm>
                        <a:prstGeom prst="rect">
                          <a:avLst/>
                        </a:prstGeom>
                        <a:noFill/>
                        <a:ln w="9525">
                          <a:noFill/>
                          <a:miter lim="800000"/>
                        </a:ln>
                        <a:effectLst/>
                      </wps:spPr>
                      <wps:txbx>
                        <w:txbxContent>
                          <w:p>
                            <w:pPr>
                              <w:jc w:val="center"/>
                              <w:rPr>
                                <w:rFonts w:hint="eastAsia" w:ascii="宋体" w:hAnsi="宋体" w:eastAsia="宋体" w:cs="宋体"/>
                                <w:b/>
                                <w:bCs w:val="0"/>
                                <w:sz w:val="36"/>
                                <w:szCs w:val="36"/>
                                <w:lang w:val="en-US" w:eastAsia="zh-CN"/>
                              </w:rPr>
                            </w:pPr>
                            <w:r>
                              <w:rPr>
                                <w:rFonts w:hint="eastAsia" w:ascii="宋体" w:hAnsi="宋体" w:eastAsia="宋体" w:cs="宋体"/>
                                <w:b/>
                                <w:bCs w:val="0"/>
                                <w:sz w:val="36"/>
                                <w:szCs w:val="36"/>
                                <w:lang w:val="en-US" w:eastAsia="zh-CN"/>
                              </w:rPr>
                              <w:t>广西电网公司</w:t>
                            </w:r>
                          </w:p>
                          <w:p>
                            <w:pPr>
                              <w:jc w:val="center"/>
                              <w:rPr>
                                <w:rFonts w:hint="eastAsia" w:ascii="宋体" w:hAnsi="宋体" w:eastAsia="宋体" w:cs="宋体"/>
                                <w:b/>
                                <w:bCs w:val="0"/>
                                <w:sz w:val="36"/>
                                <w:szCs w:val="36"/>
                                <w:lang w:val="en-US" w:eastAsia="zh-CN"/>
                              </w:rPr>
                            </w:pPr>
                            <w:r>
                              <w:rPr>
                                <w:rFonts w:hint="eastAsia" w:ascii="宋体" w:hAnsi="宋体" w:eastAsia="宋体" w:cs="宋体"/>
                                <w:b/>
                                <w:bCs w:val="0"/>
                                <w:sz w:val="36"/>
                                <w:szCs w:val="36"/>
                                <w:lang w:val="en-US" w:eastAsia="zh-CN"/>
                              </w:rPr>
                              <w:t>2024年10月</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6.2pt;margin-top:625.1pt;height:66.4pt;width:402.05pt;mso-position-horizontal-relative:margin;mso-wrap-distance-bottom:3.6pt;mso-wrap-distance-left:9pt;mso-wrap-distance-right:9pt;mso-wrap-distance-top:3.6pt;z-index:251661312;mso-width-relative:page;mso-height-relative:page;" filled="f" stroked="f" coordsize="21600,21600" o:gfxdata="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WepEb2AAAAAwBAAAPAAAAAAAAAAEAIAAAACIAAABkcnMvZG93bnJldi54bWxQSwECFAAU&#10;AAAACACHTuJAm01fXioCAAA3BAAADgAAAAAAAAABACAAAAAnAQAAZHJzL2Uyb0RvYy54bWxQSwUG&#10;AAAAAAYABgBZAQAAwwUAAAAA&#10;">
                <v:fill on="f" focussize="0,0"/>
                <v:stroke on="f" miterlimit="8" joinstyle="miter"/>
                <v:imagedata o:title=""/>
                <o:lock v:ext="edit" aspectratio="f"/>
                <v:textbox>
                  <w:txbxContent>
                    <w:p>
                      <w:pPr>
                        <w:jc w:val="center"/>
                        <w:rPr>
                          <w:rFonts w:hint="eastAsia" w:ascii="宋体" w:hAnsi="宋体" w:eastAsia="宋体" w:cs="宋体"/>
                          <w:b/>
                          <w:bCs w:val="0"/>
                          <w:sz w:val="36"/>
                          <w:szCs w:val="36"/>
                          <w:lang w:val="en-US" w:eastAsia="zh-CN"/>
                        </w:rPr>
                      </w:pPr>
                      <w:r>
                        <w:rPr>
                          <w:rFonts w:hint="eastAsia" w:ascii="宋体" w:hAnsi="宋体" w:eastAsia="宋体" w:cs="宋体"/>
                          <w:b/>
                          <w:bCs w:val="0"/>
                          <w:sz w:val="36"/>
                          <w:szCs w:val="36"/>
                          <w:lang w:val="en-US" w:eastAsia="zh-CN"/>
                        </w:rPr>
                        <w:t>广西电网公司</w:t>
                      </w:r>
                    </w:p>
                    <w:p>
                      <w:pPr>
                        <w:jc w:val="center"/>
                        <w:rPr>
                          <w:rFonts w:hint="eastAsia" w:ascii="宋体" w:hAnsi="宋体" w:eastAsia="宋体" w:cs="宋体"/>
                          <w:b/>
                          <w:bCs w:val="0"/>
                          <w:sz w:val="36"/>
                          <w:szCs w:val="36"/>
                          <w:lang w:val="en-US" w:eastAsia="zh-CN"/>
                        </w:rPr>
                      </w:pPr>
                      <w:r>
                        <w:rPr>
                          <w:rFonts w:hint="eastAsia" w:ascii="宋体" w:hAnsi="宋体" w:eastAsia="宋体" w:cs="宋体"/>
                          <w:b/>
                          <w:bCs w:val="0"/>
                          <w:sz w:val="36"/>
                          <w:szCs w:val="36"/>
                          <w:lang w:val="en-US" w:eastAsia="zh-CN"/>
                        </w:rPr>
                        <w:t>2024年10月</w:t>
                      </w:r>
                    </w:p>
                  </w:txbxContent>
                </v:textbox>
                <w10:wrap type="square"/>
              </v:shape>
            </w:pict>
          </mc:Fallback>
        </mc:AlternateContent>
      </w:r>
      <w:r>
        <w:drawing>
          <wp:anchor distT="0" distB="0" distL="114300" distR="114300" simplePos="0" relativeHeight="251659264" behindDoc="0" locked="0" layoutInCell="1" allowOverlap="1">
            <wp:simplePos x="0" y="0"/>
            <wp:positionH relativeFrom="page">
              <wp:posOffset>-114300</wp:posOffset>
            </wp:positionH>
            <wp:positionV relativeFrom="page">
              <wp:posOffset>-57150</wp:posOffset>
            </wp:positionV>
            <wp:extent cx="7919720" cy="5486400"/>
            <wp:effectExtent l="0" t="0" r="5080" b="0"/>
            <wp:wrapNone/>
            <wp:docPr id="1" name="图片 3" descr="D02-L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D02-L [Converted]"/>
                    <pic:cNvPicPr>
                      <a:picLocks noChangeAspect="1"/>
                    </pic:cNvPicPr>
                  </pic:nvPicPr>
                  <pic:blipFill>
                    <a:blip r:embed="rId6"/>
                    <a:stretch>
                      <a:fillRect/>
                    </a:stretch>
                  </pic:blipFill>
                  <pic:spPr>
                    <a:xfrm>
                      <a:off x="0" y="0"/>
                      <a:ext cx="7919720" cy="5486400"/>
                    </a:xfrm>
                    <a:prstGeom prst="rect">
                      <a:avLst/>
                    </a:prstGeom>
                    <a:noFill/>
                    <a:ln>
                      <a:noFill/>
                    </a:ln>
                  </pic:spPr>
                </pic:pic>
              </a:graphicData>
            </a:graphic>
          </wp:anchor>
        </w:drawing>
      </w:r>
    </w:p>
    <w:sdt>
      <w:sdtPr>
        <w:rPr>
          <w:rFonts w:ascii="宋体" w:hAnsi="宋体" w:eastAsia="宋体" w:cstheme="minorBidi"/>
          <w:b/>
          <w:bCs/>
          <w:kern w:val="2"/>
          <w:sz w:val="40"/>
          <w:szCs w:val="40"/>
          <w:lang w:val="en-US" w:eastAsia="zh-CN" w:bidi="ar-SA"/>
        </w:rPr>
        <w:id w:val="147466495"/>
        <w15:color w:val="DBDBDB"/>
        <w:docPartObj>
          <w:docPartGallery w:val="Table of Contents"/>
          <w:docPartUnique/>
        </w:docPartObj>
      </w:sdtPr>
      <w:sdtEndPr>
        <w:rPr>
          <w:rFonts w:hint="eastAsia" w:ascii="宋体" w:hAnsi="宋体" w:eastAsia="宋体" w:cs="宋体"/>
          <w:b/>
          <w:bCs/>
          <w:kern w:val="2"/>
          <w:sz w:val="21"/>
          <w:szCs w:val="44"/>
          <w:lang w:val="en-US" w:eastAsia="zh-CN" w:bidi="ar-SA"/>
        </w:rPr>
      </w:sdtEndPr>
      <w:sdtContent>
        <w:p>
          <w:pPr>
            <w:spacing w:before="0" w:beforeLines="0" w:after="0" w:afterLines="0" w:line="240" w:lineRule="auto"/>
            <w:ind w:left="0" w:leftChars="0" w:right="0" w:rightChars="0" w:firstLine="0" w:firstLineChars="0"/>
            <w:jc w:val="center"/>
            <w:rPr>
              <w:b/>
              <w:bCs/>
              <w:sz w:val="40"/>
              <w:szCs w:val="40"/>
            </w:rPr>
          </w:pPr>
          <w:r>
            <w:rPr>
              <w:rFonts w:ascii="宋体" w:hAnsi="宋体" w:eastAsia="宋体"/>
              <w:b/>
              <w:bCs/>
              <w:sz w:val="40"/>
              <w:szCs w:val="40"/>
            </w:rPr>
            <w:t>目录</w:t>
          </w:r>
        </w:p>
        <w:p>
          <w:pPr>
            <w:pStyle w:val="8"/>
            <w:tabs>
              <w:tab w:val="right" w:leader="dot" w:pos="8306"/>
            </w:tabs>
            <w:rPr>
              <w:b/>
              <w:bCs w:val="0"/>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TOC \o "1-2" \h \u </w:instrText>
          </w:r>
          <w:r>
            <w:rPr>
              <w:rFonts w:hint="eastAsia" w:ascii="宋体" w:hAnsi="宋体" w:eastAsia="宋体" w:cs="宋体"/>
              <w:b/>
              <w:bCs/>
              <w:sz w:val="28"/>
              <w:szCs w:val="28"/>
            </w:rPr>
            <w:fldChar w:fldCharType="separate"/>
          </w:r>
          <w:r>
            <w:rPr>
              <w:rFonts w:hint="eastAsia" w:ascii="宋体" w:hAnsi="宋体" w:eastAsia="宋体" w:cs="宋体"/>
              <w:b/>
              <w:bCs w:val="0"/>
              <w:sz w:val="28"/>
              <w:szCs w:val="28"/>
            </w:rPr>
            <w:fldChar w:fldCharType="begin"/>
          </w:r>
          <w:r>
            <w:rPr>
              <w:rFonts w:hint="eastAsia" w:ascii="宋体" w:hAnsi="宋体" w:eastAsia="宋体" w:cs="宋体"/>
              <w:b/>
              <w:bCs w:val="0"/>
              <w:sz w:val="28"/>
              <w:szCs w:val="28"/>
            </w:rPr>
            <w:instrText xml:space="preserve"> HYPERLINK \l _Toc25803 </w:instrText>
          </w:r>
          <w:r>
            <w:rPr>
              <w:rFonts w:hint="eastAsia" w:ascii="宋体" w:hAnsi="宋体" w:eastAsia="宋体" w:cs="宋体"/>
              <w:b/>
              <w:bCs w:val="0"/>
              <w:sz w:val="28"/>
              <w:szCs w:val="28"/>
            </w:rPr>
            <w:fldChar w:fldCharType="separate"/>
          </w:r>
          <w:r>
            <w:rPr>
              <w:rFonts w:hint="eastAsia"/>
              <w:b/>
              <w:bCs w:val="0"/>
              <w:sz w:val="28"/>
              <w:szCs w:val="28"/>
            </w:rPr>
            <w:t>一、项目简介</w:t>
          </w:r>
          <w:r>
            <w:rPr>
              <w:b/>
              <w:bCs w:val="0"/>
              <w:sz w:val="28"/>
              <w:szCs w:val="28"/>
            </w:rPr>
            <w:tab/>
          </w:r>
          <w:r>
            <w:rPr>
              <w:b/>
              <w:bCs w:val="0"/>
              <w:sz w:val="28"/>
              <w:szCs w:val="28"/>
            </w:rPr>
            <w:fldChar w:fldCharType="begin"/>
          </w:r>
          <w:r>
            <w:rPr>
              <w:b/>
              <w:bCs w:val="0"/>
              <w:sz w:val="28"/>
              <w:szCs w:val="28"/>
            </w:rPr>
            <w:instrText xml:space="preserve"> PAGEREF _Toc25803 \h </w:instrText>
          </w:r>
          <w:r>
            <w:rPr>
              <w:b/>
              <w:bCs w:val="0"/>
              <w:sz w:val="28"/>
              <w:szCs w:val="28"/>
            </w:rPr>
            <w:fldChar w:fldCharType="separate"/>
          </w:r>
          <w:r>
            <w:rPr>
              <w:b/>
              <w:bCs w:val="0"/>
              <w:sz w:val="28"/>
              <w:szCs w:val="28"/>
            </w:rPr>
            <w:t>3</w:t>
          </w:r>
          <w:r>
            <w:rPr>
              <w:b/>
              <w:bCs w:val="0"/>
              <w:sz w:val="28"/>
              <w:szCs w:val="28"/>
            </w:rPr>
            <w:fldChar w:fldCharType="end"/>
          </w:r>
          <w:r>
            <w:rPr>
              <w:rFonts w:hint="eastAsia" w:ascii="宋体" w:hAnsi="宋体" w:eastAsia="宋体" w:cs="宋体"/>
              <w:b/>
              <w:bCs w:val="0"/>
              <w:sz w:val="28"/>
              <w:szCs w:val="28"/>
            </w:rPr>
            <w:fldChar w:fldCharType="end"/>
          </w:r>
        </w:p>
        <w:p>
          <w:pPr>
            <w:pStyle w:val="9"/>
            <w:tabs>
              <w:tab w:val="right" w:leader="dot" w:pos="8306"/>
            </w:tabs>
            <w:rPr>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HYPERLINK \l _Toc6904 </w:instrText>
          </w:r>
          <w:r>
            <w:rPr>
              <w:rFonts w:hint="eastAsia" w:ascii="宋体" w:hAnsi="宋体" w:eastAsia="宋体" w:cs="宋体"/>
              <w:bCs/>
              <w:sz w:val="28"/>
              <w:szCs w:val="28"/>
            </w:rPr>
            <w:fldChar w:fldCharType="separate"/>
          </w:r>
          <w:r>
            <w:rPr>
              <w:rFonts w:hint="eastAsia"/>
              <w:bCs/>
              <w:sz w:val="28"/>
              <w:szCs w:val="28"/>
            </w:rPr>
            <w:t>（一）项目服务内容</w:t>
          </w:r>
          <w:r>
            <w:rPr>
              <w:sz w:val="28"/>
              <w:szCs w:val="28"/>
            </w:rPr>
            <w:tab/>
          </w:r>
          <w:r>
            <w:rPr>
              <w:sz w:val="28"/>
              <w:szCs w:val="28"/>
            </w:rPr>
            <w:fldChar w:fldCharType="begin"/>
          </w:r>
          <w:r>
            <w:rPr>
              <w:sz w:val="28"/>
              <w:szCs w:val="28"/>
            </w:rPr>
            <w:instrText xml:space="preserve"> PAGEREF _Toc6904 \h </w:instrText>
          </w:r>
          <w:r>
            <w:rPr>
              <w:sz w:val="28"/>
              <w:szCs w:val="28"/>
            </w:rPr>
            <w:fldChar w:fldCharType="separate"/>
          </w:r>
          <w:r>
            <w:rPr>
              <w:sz w:val="28"/>
              <w:szCs w:val="28"/>
            </w:rPr>
            <w:t>3</w:t>
          </w:r>
          <w:r>
            <w:rPr>
              <w:sz w:val="28"/>
              <w:szCs w:val="28"/>
            </w:rPr>
            <w:fldChar w:fldCharType="end"/>
          </w:r>
          <w:r>
            <w:rPr>
              <w:rFonts w:hint="eastAsia" w:ascii="宋体" w:hAnsi="宋体" w:eastAsia="宋体" w:cs="宋体"/>
              <w:bCs/>
              <w:sz w:val="28"/>
              <w:szCs w:val="28"/>
            </w:rPr>
            <w:fldChar w:fldCharType="end"/>
          </w:r>
        </w:p>
        <w:p>
          <w:pPr>
            <w:pStyle w:val="9"/>
            <w:tabs>
              <w:tab w:val="right" w:leader="dot" w:pos="8306"/>
            </w:tabs>
            <w:rPr>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HYPERLINK \l _Toc30320 </w:instrText>
          </w:r>
          <w:r>
            <w:rPr>
              <w:rFonts w:hint="eastAsia" w:ascii="宋体" w:hAnsi="宋体" w:eastAsia="宋体" w:cs="宋体"/>
              <w:bCs/>
              <w:sz w:val="28"/>
              <w:szCs w:val="28"/>
            </w:rPr>
            <w:fldChar w:fldCharType="separate"/>
          </w:r>
          <w:r>
            <w:rPr>
              <w:rFonts w:hint="eastAsia"/>
              <w:bCs/>
              <w:sz w:val="28"/>
              <w:szCs w:val="28"/>
            </w:rPr>
            <w:t>（二）项目服务范围</w:t>
          </w:r>
          <w:r>
            <w:rPr>
              <w:sz w:val="28"/>
              <w:szCs w:val="28"/>
            </w:rPr>
            <w:tab/>
          </w:r>
          <w:r>
            <w:rPr>
              <w:sz w:val="28"/>
              <w:szCs w:val="28"/>
            </w:rPr>
            <w:fldChar w:fldCharType="begin"/>
          </w:r>
          <w:r>
            <w:rPr>
              <w:sz w:val="28"/>
              <w:szCs w:val="28"/>
            </w:rPr>
            <w:instrText xml:space="preserve"> PAGEREF _Toc30320 \h </w:instrText>
          </w:r>
          <w:r>
            <w:rPr>
              <w:sz w:val="28"/>
              <w:szCs w:val="28"/>
            </w:rPr>
            <w:fldChar w:fldCharType="separate"/>
          </w:r>
          <w:r>
            <w:rPr>
              <w:sz w:val="28"/>
              <w:szCs w:val="28"/>
            </w:rPr>
            <w:t>3</w:t>
          </w:r>
          <w:r>
            <w:rPr>
              <w:sz w:val="28"/>
              <w:szCs w:val="28"/>
            </w:rPr>
            <w:fldChar w:fldCharType="end"/>
          </w:r>
          <w:r>
            <w:rPr>
              <w:rFonts w:hint="eastAsia" w:ascii="宋体" w:hAnsi="宋体" w:eastAsia="宋体" w:cs="宋体"/>
              <w:bCs/>
              <w:sz w:val="28"/>
              <w:szCs w:val="28"/>
            </w:rPr>
            <w:fldChar w:fldCharType="end"/>
          </w:r>
        </w:p>
        <w:p>
          <w:pPr>
            <w:pStyle w:val="8"/>
            <w:tabs>
              <w:tab w:val="right" w:leader="dot" w:pos="8306"/>
            </w:tabs>
            <w:rPr>
              <w:b/>
              <w:bCs w:val="0"/>
              <w:sz w:val="28"/>
              <w:szCs w:val="28"/>
            </w:rPr>
          </w:pPr>
          <w:r>
            <w:rPr>
              <w:rFonts w:hint="eastAsia" w:ascii="宋体" w:hAnsi="宋体" w:eastAsia="宋体" w:cs="宋体"/>
              <w:b/>
              <w:bCs w:val="0"/>
              <w:sz w:val="28"/>
              <w:szCs w:val="28"/>
            </w:rPr>
            <w:fldChar w:fldCharType="begin"/>
          </w:r>
          <w:r>
            <w:rPr>
              <w:rFonts w:hint="eastAsia" w:ascii="宋体" w:hAnsi="宋体" w:eastAsia="宋体" w:cs="宋体"/>
              <w:b/>
              <w:bCs w:val="0"/>
              <w:sz w:val="28"/>
              <w:szCs w:val="28"/>
            </w:rPr>
            <w:instrText xml:space="preserve"> HYPERLINK \l _Toc17084 </w:instrText>
          </w:r>
          <w:r>
            <w:rPr>
              <w:rFonts w:hint="eastAsia" w:ascii="宋体" w:hAnsi="宋体" w:eastAsia="宋体" w:cs="宋体"/>
              <w:b/>
              <w:bCs w:val="0"/>
              <w:sz w:val="28"/>
              <w:szCs w:val="28"/>
            </w:rPr>
            <w:fldChar w:fldCharType="separate"/>
          </w:r>
          <w:r>
            <w:rPr>
              <w:rFonts w:hint="eastAsia"/>
              <w:b/>
              <w:bCs w:val="0"/>
              <w:sz w:val="28"/>
              <w:szCs w:val="28"/>
            </w:rPr>
            <w:t>二、项目服务标准及要求</w:t>
          </w:r>
          <w:r>
            <w:rPr>
              <w:b/>
              <w:bCs w:val="0"/>
              <w:sz w:val="28"/>
              <w:szCs w:val="28"/>
            </w:rPr>
            <w:tab/>
          </w:r>
          <w:r>
            <w:rPr>
              <w:b/>
              <w:bCs w:val="0"/>
              <w:sz w:val="28"/>
              <w:szCs w:val="28"/>
            </w:rPr>
            <w:fldChar w:fldCharType="begin"/>
          </w:r>
          <w:r>
            <w:rPr>
              <w:b/>
              <w:bCs w:val="0"/>
              <w:sz w:val="28"/>
              <w:szCs w:val="28"/>
            </w:rPr>
            <w:instrText xml:space="preserve"> PAGEREF _Toc17084 \h </w:instrText>
          </w:r>
          <w:r>
            <w:rPr>
              <w:b/>
              <w:bCs w:val="0"/>
              <w:sz w:val="28"/>
              <w:szCs w:val="28"/>
            </w:rPr>
            <w:fldChar w:fldCharType="separate"/>
          </w:r>
          <w:r>
            <w:rPr>
              <w:b/>
              <w:bCs w:val="0"/>
              <w:sz w:val="28"/>
              <w:szCs w:val="28"/>
            </w:rPr>
            <w:t>3</w:t>
          </w:r>
          <w:r>
            <w:rPr>
              <w:b/>
              <w:bCs w:val="0"/>
              <w:sz w:val="28"/>
              <w:szCs w:val="28"/>
            </w:rPr>
            <w:fldChar w:fldCharType="end"/>
          </w:r>
          <w:r>
            <w:rPr>
              <w:rFonts w:hint="eastAsia" w:ascii="宋体" w:hAnsi="宋体" w:eastAsia="宋体" w:cs="宋体"/>
              <w:b/>
              <w:bCs w:val="0"/>
              <w:sz w:val="28"/>
              <w:szCs w:val="28"/>
            </w:rPr>
            <w:fldChar w:fldCharType="end"/>
          </w:r>
        </w:p>
        <w:p>
          <w:pPr>
            <w:pStyle w:val="9"/>
            <w:tabs>
              <w:tab w:val="right" w:leader="dot" w:pos="8306"/>
            </w:tabs>
            <w:rPr>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HYPERLINK \l _Toc30635 </w:instrText>
          </w:r>
          <w:r>
            <w:rPr>
              <w:rFonts w:hint="eastAsia" w:ascii="宋体" w:hAnsi="宋体" w:eastAsia="宋体" w:cs="宋体"/>
              <w:bCs/>
              <w:sz w:val="28"/>
              <w:szCs w:val="28"/>
            </w:rPr>
            <w:fldChar w:fldCharType="separate"/>
          </w:r>
          <w:r>
            <w:rPr>
              <w:rFonts w:hint="eastAsia"/>
              <w:bCs/>
              <w:sz w:val="28"/>
              <w:szCs w:val="28"/>
            </w:rPr>
            <w:t>（一）项目服务标准</w:t>
          </w:r>
          <w:r>
            <w:rPr>
              <w:sz w:val="28"/>
              <w:szCs w:val="28"/>
            </w:rPr>
            <w:tab/>
          </w:r>
          <w:r>
            <w:rPr>
              <w:sz w:val="28"/>
              <w:szCs w:val="28"/>
            </w:rPr>
            <w:fldChar w:fldCharType="begin"/>
          </w:r>
          <w:r>
            <w:rPr>
              <w:sz w:val="28"/>
              <w:szCs w:val="28"/>
            </w:rPr>
            <w:instrText xml:space="preserve"> PAGEREF _Toc30635 \h </w:instrText>
          </w:r>
          <w:r>
            <w:rPr>
              <w:sz w:val="28"/>
              <w:szCs w:val="28"/>
            </w:rPr>
            <w:fldChar w:fldCharType="separate"/>
          </w:r>
          <w:r>
            <w:rPr>
              <w:sz w:val="28"/>
              <w:szCs w:val="28"/>
            </w:rPr>
            <w:t>3</w:t>
          </w:r>
          <w:r>
            <w:rPr>
              <w:sz w:val="28"/>
              <w:szCs w:val="28"/>
            </w:rPr>
            <w:fldChar w:fldCharType="end"/>
          </w:r>
          <w:r>
            <w:rPr>
              <w:rFonts w:hint="eastAsia" w:ascii="宋体" w:hAnsi="宋体" w:eastAsia="宋体" w:cs="宋体"/>
              <w:bCs/>
              <w:sz w:val="28"/>
              <w:szCs w:val="28"/>
            </w:rPr>
            <w:fldChar w:fldCharType="end"/>
          </w:r>
        </w:p>
        <w:p>
          <w:pPr>
            <w:pStyle w:val="9"/>
            <w:tabs>
              <w:tab w:val="right" w:leader="dot" w:pos="8306"/>
            </w:tabs>
            <w:rPr>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HYPERLINK \l _Toc10650 </w:instrText>
          </w:r>
          <w:r>
            <w:rPr>
              <w:rFonts w:hint="eastAsia" w:ascii="宋体" w:hAnsi="宋体" w:eastAsia="宋体" w:cs="宋体"/>
              <w:bCs/>
              <w:sz w:val="28"/>
              <w:szCs w:val="28"/>
            </w:rPr>
            <w:fldChar w:fldCharType="separate"/>
          </w:r>
          <w:r>
            <w:rPr>
              <w:rFonts w:hint="eastAsia"/>
              <w:bCs/>
              <w:sz w:val="28"/>
              <w:szCs w:val="28"/>
            </w:rPr>
            <w:t>（二）</w:t>
          </w:r>
          <w:r>
            <w:rPr>
              <w:rFonts w:hint="eastAsia"/>
              <w:bCs/>
              <w:sz w:val="28"/>
              <w:szCs w:val="28"/>
              <w:lang w:val="en-US" w:eastAsia="zh-CN"/>
            </w:rPr>
            <w:t>项目服务要求</w:t>
          </w:r>
          <w:r>
            <w:rPr>
              <w:sz w:val="28"/>
              <w:szCs w:val="28"/>
            </w:rPr>
            <w:tab/>
          </w:r>
          <w:r>
            <w:rPr>
              <w:sz w:val="28"/>
              <w:szCs w:val="28"/>
            </w:rPr>
            <w:fldChar w:fldCharType="begin"/>
          </w:r>
          <w:r>
            <w:rPr>
              <w:sz w:val="28"/>
              <w:szCs w:val="28"/>
            </w:rPr>
            <w:instrText xml:space="preserve"> PAGEREF _Toc10650 \h </w:instrText>
          </w:r>
          <w:r>
            <w:rPr>
              <w:sz w:val="28"/>
              <w:szCs w:val="28"/>
            </w:rPr>
            <w:fldChar w:fldCharType="separate"/>
          </w:r>
          <w:r>
            <w:rPr>
              <w:sz w:val="28"/>
              <w:szCs w:val="28"/>
            </w:rPr>
            <w:t>5</w:t>
          </w:r>
          <w:r>
            <w:rPr>
              <w:sz w:val="28"/>
              <w:szCs w:val="28"/>
            </w:rPr>
            <w:fldChar w:fldCharType="end"/>
          </w:r>
          <w:r>
            <w:rPr>
              <w:rFonts w:hint="eastAsia" w:ascii="宋体" w:hAnsi="宋体" w:eastAsia="宋体" w:cs="宋体"/>
              <w:bCs/>
              <w:sz w:val="28"/>
              <w:szCs w:val="28"/>
            </w:rPr>
            <w:fldChar w:fldCharType="end"/>
          </w:r>
        </w:p>
        <w:p>
          <w:pPr>
            <w:pStyle w:val="8"/>
            <w:tabs>
              <w:tab w:val="right" w:leader="dot" w:pos="8306"/>
            </w:tabs>
            <w:rPr>
              <w:b/>
              <w:bCs w:val="0"/>
              <w:sz w:val="28"/>
              <w:szCs w:val="28"/>
            </w:rPr>
          </w:pPr>
          <w:r>
            <w:rPr>
              <w:rFonts w:hint="eastAsia" w:ascii="宋体" w:hAnsi="宋体" w:eastAsia="宋体" w:cs="宋体"/>
              <w:b/>
              <w:bCs w:val="0"/>
              <w:sz w:val="28"/>
              <w:szCs w:val="28"/>
            </w:rPr>
            <w:fldChar w:fldCharType="begin"/>
          </w:r>
          <w:r>
            <w:rPr>
              <w:rFonts w:hint="eastAsia" w:ascii="宋体" w:hAnsi="宋体" w:eastAsia="宋体" w:cs="宋体"/>
              <w:b/>
              <w:bCs w:val="0"/>
              <w:sz w:val="28"/>
              <w:szCs w:val="28"/>
            </w:rPr>
            <w:instrText xml:space="preserve"> HYPERLINK \l _Toc1804 </w:instrText>
          </w:r>
          <w:r>
            <w:rPr>
              <w:rFonts w:hint="eastAsia" w:ascii="宋体" w:hAnsi="宋体" w:eastAsia="宋体" w:cs="宋体"/>
              <w:b/>
              <w:bCs w:val="0"/>
              <w:sz w:val="28"/>
              <w:szCs w:val="28"/>
            </w:rPr>
            <w:fldChar w:fldCharType="separate"/>
          </w:r>
          <w:r>
            <w:rPr>
              <w:rFonts w:hint="eastAsia"/>
              <w:b/>
              <w:bCs w:val="0"/>
              <w:sz w:val="28"/>
              <w:szCs w:val="28"/>
            </w:rPr>
            <w:t>三、</w:t>
          </w:r>
          <w:r>
            <w:rPr>
              <w:rFonts w:hint="eastAsia"/>
              <w:b/>
              <w:bCs w:val="0"/>
              <w:sz w:val="28"/>
              <w:szCs w:val="28"/>
              <w:lang w:eastAsia="zh-CN"/>
            </w:rPr>
            <w:t>项目其他需要说明第事项</w:t>
          </w:r>
          <w:r>
            <w:rPr>
              <w:b/>
              <w:bCs w:val="0"/>
              <w:sz w:val="28"/>
              <w:szCs w:val="28"/>
            </w:rPr>
            <w:tab/>
          </w:r>
          <w:r>
            <w:rPr>
              <w:b/>
              <w:bCs w:val="0"/>
              <w:sz w:val="28"/>
              <w:szCs w:val="28"/>
            </w:rPr>
            <w:fldChar w:fldCharType="begin"/>
          </w:r>
          <w:r>
            <w:rPr>
              <w:b/>
              <w:bCs w:val="0"/>
              <w:sz w:val="28"/>
              <w:szCs w:val="28"/>
            </w:rPr>
            <w:instrText xml:space="preserve"> PAGEREF _Toc1804 \h </w:instrText>
          </w:r>
          <w:r>
            <w:rPr>
              <w:b/>
              <w:bCs w:val="0"/>
              <w:sz w:val="28"/>
              <w:szCs w:val="28"/>
            </w:rPr>
            <w:fldChar w:fldCharType="separate"/>
          </w:r>
          <w:r>
            <w:rPr>
              <w:b/>
              <w:bCs w:val="0"/>
              <w:sz w:val="28"/>
              <w:szCs w:val="28"/>
            </w:rPr>
            <w:t>6</w:t>
          </w:r>
          <w:r>
            <w:rPr>
              <w:b/>
              <w:bCs w:val="0"/>
              <w:sz w:val="28"/>
              <w:szCs w:val="28"/>
            </w:rPr>
            <w:fldChar w:fldCharType="end"/>
          </w:r>
          <w:r>
            <w:rPr>
              <w:rFonts w:hint="eastAsia" w:ascii="宋体" w:hAnsi="宋体" w:eastAsia="宋体" w:cs="宋体"/>
              <w:b/>
              <w:bCs w:val="0"/>
              <w:sz w:val="28"/>
              <w:szCs w:val="28"/>
            </w:rPr>
            <w:fldChar w:fldCharType="end"/>
          </w:r>
        </w:p>
        <w:p>
          <w:pPr>
            <w:pStyle w:val="8"/>
            <w:tabs>
              <w:tab w:val="right" w:leader="dot" w:pos="8306"/>
            </w:tabs>
            <w:rPr>
              <w:b/>
              <w:bCs w:val="0"/>
              <w:sz w:val="28"/>
              <w:szCs w:val="28"/>
            </w:rPr>
          </w:pPr>
          <w:r>
            <w:rPr>
              <w:rFonts w:hint="eastAsia" w:ascii="宋体" w:hAnsi="宋体" w:eastAsia="宋体" w:cs="宋体"/>
              <w:b/>
              <w:bCs w:val="0"/>
              <w:sz w:val="28"/>
              <w:szCs w:val="28"/>
            </w:rPr>
            <w:fldChar w:fldCharType="begin"/>
          </w:r>
          <w:r>
            <w:rPr>
              <w:rFonts w:hint="eastAsia" w:ascii="宋体" w:hAnsi="宋体" w:eastAsia="宋体" w:cs="宋体"/>
              <w:b/>
              <w:bCs w:val="0"/>
              <w:sz w:val="28"/>
              <w:szCs w:val="28"/>
            </w:rPr>
            <w:instrText xml:space="preserve"> HYPERLINK \l _Toc9383 </w:instrText>
          </w:r>
          <w:r>
            <w:rPr>
              <w:rFonts w:hint="eastAsia" w:ascii="宋体" w:hAnsi="宋体" w:eastAsia="宋体" w:cs="宋体"/>
              <w:b/>
              <w:bCs w:val="0"/>
              <w:sz w:val="28"/>
              <w:szCs w:val="28"/>
            </w:rPr>
            <w:fldChar w:fldCharType="separate"/>
          </w:r>
          <w:r>
            <w:rPr>
              <w:rFonts w:hint="eastAsia"/>
              <w:b/>
              <w:bCs w:val="0"/>
              <w:sz w:val="28"/>
              <w:szCs w:val="28"/>
            </w:rPr>
            <w:t>四、</w:t>
          </w:r>
          <w:r>
            <w:rPr>
              <w:rFonts w:hint="eastAsia"/>
              <w:b/>
              <w:bCs w:val="0"/>
              <w:sz w:val="28"/>
              <w:szCs w:val="28"/>
              <w:lang w:eastAsia="zh-CN"/>
            </w:rPr>
            <w:t>服务履约考核</w:t>
          </w:r>
          <w:r>
            <w:rPr>
              <w:b/>
              <w:bCs w:val="0"/>
              <w:sz w:val="28"/>
              <w:szCs w:val="28"/>
            </w:rPr>
            <w:tab/>
          </w:r>
          <w:r>
            <w:rPr>
              <w:b/>
              <w:bCs w:val="0"/>
              <w:sz w:val="28"/>
              <w:szCs w:val="28"/>
            </w:rPr>
            <w:fldChar w:fldCharType="begin"/>
          </w:r>
          <w:r>
            <w:rPr>
              <w:b/>
              <w:bCs w:val="0"/>
              <w:sz w:val="28"/>
              <w:szCs w:val="28"/>
            </w:rPr>
            <w:instrText xml:space="preserve"> PAGEREF _Toc9383 \h </w:instrText>
          </w:r>
          <w:r>
            <w:rPr>
              <w:b/>
              <w:bCs w:val="0"/>
              <w:sz w:val="28"/>
              <w:szCs w:val="28"/>
            </w:rPr>
            <w:fldChar w:fldCharType="separate"/>
          </w:r>
          <w:r>
            <w:rPr>
              <w:b/>
              <w:bCs w:val="0"/>
              <w:sz w:val="28"/>
              <w:szCs w:val="28"/>
            </w:rPr>
            <w:t>7</w:t>
          </w:r>
          <w:r>
            <w:rPr>
              <w:b/>
              <w:bCs w:val="0"/>
              <w:sz w:val="28"/>
              <w:szCs w:val="28"/>
            </w:rPr>
            <w:fldChar w:fldCharType="end"/>
          </w:r>
          <w:r>
            <w:rPr>
              <w:rFonts w:hint="eastAsia" w:ascii="宋体" w:hAnsi="宋体" w:eastAsia="宋体" w:cs="宋体"/>
              <w:b/>
              <w:bCs w:val="0"/>
              <w:sz w:val="28"/>
              <w:szCs w:val="28"/>
            </w:rPr>
            <w:fldChar w:fldCharType="end"/>
          </w:r>
        </w:p>
        <w:p>
          <w:pPr>
            <w:pStyle w:val="8"/>
            <w:tabs>
              <w:tab w:val="right" w:leader="dot" w:pos="8306"/>
            </w:tabs>
            <w:rPr>
              <w:b/>
              <w:bCs w:val="0"/>
              <w:sz w:val="28"/>
              <w:szCs w:val="28"/>
            </w:rPr>
          </w:pPr>
          <w:r>
            <w:rPr>
              <w:rFonts w:hint="eastAsia" w:ascii="宋体" w:hAnsi="宋体" w:eastAsia="宋体" w:cs="宋体"/>
              <w:b/>
              <w:bCs w:val="0"/>
              <w:sz w:val="28"/>
              <w:szCs w:val="28"/>
            </w:rPr>
            <w:fldChar w:fldCharType="begin"/>
          </w:r>
          <w:r>
            <w:rPr>
              <w:rFonts w:hint="eastAsia" w:ascii="宋体" w:hAnsi="宋体" w:eastAsia="宋体" w:cs="宋体"/>
              <w:b/>
              <w:bCs w:val="0"/>
              <w:sz w:val="28"/>
              <w:szCs w:val="28"/>
            </w:rPr>
            <w:instrText xml:space="preserve"> HYPERLINK \l _Toc15094 </w:instrText>
          </w:r>
          <w:r>
            <w:rPr>
              <w:rFonts w:hint="eastAsia" w:ascii="宋体" w:hAnsi="宋体" w:eastAsia="宋体" w:cs="宋体"/>
              <w:b/>
              <w:bCs w:val="0"/>
              <w:sz w:val="28"/>
              <w:szCs w:val="28"/>
            </w:rPr>
            <w:fldChar w:fldCharType="separate"/>
          </w:r>
          <w:r>
            <w:rPr>
              <w:rFonts w:hint="eastAsia"/>
              <w:b/>
              <w:bCs w:val="0"/>
              <w:sz w:val="28"/>
              <w:szCs w:val="28"/>
              <w:lang w:val="en-US" w:eastAsia="zh-CN"/>
            </w:rPr>
            <w:t>附件1</w:t>
          </w:r>
          <w:r>
            <w:rPr>
              <w:b/>
              <w:bCs w:val="0"/>
              <w:sz w:val="28"/>
              <w:szCs w:val="28"/>
            </w:rPr>
            <w:tab/>
          </w:r>
          <w:r>
            <w:rPr>
              <w:b/>
              <w:bCs w:val="0"/>
              <w:sz w:val="28"/>
              <w:szCs w:val="28"/>
            </w:rPr>
            <w:fldChar w:fldCharType="begin"/>
          </w:r>
          <w:r>
            <w:rPr>
              <w:b/>
              <w:bCs w:val="0"/>
              <w:sz w:val="28"/>
              <w:szCs w:val="28"/>
            </w:rPr>
            <w:instrText xml:space="preserve"> PAGEREF _Toc15094 \h </w:instrText>
          </w:r>
          <w:r>
            <w:rPr>
              <w:b/>
              <w:bCs w:val="0"/>
              <w:sz w:val="28"/>
              <w:szCs w:val="28"/>
            </w:rPr>
            <w:fldChar w:fldCharType="separate"/>
          </w:r>
          <w:r>
            <w:rPr>
              <w:b/>
              <w:bCs w:val="0"/>
              <w:sz w:val="28"/>
              <w:szCs w:val="28"/>
            </w:rPr>
            <w:t>7</w:t>
          </w:r>
          <w:r>
            <w:rPr>
              <w:b/>
              <w:bCs w:val="0"/>
              <w:sz w:val="28"/>
              <w:szCs w:val="28"/>
            </w:rPr>
            <w:fldChar w:fldCharType="end"/>
          </w:r>
          <w:r>
            <w:rPr>
              <w:rFonts w:hint="eastAsia" w:ascii="宋体" w:hAnsi="宋体" w:eastAsia="宋体" w:cs="宋体"/>
              <w:b/>
              <w:bCs w:val="0"/>
              <w:sz w:val="28"/>
              <w:szCs w:val="28"/>
            </w:rPr>
            <w:fldChar w:fldCharType="end"/>
          </w:r>
        </w:p>
        <w:p>
          <w:pPr>
            <w:keepNext/>
            <w:spacing w:line="560" w:lineRule="exact"/>
            <w:jc w:val="center"/>
            <w:outlineLvl w:val="9"/>
            <w:rPr>
              <w:rFonts w:hint="eastAsia" w:ascii="宋体" w:hAnsi="宋体" w:eastAsia="宋体" w:cs="宋体"/>
              <w:b/>
              <w:bCs/>
              <w:sz w:val="44"/>
              <w:szCs w:val="44"/>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425" w:num="1"/>
              <w:docGrid w:type="lines" w:linePitch="312" w:charSpace="0"/>
            </w:sectPr>
          </w:pPr>
          <w:r>
            <w:rPr>
              <w:rFonts w:hint="eastAsia" w:ascii="宋体" w:hAnsi="宋体" w:eastAsia="宋体" w:cs="宋体"/>
              <w:bCs/>
              <w:sz w:val="28"/>
              <w:szCs w:val="28"/>
            </w:rPr>
            <w:fldChar w:fldCharType="end"/>
          </w:r>
        </w:p>
      </w:sdtContent>
    </w:sdt>
    <w:p>
      <w:pPr>
        <w:keepNext/>
        <w:spacing w:line="560" w:lineRule="exact"/>
        <w:jc w:val="center"/>
        <w:outlineLvl w:val="9"/>
        <w:rPr>
          <w:rFonts w:ascii="宋体" w:hAnsi="宋体" w:eastAsia="宋体" w:cs="宋体"/>
          <w:b/>
          <w:bCs/>
          <w:sz w:val="40"/>
          <w:szCs w:val="40"/>
        </w:rPr>
      </w:pPr>
      <w:bookmarkStart w:id="0" w:name="_Toc22363"/>
      <w:bookmarkStart w:id="1" w:name="_Toc16930"/>
      <w:r>
        <w:rPr>
          <w:rFonts w:hint="eastAsia" w:ascii="宋体" w:hAnsi="宋体" w:eastAsia="宋体" w:cs="宋体"/>
          <w:b/>
          <w:bCs/>
          <w:sz w:val="40"/>
          <w:szCs w:val="40"/>
          <w:lang w:eastAsia="zh-CN"/>
        </w:rPr>
        <w:t>广西电网公司</w:t>
      </w:r>
      <w:r>
        <w:rPr>
          <w:rFonts w:hint="eastAsia" w:ascii="宋体" w:hAnsi="宋体" w:eastAsia="宋体" w:cs="宋体"/>
          <w:b/>
          <w:bCs/>
          <w:sz w:val="40"/>
          <w:szCs w:val="40"/>
        </w:rPr>
        <w:t>20</w:t>
      </w:r>
      <w:r>
        <w:rPr>
          <w:rFonts w:hint="eastAsia" w:ascii="宋体" w:hAnsi="宋体" w:eastAsia="宋体" w:cs="宋体"/>
          <w:b/>
          <w:bCs/>
          <w:sz w:val="40"/>
          <w:szCs w:val="40"/>
          <w:lang w:val="en-US" w:eastAsia="zh-CN"/>
        </w:rPr>
        <w:t>25</w:t>
      </w:r>
      <w:r>
        <w:rPr>
          <w:rFonts w:hint="eastAsia" w:ascii="宋体" w:hAnsi="宋体" w:eastAsia="宋体" w:cs="宋体"/>
          <w:b/>
          <w:bCs/>
          <w:sz w:val="40"/>
          <w:szCs w:val="40"/>
        </w:rPr>
        <w:t>-20</w:t>
      </w:r>
      <w:r>
        <w:rPr>
          <w:rFonts w:hint="eastAsia" w:ascii="宋体" w:hAnsi="宋体" w:eastAsia="宋体" w:cs="宋体"/>
          <w:b/>
          <w:bCs/>
          <w:sz w:val="40"/>
          <w:szCs w:val="40"/>
          <w:lang w:val="en-US" w:eastAsia="zh-CN"/>
        </w:rPr>
        <w:t>26</w:t>
      </w:r>
      <w:r>
        <w:rPr>
          <w:rFonts w:hint="eastAsia" w:ascii="宋体" w:hAnsi="宋体" w:eastAsia="宋体" w:cs="宋体"/>
          <w:b/>
          <w:bCs/>
          <w:sz w:val="40"/>
          <w:szCs w:val="40"/>
        </w:rPr>
        <w:t>年消防检测</w:t>
      </w:r>
      <w:bookmarkEnd w:id="0"/>
      <w:bookmarkEnd w:id="1"/>
      <w:r>
        <w:rPr>
          <w:rFonts w:hint="eastAsia" w:ascii="宋体" w:hAnsi="宋体" w:eastAsia="宋体" w:cs="宋体"/>
          <w:b/>
          <w:bCs/>
          <w:sz w:val="40"/>
          <w:szCs w:val="40"/>
          <w:lang w:eastAsia="zh-CN"/>
        </w:rPr>
        <w:t>项目（南宁区域、钦州区域、北海区域、防城港区域、崇左区域、百色区域）</w:t>
      </w:r>
      <w:r>
        <w:rPr>
          <w:rFonts w:hint="eastAsia" w:ascii="宋体" w:hAnsi="宋体" w:eastAsia="宋体" w:cs="宋体"/>
          <w:b/>
          <w:bCs/>
          <w:sz w:val="40"/>
          <w:szCs w:val="40"/>
        </w:rPr>
        <w:t>服务标准及要求</w:t>
      </w:r>
    </w:p>
    <w:p>
      <w:pPr>
        <w:spacing w:line="560" w:lineRule="exact"/>
        <w:ind w:firstLine="562" w:firstLineChars="200"/>
        <w:outlineLvl w:val="0"/>
        <w:rPr>
          <w:b/>
          <w:bCs/>
          <w:sz w:val="28"/>
          <w:szCs w:val="28"/>
        </w:rPr>
      </w:pPr>
      <w:bookmarkStart w:id="2" w:name="_Toc25803"/>
      <w:r>
        <w:rPr>
          <w:rFonts w:hint="eastAsia"/>
          <w:b/>
          <w:bCs/>
          <w:sz w:val="28"/>
          <w:szCs w:val="28"/>
        </w:rPr>
        <w:t>一、项目简介</w:t>
      </w:r>
      <w:bookmarkEnd w:id="2"/>
    </w:p>
    <w:p>
      <w:pPr>
        <w:spacing w:line="560" w:lineRule="exact"/>
        <w:ind w:firstLine="562" w:firstLineChars="200"/>
        <w:outlineLvl w:val="1"/>
        <w:rPr>
          <w:b/>
          <w:bCs/>
          <w:sz w:val="28"/>
          <w:szCs w:val="28"/>
        </w:rPr>
      </w:pPr>
      <w:bookmarkStart w:id="3" w:name="_Toc6904"/>
      <w:r>
        <w:rPr>
          <w:rFonts w:hint="eastAsia"/>
          <w:b/>
          <w:bCs/>
          <w:sz w:val="28"/>
          <w:szCs w:val="28"/>
        </w:rPr>
        <w:t>（一）项目服务内容</w:t>
      </w:r>
      <w:bookmarkEnd w:id="3"/>
    </w:p>
    <w:p>
      <w:pPr>
        <w:spacing w:line="560" w:lineRule="exact"/>
        <w:ind w:firstLine="560" w:firstLineChars="200"/>
        <w:outlineLvl w:val="9"/>
        <w:rPr>
          <w:rFonts w:hint="eastAsia"/>
          <w:sz w:val="28"/>
          <w:szCs w:val="28"/>
          <w:lang w:val="en-US" w:eastAsia="zh-CN"/>
        </w:rPr>
      </w:pPr>
      <w:r>
        <w:rPr>
          <w:rFonts w:hint="eastAsia"/>
          <w:sz w:val="28"/>
          <w:szCs w:val="28"/>
          <w:lang w:val="en-US" w:eastAsia="zh-CN"/>
        </w:rPr>
        <w:t>为进一步提高各单位建筑物、办公、生产场所的消防设施系统和消防安全措施的有效性、可靠性，保持消防系统的稳定性，延缓设备老化，延长设备使用年限，有效预防和消除消防安全隐患，保障人员、设备安全，因此，消防检测对于保障建筑物内人员生命财产安全具有重要的意义。现需招标服务商开展消防设施检测工作。</w:t>
      </w:r>
    </w:p>
    <w:p>
      <w:pPr>
        <w:spacing w:line="560" w:lineRule="exact"/>
        <w:ind w:firstLine="560" w:firstLineChars="200"/>
        <w:outlineLvl w:val="9"/>
        <w:rPr>
          <w:rFonts w:hint="default"/>
          <w:sz w:val="28"/>
          <w:szCs w:val="28"/>
          <w:lang w:val="en-US" w:eastAsia="zh-CN"/>
        </w:rPr>
      </w:pPr>
      <w:r>
        <w:rPr>
          <w:rFonts w:hint="eastAsia"/>
          <w:sz w:val="28"/>
          <w:szCs w:val="28"/>
          <w:lang w:val="en-US" w:eastAsia="zh-CN"/>
        </w:rPr>
        <w:t>检测目的：评估建筑物的消防设施和消防安全措施的合规性和可靠性，确保其能够在火灾发生时及时发现、报警并且采取有效措施进行灭火和疏散人员。</w:t>
      </w:r>
      <w:r>
        <w:rPr>
          <w:rFonts w:hint="eastAsia" w:ascii="宋体" w:hAnsi="宋体" w:eastAsia="宋体" w:cs="宋体"/>
          <w:b w:val="0"/>
          <w:color w:val="000000" w:themeColor="text1"/>
          <w:sz w:val="28"/>
          <w:szCs w:val="28"/>
          <w:highlight w:val="none"/>
          <w:lang w:val="en-US" w:eastAsia="zh-CN"/>
          <w14:textFill>
            <w14:solidFill>
              <w14:schemeClr w14:val="tx1"/>
            </w14:solidFill>
          </w14:textFill>
        </w:rPr>
        <w:t>本项目禁止违规转包分包。</w:t>
      </w:r>
    </w:p>
    <w:p>
      <w:pPr>
        <w:spacing w:line="560" w:lineRule="exact"/>
        <w:ind w:firstLine="562" w:firstLineChars="200"/>
        <w:outlineLvl w:val="1"/>
        <w:rPr>
          <w:b/>
          <w:bCs/>
          <w:sz w:val="28"/>
          <w:szCs w:val="28"/>
        </w:rPr>
      </w:pPr>
      <w:bookmarkStart w:id="4" w:name="_Toc30320"/>
      <w:r>
        <w:rPr>
          <w:rFonts w:hint="eastAsia"/>
          <w:b/>
          <w:bCs/>
          <w:sz w:val="28"/>
          <w:szCs w:val="28"/>
        </w:rPr>
        <w:t>（二）项目服务范围</w:t>
      </w:r>
      <w:bookmarkEnd w:id="4"/>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对此项目各单位所属的消防设施开展检测。</w:t>
      </w:r>
    </w:p>
    <w:p>
      <w:pPr>
        <w:spacing w:line="560" w:lineRule="exact"/>
        <w:jc w:val="center"/>
        <w:outlineLvl w:val="9"/>
        <w:rPr>
          <w:rFonts w:hint="eastAsia"/>
          <w:b/>
          <w:bCs/>
          <w:color w:val="C00000"/>
          <w:sz w:val="28"/>
          <w:szCs w:val="28"/>
        </w:rPr>
      </w:pPr>
      <w:r>
        <w:rPr>
          <w:rFonts w:hint="eastAsia"/>
          <w:b/>
          <w:bCs/>
          <w:sz w:val="28"/>
          <w:szCs w:val="28"/>
        </w:rPr>
        <w:t>表：项目服务范围</w:t>
      </w:r>
    </w:p>
    <w:tbl>
      <w:tblPr>
        <w:tblStyle w:val="10"/>
        <w:tblW w:w="10115" w:type="dxa"/>
        <w:tblInd w:w="-27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60"/>
        <w:gridCol w:w="1060"/>
        <w:gridCol w:w="4080"/>
        <w:gridCol w:w="38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华光书宋_CNKI" w:hAnsi="华光书宋_CNKI" w:eastAsia="华光书宋_CNKI" w:cs="华光书宋_CNKI"/>
                <w:b/>
                <w:bCs/>
                <w:i w:val="0"/>
                <w:iCs w:val="0"/>
                <w:color w:val="000000"/>
                <w:sz w:val="22"/>
                <w:szCs w:val="22"/>
                <w:u w:val="none"/>
              </w:rPr>
            </w:pPr>
            <w:r>
              <w:rPr>
                <w:rFonts w:hint="eastAsia" w:ascii="华光书宋_CNKI" w:hAnsi="华光书宋_CNKI" w:eastAsia="华光书宋_CNKI" w:cs="华光书宋_CNKI"/>
                <w:b/>
                <w:bCs/>
                <w:i w:val="0"/>
                <w:iCs w:val="0"/>
                <w:color w:val="000000"/>
                <w:kern w:val="0"/>
                <w:sz w:val="22"/>
                <w:szCs w:val="22"/>
                <w:u w:val="none"/>
                <w:lang w:val="en-US" w:eastAsia="zh-CN" w:bidi="ar"/>
              </w:rPr>
              <w:t>序号</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b/>
                <w:bCs/>
                <w:i w:val="0"/>
                <w:iCs w:val="0"/>
                <w:color w:val="000000"/>
                <w:sz w:val="22"/>
                <w:szCs w:val="22"/>
                <w:u w:val="none"/>
              </w:rPr>
            </w:pPr>
            <w:r>
              <w:rPr>
                <w:rFonts w:hint="eastAsia" w:ascii="华光书宋_CNKI" w:hAnsi="华光书宋_CNKI" w:eastAsia="华光书宋_CNKI" w:cs="华光书宋_CNKI"/>
                <w:b/>
                <w:bCs/>
                <w:i w:val="0"/>
                <w:iCs w:val="0"/>
                <w:color w:val="000000"/>
                <w:kern w:val="0"/>
                <w:sz w:val="22"/>
                <w:szCs w:val="22"/>
                <w:u w:val="none"/>
                <w:lang w:val="en-US" w:eastAsia="zh-CN" w:bidi="ar"/>
              </w:rPr>
              <w:t>网区</w:t>
            </w: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b/>
                <w:bCs/>
                <w:i w:val="0"/>
                <w:iCs w:val="0"/>
                <w:color w:val="000000"/>
                <w:sz w:val="22"/>
                <w:szCs w:val="22"/>
                <w:u w:val="none"/>
              </w:rPr>
            </w:pPr>
            <w:r>
              <w:rPr>
                <w:rFonts w:hint="eastAsia" w:ascii="华光书宋_CNKI" w:hAnsi="华光书宋_CNKI" w:eastAsia="华光书宋_CNKI" w:cs="华光书宋_CNKI"/>
                <w:b/>
                <w:bCs/>
                <w:i w:val="0"/>
                <w:iCs w:val="0"/>
                <w:color w:val="000000"/>
                <w:kern w:val="0"/>
                <w:sz w:val="22"/>
                <w:szCs w:val="22"/>
                <w:u w:val="none"/>
                <w:lang w:val="en-US" w:eastAsia="zh-CN" w:bidi="ar"/>
              </w:rPr>
              <w:t>单位名称</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b/>
                <w:bCs/>
                <w:i w:val="0"/>
                <w:iCs w:val="0"/>
                <w:color w:val="000000"/>
                <w:sz w:val="22"/>
                <w:szCs w:val="22"/>
                <w:u w:val="none"/>
              </w:rPr>
            </w:pPr>
            <w:r>
              <w:rPr>
                <w:rFonts w:hint="eastAsia" w:ascii="华光书宋_CNKI" w:hAnsi="华光书宋_CNKI" w:eastAsia="华光书宋_CNKI" w:cs="华光书宋_CNKI"/>
                <w:b/>
                <w:bCs/>
                <w:i w:val="0"/>
                <w:iCs w:val="0"/>
                <w:color w:val="000000"/>
                <w:kern w:val="0"/>
                <w:sz w:val="22"/>
                <w:szCs w:val="22"/>
                <w:u w:val="none"/>
                <w:lang w:val="en-US" w:eastAsia="zh-CN" w:bidi="ar"/>
              </w:rPr>
              <w:t>详细地址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3"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1</w:t>
            </w:r>
          </w:p>
        </w:tc>
        <w:tc>
          <w:tcPr>
            <w:tcW w:w="106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广西电网公司本部</w:t>
            </w:r>
          </w:p>
        </w:tc>
        <w:tc>
          <w:tcPr>
            <w:tcW w:w="4080" w:type="dxa"/>
            <w:tcBorders>
              <w:top w:val="single" w:color="000000" w:sz="4" w:space="0"/>
              <w:left w:val="single" w:color="000000" w:sz="4" w:space="0"/>
              <w:bottom w:val="single" w:color="000000" w:sz="4" w:space="0"/>
              <w:right w:val="single" w:color="000000" w:sz="4" w:space="0"/>
            </w:tcBorders>
            <w:shd w:val="clear" w:color="auto" w:fill="FFFF00"/>
            <w:vAlign w:val="center"/>
          </w:tcPr>
          <w:p>
            <w:pPr>
              <w:keepNext w:val="0"/>
              <w:keepLines w:val="0"/>
              <w:widowControl/>
              <w:suppressLineNumbers w:val="0"/>
              <w:jc w:val="center"/>
              <w:textAlignment w:val="center"/>
              <w:rPr>
                <w:rFonts w:hint="eastAsia" w:ascii="华光书宋_CNKI" w:hAnsi="华光书宋_CNKI" w:eastAsia="华光书宋_CNKI" w:cs="华光书宋_CNKI"/>
                <w:b/>
                <w:bCs/>
                <w:i w:val="0"/>
                <w:iCs w:val="0"/>
                <w:color w:val="000000"/>
                <w:sz w:val="20"/>
                <w:szCs w:val="20"/>
                <w:u w:val="none"/>
              </w:rPr>
            </w:pPr>
            <w:r>
              <w:rPr>
                <w:rFonts w:hint="eastAsia" w:ascii="华光书宋_CNKI" w:hAnsi="华光书宋_CNKI" w:eastAsia="华光书宋_CNKI" w:cs="华光书宋_CNKI"/>
                <w:b/>
                <w:bCs/>
                <w:i w:val="0"/>
                <w:iCs w:val="0"/>
                <w:color w:val="000000"/>
                <w:kern w:val="0"/>
                <w:sz w:val="20"/>
                <w:szCs w:val="20"/>
                <w:u w:val="none"/>
                <w:lang w:val="en-US" w:eastAsia="zh-CN" w:bidi="ar"/>
              </w:rPr>
              <w:t>电力大厦ABCDE座及七栋1-3楼、北院立体车库</w:t>
            </w:r>
          </w:p>
        </w:tc>
        <w:tc>
          <w:tcPr>
            <w:tcW w:w="3815" w:type="dxa"/>
            <w:tcBorders>
              <w:top w:val="single" w:color="000000" w:sz="4" w:space="0"/>
              <w:left w:val="single" w:color="000000" w:sz="4" w:space="0"/>
              <w:bottom w:val="single" w:color="000000" w:sz="4" w:space="0"/>
              <w:right w:val="single" w:color="000000" w:sz="4" w:space="0"/>
            </w:tcBorders>
            <w:shd w:val="clear" w:color="auto" w:fill="FFFF00"/>
            <w:vAlign w:val="center"/>
          </w:tcPr>
          <w:p>
            <w:pPr>
              <w:keepNext w:val="0"/>
              <w:keepLines w:val="0"/>
              <w:widowControl/>
              <w:suppressLineNumbers w:val="0"/>
              <w:jc w:val="center"/>
              <w:textAlignment w:val="center"/>
              <w:rPr>
                <w:rFonts w:hint="eastAsia" w:ascii="华光书宋_CNKI" w:hAnsi="华光书宋_CNKI" w:eastAsia="华光书宋_CNKI" w:cs="华光书宋_CNKI"/>
                <w:b/>
                <w:bCs/>
                <w:i w:val="0"/>
                <w:iCs w:val="0"/>
                <w:color w:val="000000"/>
                <w:sz w:val="20"/>
                <w:szCs w:val="20"/>
                <w:u w:val="none"/>
              </w:rPr>
            </w:pPr>
            <w:r>
              <w:rPr>
                <w:rFonts w:hint="eastAsia" w:ascii="华光书宋_CNKI" w:hAnsi="华光书宋_CNKI" w:eastAsia="华光书宋_CNKI" w:cs="华光书宋_CNKI"/>
                <w:b/>
                <w:bCs/>
                <w:i w:val="0"/>
                <w:iCs w:val="0"/>
                <w:color w:val="000000"/>
                <w:kern w:val="0"/>
                <w:sz w:val="20"/>
                <w:szCs w:val="20"/>
                <w:u w:val="none"/>
                <w:lang w:val="en-US" w:eastAsia="zh-CN" w:bidi="ar"/>
              </w:rPr>
              <w:t>民主路6、7号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2</w:t>
            </w:r>
          </w:p>
        </w:tc>
        <w:tc>
          <w:tcPr>
            <w:tcW w:w="106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FFFF00"/>
            <w:vAlign w:val="center"/>
          </w:tcPr>
          <w:p>
            <w:pPr>
              <w:keepNext w:val="0"/>
              <w:keepLines w:val="0"/>
              <w:widowControl/>
              <w:suppressLineNumbers w:val="0"/>
              <w:jc w:val="center"/>
              <w:textAlignment w:val="center"/>
              <w:rPr>
                <w:rFonts w:hint="eastAsia" w:ascii="华光书宋_CNKI" w:hAnsi="华光书宋_CNKI" w:eastAsia="华光书宋_CNKI" w:cs="华光书宋_CNKI"/>
                <w:b/>
                <w:bCs/>
                <w:i w:val="0"/>
                <w:iCs w:val="0"/>
                <w:color w:val="000000"/>
                <w:sz w:val="20"/>
                <w:szCs w:val="20"/>
                <w:u w:val="none"/>
              </w:rPr>
            </w:pPr>
            <w:r>
              <w:rPr>
                <w:rFonts w:hint="eastAsia" w:ascii="华光书宋_CNKI" w:hAnsi="华光书宋_CNKI" w:eastAsia="华光书宋_CNKI" w:cs="华光书宋_CNKI"/>
                <w:b/>
                <w:bCs/>
                <w:i w:val="0"/>
                <w:iCs w:val="0"/>
                <w:color w:val="000000"/>
                <w:kern w:val="0"/>
                <w:sz w:val="20"/>
                <w:szCs w:val="20"/>
                <w:u w:val="none"/>
                <w:lang w:val="en-US" w:eastAsia="zh-CN" w:bidi="ar"/>
              </w:rPr>
              <w:t>长堽客服中心基地</w:t>
            </w:r>
          </w:p>
        </w:tc>
        <w:tc>
          <w:tcPr>
            <w:tcW w:w="3815" w:type="dxa"/>
            <w:tcBorders>
              <w:top w:val="single" w:color="000000" w:sz="4" w:space="0"/>
              <w:left w:val="single" w:color="000000" w:sz="4" w:space="0"/>
              <w:bottom w:val="single" w:color="000000" w:sz="4" w:space="0"/>
              <w:right w:val="single" w:color="000000" w:sz="4" w:space="0"/>
            </w:tcBorders>
            <w:shd w:val="clear" w:color="auto" w:fill="FFFF00"/>
            <w:vAlign w:val="center"/>
          </w:tcPr>
          <w:p>
            <w:pPr>
              <w:keepNext w:val="0"/>
              <w:keepLines w:val="0"/>
              <w:widowControl/>
              <w:suppressLineNumbers w:val="0"/>
              <w:jc w:val="center"/>
              <w:textAlignment w:val="center"/>
              <w:rPr>
                <w:rFonts w:hint="eastAsia" w:ascii="华光书宋_CNKI" w:hAnsi="华光书宋_CNKI" w:eastAsia="华光书宋_CNKI" w:cs="华光书宋_CNKI"/>
                <w:b/>
                <w:bCs/>
                <w:i w:val="0"/>
                <w:iCs w:val="0"/>
                <w:color w:val="000000"/>
                <w:sz w:val="20"/>
                <w:szCs w:val="20"/>
                <w:u w:val="none"/>
              </w:rPr>
            </w:pPr>
            <w:r>
              <w:rPr>
                <w:rFonts w:hint="eastAsia" w:ascii="华光书宋_CNKI" w:hAnsi="华光书宋_CNKI" w:eastAsia="华光书宋_CNKI" w:cs="华光书宋_CNKI"/>
                <w:b/>
                <w:bCs/>
                <w:i w:val="0"/>
                <w:iCs w:val="0"/>
                <w:color w:val="000000"/>
                <w:kern w:val="0"/>
                <w:sz w:val="20"/>
                <w:szCs w:val="20"/>
                <w:u w:val="none"/>
                <w:lang w:val="en-US" w:eastAsia="zh-CN" w:bidi="ar"/>
              </w:rPr>
              <w:t>长堽路184号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3</w:t>
            </w:r>
          </w:p>
        </w:tc>
        <w:tc>
          <w:tcPr>
            <w:tcW w:w="106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FFFF00"/>
            <w:vAlign w:val="center"/>
          </w:tcPr>
          <w:p>
            <w:pPr>
              <w:keepNext w:val="0"/>
              <w:keepLines w:val="0"/>
              <w:widowControl/>
              <w:suppressLineNumbers w:val="0"/>
              <w:jc w:val="center"/>
              <w:textAlignment w:val="center"/>
              <w:rPr>
                <w:rFonts w:hint="eastAsia" w:ascii="华光书宋_CNKI" w:hAnsi="华光书宋_CNKI" w:eastAsia="华光书宋_CNKI" w:cs="华光书宋_CNKI"/>
                <w:b/>
                <w:bCs/>
                <w:i w:val="0"/>
                <w:iCs w:val="0"/>
                <w:color w:val="000000"/>
                <w:sz w:val="20"/>
                <w:szCs w:val="20"/>
                <w:u w:val="none"/>
              </w:rPr>
            </w:pPr>
            <w:r>
              <w:rPr>
                <w:rFonts w:hint="eastAsia" w:ascii="华光书宋_CNKI" w:hAnsi="华光书宋_CNKI" w:eastAsia="华光书宋_CNKI" w:cs="华光书宋_CNKI"/>
                <w:b/>
                <w:bCs/>
                <w:i w:val="0"/>
                <w:iCs w:val="0"/>
                <w:color w:val="000000"/>
                <w:kern w:val="0"/>
                <w:sz w:val="20"/>
                <w:szCs w:val="20"/>
                <w:u w:val="none"/>
                <w:lang w:val="en-US" w:eastAsia="zh-CN" w:bidi="ar"/>
              </w:rPr>
              <w:t>松柏路计量中心</w:t>
            </w:r>
          </w:p>
        </w:tc>
        <w:tc>
          <w:tcPr>
            <w:tcW w:w="3815" w:type="dxa"/>
            <w:tcBorders>
              <w:top w:val="single" w:color="000000" w:sz="4" w:space="0"/>
              <w:left w:val="single" w:color="000000" w:sz="4" w:space="0"/>
              <w:bottom w:val="single" w:color="000000" w:sz="4" w:space="0"/>
              <w:right w:val="single" w:color="000000" w:sz="4" w:space="0"/>
            </w:tcBorders>
            <w:shd w:val="clear" w:color="auto" w:fill="FFFF00"/>
            <w:vAlign w:val="center"/>
          </w:tcPr>
          <w:p>
            <w:pPr>
              <w:keepNext w:val="0"/>
              <w:keepLines w:val="0"/>
              <w:widowControl/>
              <w:suppressLineNumbers w:val="0"/>
              <w:jc w:val="center"/>
              <w:textAlignment w:val="center"/>
              <w:rPr>
                <w:rFonts w:hint="eastAsia" w:ascii="华光书宋_CNKI" w:hAnsi="华光书宋_CNKI" w:eastAsia="华光书宋_CNKI" w:cs="华光书宋_CNKI"/>
                <w:b/>
                <w:bCs/>
                <w:i w:val="0"/>
                <w:iCs w:val="0"/>
                <w:color w:val="000000"/>
                <w:sz w:val="20"/>
                <w:szCs w:val="20"/>
                <w:u w:val="none"/>
              </w:rPr>
            </w:pPr>
            <w:r>
              <w:rPr>
                <w:rFonts w:hint="eastAsia" w:ascii="华光书宋_CNKI" w:hAnsi="华光书宋_CNKI" w:eastAsia="华光书宋_CNKI" w:cs="华光书宋_CNKI"/>
                <w:b/>
                <w:bCs/>
                <w:i w:val="0"/>
                <w:iCs w:val="0"/>
                <w:color w:val="000000"/>
                <w:kern w:val="0"/>
                <w:sz w:val="20"/>
                <w:szCs w:val="20"/>
                <w:u w:val="none"/>
                <w:lang w:val="en-US" w:eastAsia="zh-CN" w:bidi="ar"/>
              </w:rPr>
              <w:t>松柏路27号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4</w:t>
            </w:r>
          </w:p>
        </w:tc>
        <w:tc>
          <w:tcPr>
            <w:tcW w:w="106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FFFF00"/>
            <w:vAlign w:val="center"/>
          </w:tcPr>
          <w:p>
            <w:pPr>
              <w:keepNext w:val="0"/>
              <w:keepLines w:val="0"/>
              <w:widowControl/>
              <w:suppressLineNumbers w:val="0"/>
              <w:jc w:val="center"/>
              <w:textAlignment w:val="center"/>
              <w:rPr>
                <w:rFonts w:hint="eastAsia" w:ascii="华光书宋_CNKI" w:hAnsi="华光书宋_CNKI" w:eastAsia="华光书宋_CNKI" w:cs="华光书宋_CNKI"/>
                <w:b/>
                <w:bCs/>
                <w:i w:val="0"/>
                <w:iCs w:val="0"/>
                <w:color w:val="000000"/>
                <w:sz w:val="20"/>
                <w:szCs w:val="20"/>
                <w:u w:val="none"/>
              </w:rPr>
            </w:pPr>
            <w:r>
              <w:rPr>
                <w:rFonts w:hint="eastAsia" w:ascii="华光书宋_CNKI" w:hAnsi="华光书宋_CNKI" w:eastAsia="华光书宋_CNKI" w:cs="华光书宋_CNKI"/>
                <w:b/>
                <w:bCs/>
                <w:i w:val="0"/>
                <w:iCs w:val="0"/>
                <w:color w:val="000000"/>
                <w:kern w:val="0"/>
                <w:sz w:val="20"/>
                <w:szCs w:val="20"/>
                <w:u w:val="none"/>
                <w:lang w:val="en-US" w:eastAsia="zh-CN" w:bidi="ar"/>
              </w:rPr>
              <w:t>白沙计量中心</w:t>
            </w:r>
          </w:p>
        </w:tc>
        <w:tc>
          <w:tcPr>
            <w:tcW w:w="3815" w:type="dxa"/>
            <w:tcBorders>
              <w:top w:val="single" w:color="000000" w:sz="4" w:space="0"/>
              <w:left w:val="single" w:color="000000" w:sz="4" w:space="0"/>
              <w:bottom w:val="single" w:color="000000" w:sz="4" w:space="0"/>
              <w:right w:val="single" w:color="000000" w:sz="4" w:space="0"/>
            </w:tcBorders>
            <w:shd w:val="clear" w:color="auto" w:fill="FFFF00"/>
            <w:vAlign w:val="center"/>
          </w:tcPr>
          <w:p>
            <w:pPr>
              <w:keepNext w:val="0"/>
              <w:keepLines w:val="0"/>
              <w:widowControl/>
              <w:suppressLineNumbers w:val="0"/>
              <w:jc w:val="center"/>
              <w:textAlignment w:val="center"/>
              <w:rPr>
                <w:rFonts w:hint="eastAsia" w:ascii="华光书宋_CNKI" w:hAnsi="华光书宋_CNKI" w:eastAsia="华光书宋_CNKI" w:cs="华光书宋_CNKI"/>
                <w:b/>
                <w:bCs/>
                <w:i w:val="0"/>
                <w:iCs w:val="0"/>
                <w:color w:val="000000"/>
                <w:sz w:val="20"/>
                <w:szCs w:val="20"/>
                <w:u w:val="none"/>
              </w:rPr>
            </w:pPr>
            <w:r>
              <w:rPr>
                <w:rFonts w:hint="eastAsia" w:ascii="华光书宋_CNKI" w:hAnsi="华光书宋_CNKI" w:eastAsia="华光书宋_CNKI" w:cs="华光书宋_CNKI"/>
                <w:b/>
                <w:bCs/>
                <w:i w:val="0"/>
                <w:iCs w:val="0"/>
                <w:color w:val="000000"/>
                <w:kern w:val="0"/>
                <w:sz w:val="20"/>
                <w:szCs w:val="20"/>
                <w:u w:val="none"/>
                <w:lang w:val="en-US" w:eastAsia="zh-CN" w:bidi="ar"/>
              </w:rPr>
              <w:t>白沙路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5</w:t>
            </w:r>
          </w:p>
        </w:tc>
        <w:tc>
          <w:tcPr>
            <w:tcW w:w="106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FFFF00"/>
            <w:vAlign w:val="center"/>
          </w:tcPr>
          <w:p>
            <w:pPr>
              <w:keepNext w:val="0"/>
              <w:keepLines w:val="0"/>
              <w:widowControl/>
              <w:suppressLineNumbers w:val="0"/>
              <w:jc w:val="center"/>
              <w:textAlignment w:val="center"/>
              <w:rPr>
                <w:rFonts w:hint="eastAsia" w:ascii="华光书宋_CNKI" w:hAnsi="华光书宋_CNKI" w:eastAsia="华光书宋_CNKI" w:cs="华光书宋_CNKI"/>
                <w:b/>
                <w:bCs/>
                <w:i w:val="0"/>
                <w:iCs w:val="0"/>
                <w:color w:val="000000"/>
                <w:sz w:val="20"/>
                <w:szCs w:val="20"/>
                <w:u w:val="none"/>
              </w:rPr>
            </w:pPr>
            <w:r>
              <w:rPr>
                <w:rFonts w:hint="eastAsia" w:ascii="华光书宋_CNKI" w:hAnsi="华光书宋_CNKI" w:eastAsia="华光书宋_CNKI" w:cs="华光书宋_CNKI"/>
                <w:b/>
                <w:bCs/>
                <w:i w:val="0"/>
                <w:iCs w:val="0"/>
                <w:color w:val="000000"/>
                <w:kern w:val="0"/>
                <w:sz w:val="20"/>
                <w:szCs w:val="20"/>
                <w:u w:val="none"/>
                <w:lang w:val="en-US" w:eastAsia="zh-CN" w:bidi="ar"/>
              </w:rPr>
              <w:t>五象调度中心基地</w:t>
            </w:r>
          </w:p>
        </w:tc>
        <w:tc>
          <w:tcPr>
            <w:tcW w:w="3815" w:type="dxa"/>
            <w:tcBorders>
              <w:top w:val="single" w:color="000000" w:sz="4" w:space="0"/>
              <w:left w:val="single" w:color="000000" w:sz="4" w:space="0"/>
              <w:bottom w:val="single" w:color="000000" w:sz="4" w:space="0"/>
              <w:right w:val="single" w:color="000000" w:sz="4" w:space="0"/>
            </w:tcBorders>
            <w:shd w:val="clear" w:color="auto" w:fill="FFFF00"/>
            <w:vAlign w:val="center"/>
          </w:tcPr>
          <w:p>
            <w:pPr>
              <w:keepNext w:val="0"/>
              <w:keepLines w:val="0"/>
              <w:widowControl/>
              <w:suppressLineNumbers w:val="0"/>
              <w:jc w:val="center"/>
              <w:textAlignment w:val="center"/>
              <w:rPr>
                <w:rFonts w:hint="eastAsia" w:ascii="华光书宋_CNKI" w:hAnsi="华光书宋_CNKI" w:eastAsia="华光书宋_CNKI" w:cs="华光书宋_CNKI"/>
                <w:b/>
                <w:bCs/>
                <w:i w:val="0"/>
                <w:iCs w:val="0"/>
                <w:color w:val="000000"/>
                <w:sz w:val="20"/>
                <w:szCs w:val="20"/>
                <w:u w:val="none"/>
              </w:rPr>
            </w:pPr>
            <w:r>
              <w:rPr>
                <w:rFonts w:hint="eastAsia" w:ascii="华光书宋_CNKI" w:hAnsi="华光书宋_CNKI" w:eastAsia="华光书宋_CNKI" w:cs="华光书宋_CNKI"/>
                <w:b/>
                <w:bCs/>
                <w:i w:val="0"/>
                <w:iCs w:val="0"/>
                <w:color w:val="000000"/>
                <w:kern w:val="0"/>
                <w:sz w:val="20"/>
                <w:szCs w:val="20"/>
                <w:u w:val="none"/>
                <w:lang w:val="en-US" w:eastAsia="zh-CN" w:bidi="ar"/>
              </w:rPr>
              <w:t>凯旋路6号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6</w:t>
            </w:r>
          </w:p>
        </w:tc>
        <w:tc>
          <w:tcPr>
            <w:tcW w:w="10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电力科学研究院</w:t>
            </w: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电力科学研究院</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南宁市兴宁区民生街道民主路6-2号号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7</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电力科学研究院仙葫培训基地</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南宁市兴宁区民生街道五岭路2号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8</w:t>
            </w:r>
          </w:p>
        </w:tc>
        <w:tc>
          <w:tcPr>
            <w:tcW w:w="10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南宁网区</w:t>
            </w: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南宁供电局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南宁市中柬路2号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9</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南宁武鸣供电局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南宁市武鸣区永宁路17号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10</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南宁邕宁供电局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南宁市邕宁区彩虹南路2号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11</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南宁宾阳供电局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南宁市宾州镇思远陆259号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12</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南宁横州供电局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横州市茉莉花大道380号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13</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南宁马山供电局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南宁市马山县白山镇金伦大道607号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14</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南宁上林供电局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南宁市上林县大丰镇霞客路83号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15</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南宁隆安供电局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南宁市隆安县城厢白鹤街1号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16</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新电力良庆公司</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南宁市良庆区那马镇南北大道80号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17</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钦州网区钦州供电局</w:t>
            </w: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钦州供电局本部大楼</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钦州市钦北区三沿路1号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18</w:t>
            </w:r>
          </w:p>
        </w:tc>
        <w:tc>
          <w:tcPr>
            <w:tcW w:w="10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钦州网区新区供电局</w:t>
            </w: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钦州新区供电局本部</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钦州市南珠西大街北面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19</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钦州新区供电局大寺供电所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钦州市钦北区区大寺镇218省道东100米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20</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钦州新区供电局小董供电所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钦州市钦州区小董镇镇中对面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21</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钦州新区供电局大垌供电所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钦州市钦北区大垌镇永安路122号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22</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钦州新区供电局平吉供电所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钦州市钦北区平吉镇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23</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钦州新区供电局黄屋屯供电所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钦州市钦南区黄屋屯镇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24</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钦州新区供电局那丽供电所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钦州市钦南区那丽镇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25</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钦州新区供电局犀牛脚供电所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钦州市钦南区犀牛脚镇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26</w:t>
            </w:r>
          </w:p>
        </w:tc>
        <w:tc>
          <w:tcPr>
            <w:tcW w:w="10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钦州网区浦北供电局</w:t>
            </w: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钦州浦北供电局局本部</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钦州市浦北县越新路51号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27</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钦州浦北供电局北通供电所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钦州市浦北县北通镇勒山村委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28</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钦州浦北供电局张黄供电所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钦州市浦北县张黄镇洋水村委（交警中队对面）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29</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钦州浦北供电局泉水供电所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钦州市浦北县泉水镇泉水共青街184号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30</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钦州浦北供电局福旺供电所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钦州市浦北县福旺镇里鲤母塘工业园区内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31</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钦州浦北供电局寨圩供电所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钦州市浦北县寨圩镇高田村寨圩供电所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32</w:t>
            </w:r>
          </w:p>
        </w:tc>
        <w:tc>
          <w:tcPr>
            <w:tcW w:w="10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钦州网区灵山供电局</w:t>
            </w: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钦州灵山供电局灵城供电所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钦州市灵山县灵城街道友谊路131号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33</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钦州灵山供电局陆屋供电所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钦州市灵山县灵山县陆屋镇教育路75号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34</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钦州灵山供电局武利供电所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钦州市灵山县灵山县武利镇金穗路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35</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钦州灵山供电局平山供电所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钦州市灵山县灵山县平山镇人民路14号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36</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钦州灵山供电局烟墩供电所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钦州市灵山县灵山县烟墩镇邕浦公路旁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37</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钦州灵山供电局檀圩供电所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钦州市灵山县灵山县檀圩镇檀圩街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38</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钦州灵山供电局新圩供电所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钦州市灵山县灵山县新圩镇新兴街180号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39</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钦州灵山供电局旧州供电所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钦州市灵山县灵山县旧州镇正街18号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40</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钦州灵山供电局太平供电所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钦州市灵山县灵山县太平镇东南路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41</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钦州灵山供电局伯劳供电所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钦州市灵山县灵山县伯劳镇兴隆街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42</w:t>
            </w:r>
          </w:p>
        </w:tc>
        <w:tc>
          <w:tcPr>
            <w:tcW w:w="10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防城港网区</w:t>
            </w: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防城港供电局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省防城港市港口区金花茶大道60号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43</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防城港防城供电局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防城港市防城区珠河街1号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44</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防城港东兴供电局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防城港市东兴市北仑大道678号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45</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新电力上思供电公司</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防城港市上思县思阳镇团结东路266号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46</w:t>
            </w:r>
          </w:p>
        </w:tc>
        <w:tc>
          <w:tcPr>
            <w:tcW w:w="10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崇左网区</w:t>
            </w: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崇左供电局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崇左市江州区友谊大道中段东侧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47</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崇左扶绥供电局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崇左市扶绥县新宁镇南密路161号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48</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崇左凭祥供电局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凭祥市北大路392号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49</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崇左凭祥供电局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凭祥市夏石镇东新路夏石供电所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50</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新电力集团天等供电局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崇左市天等县天等镇天宝北路111号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51</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新电力集团宁明供电公司</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宁明县城中镇德华街59号综合办公楼D楼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52</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新电力集团龙州供电公司</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崇左市龙州县丽江路20号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53</w:t>
            </w:r>
          </w:p>
        </w:tc>
        <w:tc>
          <w:tcPr>
            <w:tcW w:w="10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百色网区</w:t>
            </w: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百色供电局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百色市右江区龙腾路9号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54</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田阳供电局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百色市田阳区田州镇解放东路119号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55</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平果供电局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百色市平果市兴平路23号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56</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田东供电局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FF0000"/>
                <w:sz w:val="20"/>
                <w:szCs w:val="20"/>
                <w:u w:val="none"/>
              </w:rPr>
            </w:pPr>
            <w:r>
              <w:rPr>
                <w:rFonts w:hint="eastAsia" w:ascii="华光书宋_CNKI" w:hAnsi="华光书宋_CNKI" w:eastAsia="华光书宋_CNKI" w:cs="华光书宋_CNKI"/>
                <w:i w:val="0"/>
                <w:iCs w:val="0"/>
                <w:color w:val="auto"/>
                <w:kern w:val="0"/>
                <w:sz w:val="20"/>
                <w:szCs w:val="20"/>
                <w:u w:val="none"/>
                <w:lang w:val="en-US" w:eastAsia="zh-CN" w:bidi="ar"/>
              </w:rPr>
              <w:t>百色市田东县平马镇庆平路45号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57</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隆林供电局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百色市隆林县新洲镇民生街246号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58</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德保供电公司</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百色市德保县城关镇德盛路198号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59</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靖西供电公司</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百色市靖西市新靖镇凤凰路843号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60</w:t>
            </w: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那坡供电局</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百色市那坡县睦边大道499号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6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61</w:t>
            </w:r>
          </w:p>
        </w:tc>
        <w:tc>
          <w:tcPr>
            <w:tcW w:w="1060"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pPr>
              <w:jc w:val="center"/>
              <w:rPr>
                <w:rFonts w:hint="eastAsia" w:ascii="华光书宋_CNKI" w:hAnsi="华光书宋_CNKI" w:eastAsia="华光书宋_CNKI" w:cs="华光书宋_CNKI"/>
                <w:i w:val="0"/>
                <w:iCs w:val="0"/>
                <w:color w:val="000000"/>
                <w:sz w:val="20"/>
                <w:szCs w:val="20"/>
                <w:u w:val="none"/>
              </w:rPr>
            </w:pPr>
          </w:p>
        </w:tc>
        <w:tc>
          <w:tcPr>
            <w:tcW w:w="408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西林供电公司</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西林县八达镇鲤城路88号西林供电有限公司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1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62</w:t>
            </w:r>
          </w:p>
        </w:tc>
        <w:tc>
          <w:tcPr>
            <w:tcW w:w="106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华光书宋_CNKI" w:hAnsi="华光书宋_CNKI" w:eastAsia="华光书宋_CNKI" w:cs="华光书宋_CNKI"/>
                <w:i w:val="0"/>
                <w:iCs w:val="0"/>
                <w:color w:val="000000"/>
                <w:sz w:val="20"/>
                <w:szCs w:val="20"/>
                <w:u w:val="none"/>
              </w:rPr>
            </w:pPr>
          </w:p>
        </w:tc>
        <w:tc>
          <w:tcPr>
            <w:tcW w:w="40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田林供电公司</w:t>
            </w:r>
          </w:p>
        </w:tc>
        <w:tc>
          <w:tcPr>
            <w:tcW w:w="3815"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百色市田林县乐里镇河滨路9号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1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63</w:t>
            </w:r>
          </w:p>
        </w:tc>
        <w:tc>
          <w:tcPr>
            <w:tcW w:w="106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华光书宋_CNKI" w:hAnsi="华光书宋_CNKI" w:eastAsia="华光书宋_CNKI" w:cs="华光书宋_CNKI"/>
                <w:i w:val="0"/>
                <w:iCs w:val="0"/>
                <w:color w:val="000000"/>
                <w:sz w:val="20"/>
                <w:szCs w:val="20"/>
                <w:u w:val="none"/>
              </w:rPr>
            </w:pPr>
          </w:p>
        </w:tc>
        <w:tc>
          <w:tcPr>
            <w:tcW w:w="40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凌云供电公司</w:t>
            </w:r>
          </w:p>
        </w:tc>
        <w:tc>
          <w:tcPr>
            <w:tcW w:w="3815"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凌云县泗城镇新秀社区盘龙小区6号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1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64</w:t>
            </w:r>
          </w:p>
        </w:tc>
        <w:tc>
          <w:tcPr>
            <w:tcW w:w="106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华光书宋_CNKI" w:hAnsi="华光书宋_CNKI" w:eastAsia="华光书宋_CNKI" w:cs="华光书宋_CNKI"/>
                <w:i w:val="0"/>
                <w:iCs w:val="0"/>
                <w:color w:val="000000"/>
                <w:sz w:val="20"/>
                <w:szCs w:val="20"/>
                <w:u w:val="none"/>
              </w:rPr>
            </w:pPr>
          </w:p>
        </w:tc>
        <w:tc>
          <w:tcPr>
            <w:tcW w:w="40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乐业供电公司</w:t>
            </w:r>
          </w:p>
        </w:tc>
        <w:tc>
          <w:tcPr>
            <w:tcW w:w="3815"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sz w:val="20"/>
                <w:szCs w:val="20"/>
                <w:u w:val="none"/>
              </w:rPr>
            </w:pPr>
            <w:r>
              <w:rPr>
                <w:rFonts w:hint="eastAsia" w:ascii="华光书宋_CNKI" w:hAnsi="华光书宋_CNKI" w:eastAsia="华光书宋_CNKI" w:cs="华光书宋_CNKI"/>
                <w:i w:val="0"/>
                <w:iCs w:val="0"/>
                <w:color w:val="000000"/>
                <w:kern w:val="0"/>
                <w:sz w:val="20"/>
                <w:szCs w:val="20"/>
                <w:u w:val="none"/>
                <w:lang w:val="en-US" w:eastAsia="zh-CN" w:bidi="ar"/>
              </w:rPr>
              <w:t>乐业县同乐镇新兴街166号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1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华光书宋_CNKI" w:hAnsi="华光书宋_CNKI" w:eastAsia="华光书宋_CNKI" w:cs="华光书宋_CNKI"/>
                <w:i w:val="0"/>
                <w:iCs w:val="0"/>
                <w:color w:val="auto"/>
                <w:kern w:val="0"/>
                <w:sz w:val="20"/>
                <w:szCs w:val="20"/>
                <w:highlight w:val="green"/>
                <w:u w:val="none"/>
                <w:lang w:val="en-US" w:eastAsia="zh-CN" w:bidi="ar"/>
              </w:rPr>
            </w:pPr>
            <w:r>
              <w:rPr>
                <w:rFonts w:hint="eastAsia" w:ascii="华光书宋_CNKI" w:hAnsi="华光书宋_CNKI" w:eastAsia="华光书宋_CNKI" w:cs="华光书宋_CNKI"/>
                <w:i w:val="0"/>
                <w:iCs w:val="0"/>
                <w:color w:val="auto"/>
                <w:kern w:val="0"/>
                <w:sz w:val="20"/>
                <w:szCs w:val="20"/>
                <w:highlight w:val="green"/>
                <w:u w:val="none"/>
                <w:lang w:val="en-US" w:eastAsia="zh-CN" w:bidi="ar"/>
              </w:rPr>
              <w:t>65</w:t>
            </w:r>
          </w:p>
        </w:tc>
        <w:tc>
          <w:tcPr>
            <w:tcW w:w="106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华光书宋_CNKI" w:hAnsi="华光书宋_CNKI" w:eastAsia="华光书宋_CNKI" w:cs="华光书宋_CNKI"/>
                <w:i w:val="0"/>
                <w:iCs w:val="0"/>
                <w:color w:val="000000"/>
                <w:sz w:val="20"/>
                <w:szCs w:val="20"/>
                <w:u w:val="none"/>
                <w:lang w:eastAsia="zh-CN"/>
              </w:rPr>
            </w:pPr>
            <w:r>
              <w:rPr>
                <w:rFonts w:hint="eastAsia" w:ascii="华光书宋_CNKI" w:hAnsi="华光书宋_CNKI" w:eastAsia="华光书宋_CNKI" w:cs="华光书宋_CNKI"/>
                <w:i w:val="0"/>
                <w:iCs w:val="0"/>
                <w:color w:val="000000"/>
                <w:sz w:val="20"/>
                <w:szCs w:val="20"/>
                <w:u w:val="none"/>
                <w:lang w:eastAsia="zh-CN"/>
              </w:rPr>
              <w:t>北海网区</w:t>
            </w:r>
          </w:p>
        </w:tc>
        <w:tc>
          <w:tcPr>
            <w:tcW w:w="40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hint="eastAsia" w:ascii="华光书宋_CNKI" w:hAnsi="华光书宋_CNKI" w:eastAsia="华光书宋_CNKI" w:cs="华光书宋_CNKI"/>
                <w:i w:val="0"/>
                <w:iCs w:val="0"/>
                <w:color w:val="000000"/>
                <w:kern w:val="2"/>
                <w:sz w:val="18"/>
                <w:szCs w:val="18"/>
                <w:u w:val="none"/>
                <w:lang w:val="en-US" w:eastAsia="zh-CN" w:bidi="ar-SA"/>
              </w:rPr>
            </w:pPr>
            <w:r>
              <w:rPr>
                <w:rFonts w:hint="eastAsia" w:ascii="华光书宋_CNKI" w:hAnsi="华光书宋_CNKI" w:eastAsia="华光书宋_CNKI" w:cs="华光书宋_CNKI"/>
                <w:i w:val="0"/>
                <w:iCs w:val="0"/>
                <w:color w:val="000000"/>
                <w:kern w:val="0"/>
                <w:sz w:val="18"/>
                <w:szCs w:val="18"/>
                <w:u w:val="none"/>
                <w:lang w:val="en-US" w:eastAsia="zh-CN" w:bidi="ar"/>
              </w:rPr>
              <w:t>北海供电局</w:t>
            </w:r>
          </w:p>
        </w:tc>
        <w:tc>
          <w:tcPr>
            <w:tcW w:w="3815"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kern w:val="0"/>
                <w:sz w:val="20"/>
                <w:szCs w:val="20"/>
                <w:u w:val="none"/>
                <w:lang w:val="en-US" w:eastAsia="zh-CN" w:bidi="ar"/>
              </w:rPr>
            </w:pPr>
            <w:r>
              <w:rPr>
                <w:rFonts w:hint="eastAsia" w:ascii="华光书宋_CNKI" w:hAnsi="华光书宋_CNKI" w:eastAsia="华光书宋_CNKI" w:cs="华光书宋_CNKI"/>
                <w:i w:val="0"/>
                <w:iCs w:val="0"/>
                <w:color w:val="000000"/>
                <w:kern w:val="0"/>
                <w:sz w:val="20"/>
                <w:szCs w:val="20"/>
                <w:u w:val="none"/>
                <w:lang w:val="en-US" w:eastAsia="zh-CN" w:bidi="ar"/>
              </w:rPr>
              <w:t>北海市海城区、银海区、铁山港区、涠洲岛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1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华光书宋_CNKI" w:hAnsi="华光书宋_CNKI" w:eastAsia="华光书宋_CNKI" w:cs="华光书宋_CNKI"/>
                <w:i w:val="0"/>
                <w:iCs w:val="0"/>
                <w:color w:val="auto"/>
                <w:kern w:val="0"/>
                <w:sz w:val="20"/>
                <w:szCs w:val="20"/>
                <w:highlight w:val="green"/>
                <w:u w:val="none"/>
                <w:lang w:val="en-US" w:eastAsia="zh-CN" w:bidi="ar"/>
              </w:rPr>
            </w:pPr>
            <w:r>
              <w:rPr>
                <w:rFonts w:hint="eastAsia" w:ascii="华光书宋_CNKI" w:hAnsi="华光书宋_CNKI" w:eastAsia="华光书宋_CNKI" w:cs="华光书宋_CNKI"/>
                <w:i w:val="0"/>
                <w:iCs w:val="0"/>
                <w:color w:val="auto"/>
                <w:kern w:val="0"/>
                <w:sz w:val="20"/>
                <w:szCs w:val="20"/>
                <w:highlight w:val="green"/>
                <w:u w:val="none"/>
                <w:lang w:val="en-US" w:eastAsia="zh-CN" w:bidi="ar"/>
              </w:rPr>
              <w:t>66</w:t>
            </w:r>
          </w:p>
        </w:tc>
        <w:tc>
          <w:tcPr>
            <w:tcW w:w="106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华光书宋_CNKI" w:hAnsi="华光书宋_CNKI" w:eastAsia="华光书宋_CNKI" w:cs="华光书宋_CNKI"/>
                <w:i w:val="0"/>
                <w:iCs w:val="0"/>
                <w:color w:val="000000"/>
                <w:sz w:val="20"/>
                <w:szCs w:val="20"/>
                <w:u w:val="none"/>
              </w:rPr>
            </w:pPr>
          </w:p>
        </w:tc>
        <w:tc>
          <w:tcPr>
            <w:tcW w:w="40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hint="eastAsia" w:ascii="华光书宋_CNKI" w:hAnsi="华光书宋_CNKI" w:eastAsia="华光书宋_CNKI" w:cs="华光书宋_CNKI"/>
                <w:i w:val="0"/>
                <w:iCs w:val="0"/>
                <w:color w:val="000000"/>
                <w:kern w:val="2"/>
                <w:sz w:val="18"/>
                <w:szCs w:val="18"/>
                <w:u w:val="none"/>
                <w:lang w:val="en-US" w:eastAsia="zh-CN" w:bidi="ar-SA"/>
              </w:rPr>
            </w:pPr>
            <w:r>
              <w:rPr>
                <w:rFonts w:hint="eastAsia" w:ascii="华光书宋_CNKI" w:hAnsi="华光书宋_CNKI" w:eastAsia="华光书宋_CNKI" w:cs="华光书宋_CNKI"/>
                <w:i w:val="0"/>
                <w:iCs w:val="0"/>
                <w:color w:val="000000"/>
                <w:kern w:val="0"/>
                <w:sz w:val="18"/>
                <w:szCs w:val="18"/>
                <w:u w:val="none"/>
                <w:lang w:val="en-US" w:eastAsia="zh-CN" w:bidi="ar"/>
              </w:rPr>
              <w:t>北海合浦供电局</w:t>
            </w:r>
          </w:p>
        </w:tc>
        <w:tc>
          <w:tcPr>
            <w:tcW w:w="3815"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华光书宋_CNKI" w:hAnsi="华光书宋_CNKI" w:eastAsia="华光书宋_CNKI" w:cs="华光书宋_CNKI"/>
                <w:i w:val="0"/>
                <w:iCs w:val="0"/>
                <w:color w:val="000000"/>
                <w:kern w:val="0"/>
                <w:sz w:val="20"/>
                <w:szCs w:val="20"/>
                <w:u w:val="none"/>
                <w:lang w:val="en-US" w:eastAsia="zh-CN" w:bidi="ar"/>
              </w:rPr>
            </w:pPr>
            <w:r>
              <w:rPr>
                <w:rFonts w:hint="eastAsia" w:ascii="华光书宋_CNKI" w:hAnsi="华光书宋_CNKI" w:eastAsia="华光书宋_CNKI" w:cs="华光书宋_CNKI"/>
                <w:i w:val="0"/>
                <w:iCs w:val="0"/>
                <w:color w:val="000000"/>
                <w:kern w:val="0"/>
                <w:sz w:val="20"/>
                <w:szCs w:val="20"/>
                <w:u w:val="none"/>
                <w:lang w:val="en-US" w:eastAsia="zh-CN" w:bidi="ar"/>
              </w:rPr>
              <w:t>合浦县廉州镇定海南路52号及各管辖办公场所</w:t>
            </w:r>
          </w:p>
        </w:tc>
      </w:tr>
    </w:tbl>
    <w:p>
      <w:pPr>
        <w:spacing w:line="560" w:lineRule="exact"/>
        <w:rPr>
          <w:rFonts w:hint="eastAsia"/>
          <w:sz w:val="28"/>
          <w:szCs w:val="28"/>
        </w:rPr>
      </w:pPr>
    </w:p>
    <w:p>
      <w:pPr>
        <w:spacing w:line="560" w:lineRule="exact"/>
        <w:ind w:firstLine="560" w:firstLineChars="200"/>
        <w:rPr>
          <w:rFonts w:hint="eastAsia"/>
          <w:sz w:val="28"/>
          <w:szCs w:val="28"/>
          <w:highlight w:val="yellow"/>
        </w:rPr>
      </w:pPr>
      <w:bookmarkStart w:id="15" w:name="_GoBack"/>
      <w:bookmarkEnd w:id="15"/>
    </w:p>
    <w:p>
      <w:pPr>
        <w:spacing w:line="560" w:lineRule="exact"/>
        <w:outlineLvl w:val="0"/>
        <w:rPr>
          <w:b/>
          <w:bCs/>
          <w:sz w:val="28"/>
          <w:szCs w:val="28"/>
        </w:rPr>
      </w:pPr>
      <w:bookmarkStart w:id="5" w:name="_Toc17084"/>
      <w:r>
        <w:rPr>
          <w:rFonts w:hint="eastAsia"/>
          <w:b/>
          <w:bCs/>
          <w:sz w:val="28"/>
          <w:szCs w:val="28"/>
        </w:rPr>
        <w:t>二、项目服务标准及要求</w:t>
      </w:r>
      <w:bookmarkEnd w:id="5"/>
    </w:p>
    <w:p>
      <w:pPr>
        <w:spacing w:line="560" w:lineRule="exact"/>
        <w:ind w:firstLine="562" w:firstLineChars="200"/>
        <w:outlineLvl w:val="1"/>
        <w:rPr>
          <w:b/>
          <w:bCs/>
          <w:sz w:val="28"/>
          <w:szCs w:val="28"/>
        </w:rPr>
      </w:pPr>
      <w:bookmarkStart w:id="6" w:name="_Toc30635"/>
      <w:r>
        <w:rPr>
          <w:rFonts w:hint="eastAsia"/>
          <w:b/>
          <w:bCs/>
          <w:sz w:val="28"/>
          <w:szCs w:val="28"/>
        </w:rPr>
        <w:t>（一）项目服务标准</w:t>
      </w:r>
      <w:bookmarkEnd w:id="6"/>
    </w:p>
    <w:p>
      <w:pPr>
        <w:spacing w:line="560" w:lineRule="exact"/>
        <w:ind w:firstLine="560" w:firstLineChars="200"/>
        <w:rPr>
          <w:rFonts w:hint="eastAsia"/>
          <w:sz w:val="28"/>
          <w:szCs w:val="28"/>
        </w:rPr>
      </w:pPr>
      <w:r>
        <w:rPr>
          <w:rFonts w:hint="eastAsia"/>
          <w:sz w:val="28"/>
          <w:szCs w:val="28"/>
        </w:rPr>
        <w:t>服务商在提供消防检测服务时，需按照如下标准执行，要求所用标准必须为最新版本，如果这些标准有矛盾时，应按最高标准的条款执行或按双方商定的标准执行。此外，如果在合同执行期间国家颁布新的标准时，应按最新的条款执行。</w:t>
      </w:r>
    </w:p>
    <w:p>
      <w:pPr>
        <w:spacing w:line="560" w:lineRule="exact"/>
        <w:jc w:val="center"/>
        <w:rPr>
          <w:b/>
          <w:bCs/>
          <w:sz w:val="28"/>
          <w:szCs w:val="28"/>
        </w:rPr>
      </w:pPr>
      <w:r>
        <w:rPr>
          <w:rFonts w:hint="eastAsia"/>
          <w:b/>
          <w:bCs/>
          <w:sz w:val="28"/>
          <w:szCs w:val="28"/>
        </w:rPr>
        <w:t>表：项目服务标准</w:t>
      </w:r>
    </w:p>
    <w:tbl>
      <w:tblPr>
        <w:tblStyle w:val="10"/>
        <w:tblW w:w="4825" w:type="pct"/>
        <w:tblInd w:w="1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75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blHeader/>
        </w:trPr>
        <w:tc>
          <w:tcPr>
            <w:tcW w:w="437" w:type="pct"/>
            <w:shd w:val="clear" w:color="auto" w:fill="auto"/>
            <w:noWrap/>
            <w:vAlign w:val="center"/>
          </w:tcPr>
          <w:p>
            <w:pPr>
              <w:widowControl/>
              <w:jc w:val="center"/>
              <w:textAlignment w:val="center"/>
              <w:rPr>
                <w:rFonts w:ascii="宋体" w:hAnsi="宋体" w:eastAsia="宋体" w:cs="宋体"/>
                <w:b/>
                <w:bCs/>
                <w:color w:val="000000"/>
                <w:sz w:val="24"/>
              </w:rPr>
            </w:pPr>
            <w:r>
              <w:rPr>
                <w:rFonts w:hint="eastAsia" w:ascii="宋体" w:hAnsi="宋体" w:eastAsia="宋体" w:cs="宋体"/>
                <w:b/>
                <w:bCs/>
                <w:color w:val="000000"/>
                <w:kern w:val="0"/>
                <w:sz w:val="24"/>
                <w:lang w:bidi="ar"/>
              </w:rPr>
              <w:t>序号</w:t>
            </w:r>
          </w:p>
        </w:tc>
        <w:tc>
          <w:tcPr>
            <w:tcW w:w="4562" w:type="pct"/>
            <w:shd w:val="clear" w:color="auto" w:fill="auto"/>
            <w:noWrap/>
            <w:vAlign w:val="center"/>
          </w:tcPr>
          <w:p>
            <w:pPr>
              <w:widowControl/>
              <w:jc w:val="center"/>
              <w:textAlignment w:val="center"/>
              <w:rPr>
                <w:rFonts w:ascii="宋体" w:hAnsi="宋体" w:eastAsia="宋体" w:cs="宋体"/>
                <w:b/>
                <w:bCs/>
                <w:color w:val="000000"/>
                <w:sz w:val="24"/>
              </w:rPr>
            </w:pPr>
            <w:r>
              <w:rPr>
                <w:rFonts w:hint="eastAsia" w:ascii="宋体" w:hAnsi="宋体" w:eastAsia="宋体" w:cs="宋体"/>
                <w:b/>
                <w:bCs/>
                <w:color w:val="000000"/>
                <w:kern w:val="0"/>
                <w:sz w:val="24"/>
                <w:lang w:bidi="ar"/>
              </w:rPr>
              <w:t>相关标准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1</w:t>
            </w:r>
          </w:p>
        </w:tc>
        <w:tc>
          <w:tcPr>
            <w:tcW w:w="4562" w:type="pct"/>
            <w:shd w:val="clear" w:color="auto" w:fill="auto"/>
            <w:noWrap/>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t>中华人民共和国消防法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2</w:t>
            </w:r>
          </w:p>
        </w:tc>
        <w:tc>
          <w:tcPr>
            <w:tcW w:w="4562" w:type="pct"/>
            <w:shd w:val="clear" w:color="auto" w:fill="auto"/>
            <w:noWrap/>
            <w:vAlign w:val="center"/>
          </w:tcPr>
          <w:p>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《建设工程消防监督管理规定》（公安部令 106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3</w:t>
            </w:r>
          </w:p>
        </w:tc>
        <w:tc>
          <w:tcPr>
            <w:tcW w:w="4562" w:type="pct"/>
            <w:shd w:val="clear" w:color="auto" w:fill="auto"/>
            <w:noWrap/>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eastAsia="宋体" w:cs="宋体"/>
                <w:color w:val="000000"/>
                <w:sz w:val="24"/>
              </w:rPr>
              <w:t>《建筑消防设施的维护管理》</w:t>
            </w:r>
            <w:r>
              <w:rPr>
                <w:rFonts w:hint="eastAsia" w:ascii="宋体" w:hAnsi="宋体" w:eastAsia="宋体" w:cs="宋体"/>
                <w:color w:val="000000"/>
                <w:sz w:val="24"/>
                <w:lang w:eastAsia="zh-CN"/>
              </w:rPr>
              <w:t>（</w:t>
            </w:r>
            <w:r>
              <w:rPr>
                <w:rFonts w:hint="eastAsia" w:ascii="宋体" w:hAnsi="宋体" w:eastAsia="宋体" w:cs="宋体"/>
                <w:color w:val="000000"/>
                <w:sz w:val="24"/>
              </w:rPr>
              <w:t>GB25201-2010</w:t>
            </w:r>
            <w:r>
              <w:rPr>
                <w:rFonts w:hint="eastAsia" w:ascii="宋体" w:hAnsi="宋体" w:eastAsia="宋体" w:cs="宋体"/>
                <w:color w:val="000000"/>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4</w:t>
            </w:r>
          </w:p>
        </w:tc>
        <w:tc>
          <w:tcPr>
            <w:tcW w:w="4562" w:type="pct"/>
            <w:shd w:val="clear" w:color="auto" w:fill="auto"/>
            <w:noWrap/>
            <w:vAlign w:val="center"/>
          </w:tcPr>
          <w:p>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《建筑灭火器配置验收及检查规范》</w:t>
            </w:r>
            <w:r>
              <w:rPr>
                <w:rFonts w:hint="eastAsia" w:ascii="宋体" w:hAnsi="宋体" w:eastAsia="宋体" w:cs="宋体"/>
                <w:color w:val="000000"/>
                <w:sz w:val="24"/>
                <w:lang w:eastAsia="zh-CN"/>
              </w:rPr>
              <w:t>（</w:t>
            </w:r>
            <w:r>
              <w:rPr>
                <w:rFonts w:hint="eastAsia" w:ascii="宋体" w:hAnsi="宋体" w:eastAsia="宋体" w:cs="宋体"/>
                <w:color w:val="000000"/>
                <w:sz w:val="24"/>
              </w:rPr>
              <w:t>GB50444-2008</w:t>
            </w:r>
            <w:r>
              <w:rPr>
                <w:rFonts w:hint="eastAsia" w:ascii="宋体" w:hAnsi="宋体" w:eastAsia="宋体" w:cs="宋体"/>
                <w:color w:val="000000"/>
                <w:sz w:val="24"/>
                <w:lang w:eastAsia="zh-CN"/>
              </w:rPr>
              <w:t>）</w:t>
            </w:r>
            <w:r>
              <w:rPr>
                <w:rFonts w:hint="eastAsia" w:ascii="宋体" w:hAnsi="宋体" w:eastAsia="宋体" w:cs="宋体"/>
                <w:color w:val="000000"/>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5</w:t>
            </w:r>
          </w:p>
        </w:tc>
        <w:tc>
          <w:tcPr>
            <w:tcW w:w="4562" w:type="pct"/>
            <w:shd w:val="clear" w:color="auto" w:fill="auto"/>
            <w:noWrap/>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eastAsia="宋体" w:cs="宋体"/>
                <w:color w:val="000000"/>
                <w:sz w:val="24"/>
              </w:rPr>
              <w:t>《消防给水及消火栓系统技术规范》</w:t>
            </w:r>
            <w:r>
              <w:rPr>
                <w:rFonts w:hint="eastAsia" w:ascii="宋体" w:hAnsi="宋体" w:eastAsia="宋体" w:cs="宋体"/>
                <w:color w:val="000000"/>
                <w:sz w:val="24"/>
                <w:lang w:eastAsia="zh-CN"/>
              </w:rPr>
              <w:t>（GB50974-2014）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6</w:t>
            </w:r>
          </w:p>
        </w:tc>
        <w:tc>
          <w:tcPr>
            <w:tcW w:w="4562" w:type="pct"/>
            <w:shd w:val="clear" w:color="auto" w:fill="auto"/>
            <w:noWrap/>
            <w:vAlign w:val="center"/>
          </w:tcPr>
          <w:p>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《火灾自动报警系统施工及验收规范》（GB50166-2007）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437"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7</w:t>
            </w:r>
          </w:p>
        </w:tc>
        <w:tc>
          <w:tcPr>
            <w:tcW w:w="4562" w:type="pct"/>
            <w:shd w:val="clear" w:color="auto" w:fill="auto"/>
            <w:noWrap/>
            <w:vAlign w:val="center"/>
          </w:tcPr>
          <w:p>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《建筑设计防火规范》（GB50016-2014）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8</w:t>
            </w:r>
          </w:p>
        </w:tc>
        <w:tc>
          <w:tcPr>
            <w:tcW w:w="4562"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《火灾自动报警系统设计规范》（GB50116-2013）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9</w:t>
            </w:r>
          </w:p>
        </w:tc>
        <w:tc>
          <w:tcPr>
            <w:tcW w:w="4562"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《自动喷水灭火系统设计规范》（GB50084-2001）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10</w:t>
            </w:r>
          </w:p>
        </w:tc>
        <w:tc>
          <w:tcPr>
            <w:tcW w:w="4562"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《自动喷水灭火系统施工及验收规范》（GB50261-2005）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11</w:t>
            </w:r>
          </w:p>
        </w:tc>
        <w:tc>
          <w:tcPr>
            <w:tcW w:w="4562"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《气体灭火系统设计规范》（GB50370-2006）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12</w:t>
            </w:r>
          </w:p>
        </w:tc>
        <w:tc>
          <w:tcPr>
            <w:tcW w:w="4562"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《气体灭火系统施工及验收规范》（GB50263-2007）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13</w:t>
            </w:r>
          </w:p>
        </w:tc>
        <w:tc>
          <w:tcPr>
            <w:tcW w:w="4562"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《建筑灭火器配置验收及检查规范》（GB50444-2008）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14</w:t>
            </w:r>
          </w:p>
        </w:tc>
        <w:tc>
          <w:tcPr>
            <w:tcW w:w="4562"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《消防安全标志设置要求》（GB15630-2015）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15</w:t>
            </w:r>
          </w:p>
        </w:tc>
        <w:tc>
          <w:tcPr>
            <w:tcW w:w="4562"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《建筑消防设施检测技术规范》（GB503-2004）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16</w:t>
            </w:r>
          </w:p>
        </w:tc>
        <w:tc>
          <w:tcPr>
            <w:tcW w:w="4562"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《火灾报警控制器》(GB4717-2005)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17</w:t>
            </w:r>
          </w:p>
        </w:tc>
        <w:tc>
          <w:tcPr>
            <w:tcW w:w="4562"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《消防联动控制系统》(GB16806-2006)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18</w:t>
            </w:r>
          </w:p>
        </w:tc>
        <w:tc>
          <w:tcPr>
            <w:tcW w:w="4562"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《消防应急照明和疏散指示系统》(GB17945-2010)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19</w:t>
            </w:r>
          </w:p>
        </w:tc>
        <w:tc>
          <w:tcPr>
            <w:tcW w:w="4562"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《防火卷帘》(GB14102-2005)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20</w:t>
            </w:r>
          </w:p>
        </w:tc>
        <w:tc>
          <w:tcPr>
            <w:tcW w:w="4562"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《火灾自动报警系统设计规范》(GB50116-98)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21</w:t>
            </w:r>
          </w:p>
        </w:tc>
        <w:tc>
          <w:tcPr>
            <w:tcW w:w="4562"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《建筑给水排水设计规范》(GB50015-2003)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22</w:t>
            </w:r>
          </w:p>
        </w:tc>
        <w:tc>
          <w:tcPr>
            <w:tcW w:w="4562"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《风机压缩机泵安装工程施工及验收规范》(GB50275-2010 )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23</w:t>
            </w:r>
          </w:p>
        </w:tc>
        <w:tc>
          <w:tcPr>
            <w:tcW w:w="4562"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《电气装置安装工程盘柜及二次回路结线施工及验收规范》(GB50171-92)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24</w:t>
            </w:r>
          </w:p>
        </w:tc>
        <w:tc>
          <w:tcPr>
            <w:tcW w:w="4562"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《建筑给排水及采暖工程施工及验收规范》(GB50242-2002)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25</w:t>
            </w:r>
          </w:p>
        </w:tc>
        <w:tc>
          <w:tcPr>
            <w:tcW w:w="4562"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《水喷雾灭火系统设计规范》(GB50219-95)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26</w:t>
            </w:r>
          </w:p>
        </w:tc>
        <w:tc>
          <w:tcPr>
            <w:tcW w:w="4562"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《火力发电厂与变电站设计防火规范》(GB50229-2006)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437"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27</w:t>
            </w:r>
          </w:p>
        </w:tc>
        <w:tc>
          <w:tcPr>
            <w:tcW w:w="4562"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《气体灭火系统设计规范》(GB50370-2005)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28</w:t>
            </w:r>
          </w:p>
        </w:tc>
        <w:tc>
          <w:tcPr>
            <w:tcW w:w="4562"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《火灾显示盘》（GB17429-2011）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29</w:t>
            </w:r>
          </w:p>
        </w:tc>
        <w:tc>
          <w:tcPr>
            <w:tcW w:w="4562"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《泡沫灭火系统施工及验收规范》(GB50281-2006)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30</w:t>
            </w:r>
          </w:p>
        </w:tc>
        <w:tc>
          <w:tcPr>
            <w:tcW w:w="4562" w:type="pct"/>
            <w:shd w:val="clear" w:color="auto" w:fill="auto"/>
            <w:noWrap/>
            <w:vAlign w:val="center"/>
          </w:tcPr>
          <w:p>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《油浸变压器排油注氮灭火装置》(GA835-2009)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31</w:t>
            </w:r>
          </w:p>
        </w:tc>
        <w:tc>
          <w:tcPr>
            <w:tcW w:w="4562" w:type="pct"/>
            <w:shd w:val="clear" w:color="auto" w:fill="auto"/>
            <w:noWrap/>
            <w:vAlign w:val="center"/>
          </w:tcPr>
          <w:p>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《油浸变压器排油注氮灭火装置技术规程》(CECS187:2005)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32</w:t>
            </w:r>
          </w:p>
        </w:tc>
        <w:tc>
          <w:tcPr>
            <w:tcW w:w="4562" w:type="pct"/>
            <w:shd w:val="clear" w:color="auto" w:fill="auto"/>
            <w:noWrap/>
            <w:vAlign w:val="center"/>
          </w:tcPr>
          <w:p>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《建筑消防设施检测技术规程》</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bidi="ar"/>
              </w:rPr>
              <w:t>DB37/T 242—2021</w:t>
            </w:r>
            <w:r>
              <w:rPr>
                <w:rFonts w:hint="eastAsia" w:ascii="宋体" w:hAnsi="宋体" w:eastAsia="宋体" w:cs="宋体"/>
                <w:color w:val="000000"/>
                <w:kern w:val="0"/>
                <w:sz w:val="24"/>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33</w:t>
            </w:r>
          </w:p>
        </w:tc>
        <w:tc>
          <w:tcPr>
            <w:tcW w:w="4562"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《电力设备典型消防规程》(DL5027-1993）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34</w:t>
            </w:r>
          </w:p>
        </w:tc>
        <w:tc>
          <w:tcPr>
            <w:tcW w:w="4562" w:type="pct"/>
            <w:shd w:val="clear" w:color="auto" w:fill="auto"/>
            <w:noWrap/>
            <w:vAlign w:val="center"/>
          </w:tcPr>
          <w:p>
            <w:pPr>
              <w:widowControl/>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lang w:bidi="ar"/>
              </w:rPr>
              <w:t>《建筑消防设施安装质量检验评定规程》</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bidi="ar"/>
              </w:rPr>
              <w:t>DB37-242-2021</w:t>
            </w:r>
            <w:r>
              <w:rPr>
                <w:rFonts w:hint="eastAsia" w:ascii="宋体" w:hAnsi="宋体" w:eastAsia="宋体" w:cs="宋体"/>
                <w:color w:val="000000"/>
                <w:kern w:val="0"/>
                <w:sz w:val="24"/>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lang w:val="en-US" w:eastAsia="zh-CN"/>
              </w:rPr>
              <w:t>35</w:t>
            </w:r>
          </w:p>
        </w:tc>
        <w:tc>
          <w:tcPr>
            <w:tcW w:w="4562" w:type="pct"/>
            <w:shd w:val="clear" w:color="auto" w:fill="auto"/>
            <w:noWrap/>
            <w:vAlign w:val="center"/>
          </w:tcPr>
          <w:p>
            <w:pPr>
              <w:widowControl/>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lang w:bidi="ar"/>
              </w:rPr>
              <w:t>《建筑电气防火技术检测评定规程》</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bidi="ar"/>
              </w:rPr>
              <w:t>DB37-655-2016</w:t>
            </w:r>
            <w:r>
              <w:rPr>
                <w:rFonts w:hint="eastAsia" w:ascii="宋体" w:hAnsi="宋体" w:eastAsia="宋体" w:cs="宋体"/>
                <w:color w:val="000000"/>
                <w:kern w:val="0"/>
                <w:sz w:val="24"/>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lang w:val="en-US" w:eastAsia="zh-CN"/>
              </w:rPr>
              <w:t>36</w:t>
            </w:r>
          </w:p>
        </w:tc>
        <w:tc>
          <w:tcPr>
            <w:tcW w:w="4562" w:type="pct"/>
            <w:shd w:val="clear" w:color="auto" w:fill="auto"/>
            <w:noWrap/>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《建筑消防设施检测技术规程》（GA503-2004）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lang w:val="en-US" w:eastAsia="zh-CN"/>
              </w:rPr>
              <w:t>37</w:t>
            </w:r>
          </w:p>
        </w:tc>
        <w:tc>
          <w:tcPr>
            <w:tcW w:w="4562" w:type="pct"/>
            <w:shd w:val="clear" w:color="auto" w:fill="auto"/>
            <w:noWrap/>
            <w:vAlign w:val="center"/>
          </w:tcPr>
          <w:p>
            <w:pPr>
              <w:widowControl/>
              <w:jc w:val="center"/>
              <w:textAlignment w:val="center"/>
              <w:rPr>
                <w:rFonts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lang w:bidi="ar"/>
              </w:rPr>
              <w:t>《合成型泡沫喷雾灭火系统应用技术规程》(CECE156：2004)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hint="default" w:ascii="宋体" w:hAnsi="宋体" w:eastAsia="宋体" w:cs="宋体"/>
                <w:color w:val="000000"/>
                <w:kern w:val="0"/>
                <w:sz w:val="24"/>
                <w:lang w:val="en-US" w:eastAsia="zh-CN" w:bidi="ar"/>
              </w:rPr>
            </w:pPr>
            <w:r>
              <w:rPr>
                <w:rFonts w:hint="eastAsia" w:ascii="宋体" w:hAnsi="宋体" w:eastAsia="宋体" w:cs="宋体"/>
                <w:color w:val="000000"/>
                <w:kern w:val="0"/>
                <w:sz w:val="24"/>
                <w:lang w:val="en-US" w:eastAsia="zh-CN" w:bidi="ar"/>
              </w:rPr>
              <w:t>38</w:t>
            </w:r>
          </w:p>
        </w:tc>
        <w:tc>
          <w:tcPr>
            <w:tcW w:w="4562" w:type="pct"/>
            <w:shd w:val="clear" w:color="auto" w:fill="auto"/>
            <w:noWrap/>
            <w:vAlign w:val="center"/>
          </w:tcPr>
          <w:p>
            <w:pPr>
              <w:widowControl/>
              <w:jc w:val="center"/>
              <w:textAlignment w:val="center"/>
              <w:rPr>
                <w:rFonts w:hint="eastAsia" w:ascii="宋体" w:hAnsi="宋体" w:eastAsia="宋体" w:cs="宋体"/>
                <w:color w:val="000000"/>
                <w:kern w:val="0"/>
                <w:sz w:val="24"/>
                <w:lang w:eastAsia="zh-CN" w:bidi="ar"/>
              </w:rPr>
            </w:pPr>
            <w:r>
              <w:rPr>
                <w:rFonts w:hint="eastAsia" w:ascii="宋体" w:hAnsi="宋体" w:eastAsia="宋体" w:cs="宋体"/>
                <w:color w:val="000000"/>
                <w:kern w:val="0"/>
                <w:sz w:val="24"/>
                <w:lang w:eastAsia="zh-CN" w:bidi="ar"/>
              </w:rPr>
              <w:t>建筑消防设施检测技术规范《</w:t>
            </w:r>
            <w:r>
              <w:rPr>
                <w:rFonts w:hint="eastAsia" w:ascii="宋体" w:hAnsi="宋体" w:eastAsia="宋体" w:cs="宋体"/>
                <w:color w:val="000000"/>
                <w:kern w:val="0"/>
                <w:sz w:val="24"/>
                <w:lang w:val="en-US" w:eastAsia="zh-CN" w:bidi="ar"/>
              </w:rPr>
              <w:t>GB/T44481-2024</w:t>
            </w:r>
            <w:r>
              <w:rPr>
                <w:rFonts w:hint="eastAsia" w:ascii="宋体" w:hAnsi="宋体" w:eastAsia="宋体" w:cs="宋体"/>
                <w:color w:val="000000"/>
                <w:kern w:val="0"/>
                <w:sz w:val="24"/>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lang w:val="en-US" w:eastAsia="zh-CN" w:bidi="ar"/>
              </w:rPr>
              <w:t>39</w:t>
            </w:r>
          </w:p>
        </w:tc>
        <w:tc>
          <w:tcPr>
            <w:tcW w:w="4562" w:type="pct"/>
            <w:shd w:val="clear" w:color="auto" w:fill="auto"/>
            <w:noWrap/>
            <w:vAlign w:val="center"/>
          </w:tcPr>
          <w:p>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《广西贯彻〈社会消防技术服务管理规定〉临时资质管理暂行办法》（桂公消〔2014〕28号的有关规定）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hint="default" w:ascii="宋体" w:hAnsi="宋体" w:eastAsia="宋体" w:cs="宋体"/>
                <w:color w:val="000000"/>
                <w:kern w:val="0"/>
                <w:sz w:val="24"/>
                <w:lang w:val="en-US" w:eastAsia="zh-CN" w:bidi="ar"/>
              </w:rPr>
            </w:pPr>
            <w:bookmarkStart w:id="7" w:name="_Toc10650"/>
            <w:r>
              <w:rPr>
                <w:rFonts w:hint="eastAsia" w:ascii="宋体" w:hAnsi="宋体" w:eastAsia="宋体" w:cs="宋体"/>
                <w:color w:val="000000"/>
                <w:kern w:val="0"/>
                <w:sz w:val="24"/>
                <w:lang w:val="en-US" w:eastAsia="zh-CN" w:bidi="ar"/>
              </w:rPr>
              <w:t>40</w:t>
            </w:r>
          </w:p>
        </w:tc>
        <w:tc>
          <w:tcPr>
            <w:tcW w:w="4562" w:type="pct"/>
            <w:shd w:val="clear" w:color="auto" w:fill="auto"/>
            <w:noWrap/>
            <w:vAlign w:val="center"/>
          </w:tcPr>
          <w:p>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《社会消防技术服务管理规定》（公安部令第129号）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hint="default" w:ascii="宋体" w:hAnsi="宋体" w:eastAsia="宋体" w:cs="宋体"/>
                <w:color w:val="000000"/>
                <w:kern w:val="0"/>
                <w:sz w:val="24"/>
                <w:lang w:val="en-US" w:eastAsia="zh-CN" w:bidi="ar"/>
              </w:rPr>
            </w:pPr>
            <w:r>
              <w:rPr>
                <w:rFonts w:hint="eastAsia" w:ascii="宋体" w:hAnsi="宋体" w:eastAsia="宋体" w:cs="宋体"/>
                <w:color w:val="000000"/>
                <w:kern w:val="0"/>
                <w:sz w:val="24"/>
                <w:lang w:val="en-US" w:eastAsia="zh-CN" w:bidi="ar"/>
              </w:rPr>
              <w:t>41</w:t>
            </w:r>
          </w:p>
        </w:tc>
        <w:tc>
          <w:tcPr>
            <w:tcW w:w="4562" w:type="pct"/>
            <w:shd w:val="clear" w:color="auto" w:fill="auto"/>
            <w:noWrap/>
            <w:vAlign w:val="center"/>
          </w:tcPr>
          <w:p>
            <w:pPr>
              <w:widowControl/>
              <w:jc w:val="center"/>
              <w:textAlignment w:val="center"/>
              <w:rPr>
                <w:rFonts w:hint="default" w:ascii="宋体" w:hAnsi="宋体" w:eastAsia="宋体" w:cs="宋体"/>
                <w:color w:val="000000"/>
                <w:kern w:val="0"/>
                <w:sz w:val="24"/>
                <w:lang w:val="en-US" w:eastAsia="zh-CN" w:bidi="ar"/>
              </w:rPr>
            </w:pPr>
            <w:r>
              <w:rPr>
                <w:rFonts w:hint="eastAsia" w:ascii="宋体" w:hAnsi="宋体" w:eastAsia="宋体" w:cs="宋体"/>
                <w:color w:val="000000"/>
                <w:kern w:val="0"/>
                <w:sz w:val="24"/>
                <w:lang w:eastAsia="zh-CN" w:bidi="ar"/>
              </w:rPr>
              <w:t>《灭火器配置规范》</w:t>
            </w:r>
            <w:r>
              <w:rPr>
                <w:rFonts w:hint="eastAsia" w:ascii="宋体" w:hAnsi="宋体" w:eastAsia="宋体" w:cs="宋体"/>
                <w:color w:val="000000"/>
                <w:kern w:val="0"/>
                <w:sz w:val="24"/>
                <w:lang w:val="en-US" w:eastAsia="zh-CN" w:bidi="ar"/>
              </w:rPr>
              <w:t>GB50140-2005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hint="default" w:ascii="宋体" w:hAnsi="宋体" w:eastAsia="宋体" w:cs="宋体"/>
                <w:color w:val="000000"/>
                <w:kern w:val="0"/>
                <w:sz w:val="24"/>
                <w:lang w:val="en-US" w:eastAsia="zh-CN" w:bidi="ar"/>
              </w:rPr>
            </w:pPr>
            <w:r>
              <w:rPr>
                <w:rFonts w:hint="eastAsia" w:ascii="宋体" w:hAnsi="宋体" w:eastAsia="宋体" w:cs="宋体"/>
                <w:color w:val="000000"/>
                <w:kern w:val="0"/>
                <w:sz w:val="24"/>
                <w:lang w:val="en-US" w:eastAsia="zh-CN" w:bidi="ar"/>
              </w:rPr>
              <w:t>42</w:t>
            </w:r>
          </w:p>
        </w:tc>
        <w:tc>
          <w:tcPr>
            <w:tcW w:w="4562" w:type="pct"/>
            <w:shd w:val="clear" w:color="auto" w:fill="auto"/>
            <w:noWrap/>
            <w:vAlign w:val="center"/>
          </w:tcPr>
          <w:p>
            <w:pPr>
              <w:widowControl/>
              <w:jc w:val="both"/>
              <w:textAlignment w:val="center"/>
              <w:rPr>
                <w:rFonts w:hint="default" w:ascii="宋体" w:hAnsi="宋体" w:eastAsia="宋体" w:cs="宋体"/>
                <w:color w:val="000000"/>
                <w:kern w:val="0"/>
                <w:sz w:val="24"/>
                <w:lang w:val="en-US" w:eastAsia="zh-CN" w:bidi="ar"/>
              </w:rPr>
            </w:pPr>
            <w:r>
              <w:rPr>
                <w:rFonts w:hint="eastAsia" w:ascii="宋体" w:hAnsi="宋体" w:eastAsia="宋体" w:cs="宋体"/>
                <w:color w:val="000000"/>
                <w:kern w:val="0"/>
                <w:sz w:val="24"/>
                <w:lang w:val="en-US" w:eastAsia="zh-CN" w:bidi="ar"/>
              </w:rPr>
              <w:t>国家工程建筑消防技术规范  GB50222-2017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37" w:type="pct"/>
            <w:shd w:val="clear" w:color="auto" w:fill="auto"/>
            <w:noWrap/>
            <w:vAlign w:val="center"/>
          </w:tcPr>
          <w:p>
            <w:pPr>
              <w:widowControl/>
              <w:jc w:val="center"/>
              <w:textAlignment w:val="center"/>
              <w:rPr>
                <w:rFonts w:hint="default" w:ascii="宋体" w:hAnsi="宋体" w:eastAsia="宋体" w:cs="宋体"/>
                <w:color w:val="000000"/>
                <w:kern w:val="0"/>
                <w:sz w:val="24"/>
                <w:lang w:val="en-US" w:eastAsia="zh-CN" w:bidi="ar"/>
              </w:rPr>
            </w:pPr>
            <w:r>
              <w:rPr>
                <w:rFonts w:hint="eastAsia" w:ascii="宋体" w:hAnsi="宋体" w:eastAsia="宋体" w:cs="宋体"/>
                <w:color w:val="000000"/>
                <w:kern w:val="0"/>
                <w:sz w:val="24"/>
                <w:lang w:val="en-US" w:eastAsia="zh-CN" w:bidi="ar"/>
              </w:rPr>
              <w:t>43</w:t>
            </w:r>
          </w:p>
        </w:tc>
        <w:tc>
          <w:tcPr>
            <w:tcW w:w="4562" w:type="pct"/>
            <w:shd w:val="clear" w:color="auto" w:fill="auto"/>
            <w:noWrap/>
            <w:vAlign w:val="center"/>
          </w:tcPr>
          <w:p>
            <w:pPr>
              <w:widowControl/>
              <w:jc w:val="both"/>
              <w:textAlignment w:val="center"/>
              <w:rPr>
                <w:rFonts w:hint="default" w:ascii="宋体" w:hAnsi="宋体" w:eastAsia="宋体" w:cs="宋体"/>
                <w:color w:val="000000"/>
                <w:kern w:val="0"/>
                <w:sz w:val="24"/>
                <w:lang w:val="en-US" w:eastAsia="zh-CN" w:bidi="ar"/>
              </w:rPr>
            </w:pPr>
            <w:r>
              <w:rPr>
                <w:rFonts w:hint="eastAsia" w:ascii="宋体" w:hAnsi="宋体" w:eastAsia="宋体" w:cs="宋体"/>
                <w:color w:val="000000"/>
                <w:kern w:val="0"/>
                <w:sz w:val="24"/>
                <w:lang w:val="en-US" w:eastAsia="zh-CN" w:bidi="ar"/>
              </w:rPr>
              <w:t>自动喷水灭火系统设计规范  GB50084-2017</w:t>
            </w:r>
          </w:p>
        </w:tc>
      </w:tr>
    </w:tbl>
    <w:p>
      <w:pPr>
        <w:spacing w:line="560" w:lineRule="exact"/>
        <w:ind w:firstLine="562" w:firstLineChars="200"/>
        <w:outlineLvl w:val="1"/>
        <w:rPr>
          <w:rFonts w:hint="default" w:eastAsiaTheme="minorEastAsia"/>
          <w:b/>
          <w:bCs/>
          <w:sz w:val="28"/>
          <w:szCs w:val="28"/>
          <w:lang w:val="en-US" w:eastAsia="zh-CN"/>
        </w:rPr>
      </w:pPr>
      <w:r>
        <w:rPr>
          <w:rFonts w:hint="eastAsia"/>
          <w:b/>
          <w:bCs/>
          <w:sz w:val="28"/>
          <w:szCs w:val="28"/>
        </w:rPr>
        <w:t>（二）</w:t>
      </w:r>
      <w:r>
        <w:rPr>
          <w:rFonts w:hint="eastAsia"/>
          <w:b/>
          <w:bCs/>
          <w:sz w:val="28"/>
          <w:szCs w:val="28"/>
          <w:lang w:val="en-US" w:eastAsia="zh-CN"/>
        </w:rPr>
        <w:t>项目服务要求</w:t>
      </w:r>
      <w:bookmarkEnd w:id="7"/>
    </w:p>
    <w:p>
      <w:pPr>
        <w:spacing w:line="560" w:lineRule="exact"/>
        <w:ind w:firstLine="560" w:firstLineChars="200"/>
        <w:outlineLvl w:val="9"/>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1.合同实施前，服务商需对采购方整体消防系统运行状况进行全面摸查，根据摸查情况，针对消防检测服务项目，需指派专人进行对接，熟悉和了解采购方消防系统构成。</w:t>
      </w:r>
    </w:p>
    <w:p>
      <w:pPr>
        <w:spacing w:line="560" w:lineRule="exact"/>
        <w:ind w:firstLine="560" w:firstLineChars="200"/>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2.</w:t>
      </w:r>
      <w:r>
        <w:rPr>
          <w:rFonts w:hint="eastAsia" w:ascii="宋体" w:hAnsi="宋体" w:eastAsia="宋体" w:cs="宋体"/>
          <w:sz w:val="28"/>
          <w:szCs w:val="28"/>
          <w:lang w:eastAsia="zh-CN"/>
        </w:rPr>
        <w:t>为保证消防设施正常有效运转，</w:t>
      </w:r>
      <w:r>
        <w:rPr>
          <w:rFonts w:hint="eastAsia" w:ascii="宋体" w:hAnsi="宋体" w:eastAsia="宋体" w:cs="宋体"/>
          <w:bCs/>
          <w:color w:val="auto"/>
          <w:sz w:val="28"/>
          <w:szCs w:val="28"/>
          <w:lang w:val="en-US" w:eastAsia="zh-CN"/>
        </w:rPr>
        <w:t>服务商必须按照采购方的要求执行（详见附件1），按时按质地提供相关服务。</w:t>
      </w:r>
    </w:p>
    <w:p>
      <w:pPr>
        <w:spacing w:line="560" w:lineRule="exact"/>
        <w:ind w:firstLine="560" w:firstLineChars="200"/>
        <w:outlineLvl w:val="9"/>
        <w:rPr>
          <w:rFonts w:hint="default" w:ascii="宋体" w:hAnsi="宋体"/>
          <w:sz w:val="28"/>
          <w:szCs w:val="28"/>
          <w:lang w:val="en-US" w:eastAsia="zh-CN"/>
        </w:rPr>
      </w:pPr>
      <w:r>
        <w:rPr>
          <w:rFonts w:hint="eastAsia" w:ascii="宋体" w:hAnsi="宋体"/>
          <w:sz w:val="28"/>
          <w:szCs w:val="28"/>
          <w:lang w:val="en-US" w:eastAsia="zh-CN"/>
        </w:rPr>
        <w:t>3.服务商在接到采购方通知后3天内进场检查，如消防设施达检测要求，服务商按双方约定时间内检测完毕。检测完毕后及时内向采购方提交正式的消防设施检测报告。若经现场检测，消防设施达不到规范要求，则需要进行整改，由服务商出示检测反馈意见，指导协助采购方按照规范要求整改。</w:t>
      </w:r>
    </w:p>
    <w:p>
      <w:pPr>
        <w:spacing w:line="560" w:lineRule="exact"/>
        <w:ind w:firstLine="560" w:firstLineChars="200"/>
        <w:outlineLvl w:val="9"/>
        <w:rPr>
          <w:rFonts w:hint="default" w:ascii="宋体" w:hAnsi="宋体"/>
          <w:sz w:val="28"/>
          <w:szCs w:val="28"/>
          <w:lang w:val="en-US" w:eastAsia="zh-CN"/>
        </w:rPr>
      </w:pPr>
      <w:r>
        <w:rPr>
          <w:rFonts w:hint="eastAsia" w:ascii="宋体" w:hAnsi="宋体"/>
          <w:sz w:val="28"/>
          <w:szCs w:val="28"/>
          <w:lang w:val="en-US" w:eastAsia="zh-CN"/>
        </w:rPr>
        <w:t>4.</w:t>
      </w:r>
      <w:r>
        <w:rPr>
          <w:rFonts w:hint="eastAsia" w:asciiTheme="minorEastAsia" w:hAnsiTheme="minorEastAsia" w:cstheme="minorEastAsia"/>
          <w:sz w:val="28"/>
          <w:szCs w:val="28"/>
          <w:lang w:val="en-US" w:eastAsia="zh-CN"/>
        </w:rPr>
        <w:t>服务商提供24小时服务热线（热线电话、微信、传真、电子邮件等）。服务商在接到采购方的需求后，必须在1小时内作出响应，并在采购方规定的时间内，到达现场，满足采购方要求。若服务商预期无法按规定时间完成需求，则需提前通知采购方，采购方同意后，方可执行。</w:t>
      </w:r>
    </w:p>
    <w:p>
      <w:pPr>
        <w:spacing w:line="560" w:lineRule="exact"/>
        <w:ind w:firstLine="560" w:firstLineChars="200"/>
        <w:outlineLvl w:val="9"/>
        <w:rPr>
          <w:rFonts w:hint="default" w:ascii="宋体" w:hAnsi="宋体"/>
          <w:sz w:val="28"/>
          <w:szCs w:val="28"/>
          <w:lang w:val="en-US" w:eastAsia="zh-CN"/>
        </w:rPr>
      </w:pPr>
      <w:r>
        <w:rPr>
          <w:rFonts w:hint="eastAsia" w:ascii="宋体" w:hAnsi="宋体"/>
          <w:sz w:val="28"/>
          <w:szCs w:val="28"/>
          <w:lang w:val="en-US" w:eastAsia="zh-CN"/>
        </w:rPr>
        <w:t>5.采购方整改完毕后服务商安排人员进行复检。如经复检消防设施满足规范要求，7天内服务商向采购方提出正式消防设施检测报告。</w:t>
      </w:r>
    </w:p>
    <w:p>
      <w:pPr>
        <w:spacing w:line="560" w:lineRule="exact"/>
        <w:ind w:firstLine="560" w:firstLineChars="200"/>
        <w:outlineLvl w:val="9"/>
        <w:rPr>
          <w:rFonts w:hint="default" w:ascii="宋体" w:hAnsi="宋体"/>
          <w:sz w:val="28"/>
          <w:szCs w:val="28"/>
          <w:lang w:val="en-US" w:eastAsia="zh-CN"/>
        </w:rPr>
      </w:pPr>
      <w:r>
        <w:rPr>
          <w:rFonts w:hint="eastAsia" w:ascii="宋体" w:hAnsi="宋体"/>
          <w:sz w:val="28"/>
          <w:szCs w:val="28"/>
          <w:lang w:val="en-US" w:eastAsia="zh-CN"/>
        </w:rPr>
        <w:t>6.服务商加强人员管理，合理安排人员，保障项目工作进度。确因不可抗力影响项目实施，需与采购人协商修订项目实施计划，达成一致后执行。</w:t>
      </w:r>
    </w:p>
    <w:p>
      <w:pPr>
        <w:spacing w:line="560" w:lineRule="exact"/>
        <w:ind w:firstLine="560" w:firstLineChars="200"/>
        <w:outlineLvl w:val="9"/>
        <w:rPr>
          <w:rFonts w:hint="default" w:ascii="宋体" w:hAnsi="宋体"/>
          <w:sz w:val="28"/>
          <w:szCs w:val="28"/>
          <w:lang w:val="en-US" w:eastAsia="zh-CN"/>
        </w:rPr>
      </w:pPr>
      <w:r>
        <w:rPr>
          <w:rFonts w:hint="eastAsia" w:ascii="宋体" w:hAnsi="宋体"/>
          <w:sz w:val="28"/>
          <w:szCs w:val="28"/>
          <w:lang w:val="en-US" w:eastAsia="zh-CN"/>
        </w:rPr>
        <w:t>7.服务商必须配备专业的检测人员完成本项目，检测人员具有设施设备维修经验并持有法定要求的职业资格证。</w:t>
      </w:r>
    </w:p>
    <w:p>
      <w:pPr>
        <w:spacing w:line="560" w:lineRule="exact"/>
        <w:ind w:firstLine="560" w:firstLineChars="200"/>
        <w:outlineLvl w:val="9"/>
        <w:rPr>
          <w:rFonts w:hint="eastAsia" w:ascii="宋体" w:hAnsi="宋体"/>
          <w:sz w:val="28"/>
          <w:szCs w:val="28"/>
          <w:lang w:val="en-US" w:eastAsia="zh-CN"/>
        </w:rPr>
      </w:pPr>
      <w:r>
        <w:rPr>
          <w:rFonts w:hint="eastAsia" w:ascii="宋体" w:hAnsi="宋体"/>
          <w:sz w:val="28"/>
          <w:szCs w:val="28"/>
          <w:lang w:val="en-US" w:eastAsia="zh-CN"/>
        </w:rPr>
        <w:t>8.服务商必须建立健全严格的安全管理制度，在开展消防检测服务工作中严格执行安全管理规定，深刻认识和领会采购方对安全工作的态度和要求，并给予相应的支持和配合。如因非采购方原因导致的安全问题，由服务商承担责任，并按国家法律法规及相关要求进行赔偿。</w:t>
      </w:r>
    </w:p>
    <w:p>
      <w:pPr>
        <w:spacing w:line="560" w:lineRule="exact"/>
        <w:ind w:firstLine="560" w:firstLineChars="200"/>
        <w:outlineLvl w:val="9"/>
        <w:rPr>
          <w:rFonts w:hint="eastAsia" w:ascii="宋体" w:hAnsi="宋体"/>
          <w:sz w:val="28"/>
          <w:szCs w:val="28"/>
          <w:lang w:val="en-US" w:eastAsia="zh-CN"/>
        </w:rPr>
      </w:pPr>
      <w:r>
        <w:rPr>
          <w:rFonts w:hint="eastAsia" w:ascii="宋体" w:hAnsi="宋体"/>
          <w:sz w:val="28"/>
          <w:szCs w:val="28"/>
          <w:lang w:val="en-US" w:eastAsia="zh-CN"/>
        </w:rPr>
        <w:t>9.服务商的维修人员应严格遵守有关法律法规和采购人内部规章制度，不得擅自翻阅、复制、传播所接触的资料或数据。并且，服务商须遵守采购方信息保密制度，禁止窥窃采购方任何信息（或在合同正文约定相关保密条款）。服务商应与采购方签署保密协议书，并负责约束有关员工的保密工作。如服务商泄露采购方的资料或数据，服务商应全额赔偿采购方的损失。</w:t>
      </w:r>
    </w:p>
    <w:p>
      <w:pPr>
        <w:spacing w:line="560" w:lineRule="exact"/>
        <w:ind w:firstLine="560" w:firstLineChars="200"/>
        <w:outlineLvl w:val="9"/>
        <w:rPr>
          <w:rFonts w:hint="eastAsia" w:ascii="宋体" w:hAnsi="宋体"/>
          <w:sz w:val="28"/>
          <w:szCs w:val="28"/>
          <w:lang w:val="en-US" w:eastAsia="zh-CN"/>
        </w:rPr>
      </w:pPr>
      <w:r>
        <w:rPr>
          <w:rFonts w:hint="eastAsia" w:ascii="宋体" w:hAnsi="宋体"/>
          <w:sz w:val="28"/>
          <w:szCs w:val="28"/>
          <w:lang w:val="en-US" w:eastAsia="zh-CN"/>
        </w:rPr>
        <w:t>10.按照相关要求编制检测报告（应该包含以下基本内容）：</w:t>
      </w:r>
    </w:p>
    <w:p>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outlineLvl w:val="9"/>
        <w:rPr>
          <w:rFonts w:hint="eastAsia" w:ascii="宋体" w:hAnsi="宋体"/>
          <w:sz w:val="28"/>
          <w:szCs w:val="28"/>
          <w:lang w:val="en-US" w:eastAsia="zh-CN"/>
        </w:rPr>
      </w:pPr>
      <w:r>
        <w:rPr>
          <w:rFonts w:hint="eastAsia" w:ascii="宋体" w:hAnsi="宋体"/>
          <w:sz w:val="28"/>
          <w:szCs w:val="28"/>
          <w:lang w:val="en-US" w:eastAsia="zh-CN"/>
        </w:rPr>
        <w:t>（1）标题，检测单位的名称、地址，检测地点，检测报告的唯一性标识（如序号）和每页及总页数的标识，受检方的名称及地址，对受检测项目的说明，受检测项目的特性和状态，接受和检测日期，使用的检测方法和仪器或非标准检测方法的说明，抽样检测比例和程序，检测情况环境描述，对检测结果比如表格、图片和照片等加以数名，对无效的检测结果要有证明，报告内容负责人员的签字、职务、以及签发日期，做出检测结果即时有效性和未经检测单位批准不得复制报告的声明。</w:t>
      </w:r>
    </w:p>
    <w:p>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outlineLvl w:val="9"/>
        <w:rPr>
          <w:rFonts w:hint="eastAsia" w:ascii="宋体" w:hAnsi="宋体"/>
          <w:sz w:val="28"/>
          <w:szCs w:val="28"/>
          <w:lang w:val="en-US" w:eastAsia="zh-CN"/>
        </w:rPr>
      </w:pPr>
      <w:r>
        <w:rPr>
          <w:rFonts w:hint="eastAsia" w:ascii="宋体" w:hAnsi="宋体"/>
          <w:sz w:val="28"/>
          <w:szCs w:val="28"/>
          <w:lang w:val="en-US" w:eastAsia="zh-CN"/>
        </w:rPr>
        <w:t>（2）受检测单位的基本情况和建筑消防设施基本情况说明。</w:t>
      </w:r>
    </w:p>
    <w:p>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outlineLvl w:val="9"/>
        <w:rPr>
          <w:rFonts w:hint="eastAsia" w:ascii="宋体" w:hAnsi="宋体"/>
          <w:sz w:val="28"/>
          <w:szCs w:val="28"/>
          <w:lang w:val="en-US" w:eastAsia="zh-CN"/>
        </w:rPr>
      </w:pPr>
      <w:r>
        <w:rPr>
          <w:rFonts w:hint="eastAsia" w:ascii="宋体" w:hAnsi="宋体"/>
          <w:sz w:val="28"/>
          <w:szCs w:val="28"/>
          <w:lang w:val="en-US" w:eastAsia="zh-CN"/>
        </w:rPr>
        <w:t>（3）检测记录情况。</w:t>
      </w:r>
    </w:p>
    <w:p>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outlineLvl w:val="9"/>
        <w:rPr>
          <w:rFonts w:hint="eastAsia" w:ascii="宋体" w:hAnsi="宋体"/>
          <w:sz w:val="28"/>
          <w:szCs w:val="28"/>
          <w:lang w:val="en-US" w:eastAsia="zh-CN"/>
        </w:rPr>
      </w:pPr>
      <w:r>
        <w:rPr>
          <w:rFonts w:hint="eastAsia" w:ascii="宋体" w:hAnsi="宋体"/>
          <w:sz w:val="28"/>
          <w:szCs w:val="28"/>
          <w:lang w:val="en-US" w:eastAsia="zh-CN"/>
        </w:rPr>
        <w:t>（4）综合说明防火检测内容，并且在检测报告存中把发现缺陷和重要事项进行叙述。</w:t>
      </w:r>
    </w:p>
    <w:p>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outlineLvl w:val="9"/>
        <w:rPr>
          <w:rFonts w:hint="eastAsia" w:ascii="宋体" w:hAnsi="宋体"/>
          <w:sz w:val="28"/>
          <w:szCs w:val="28"/>
          <w:lang w:val="en-US" w:eastAsia="zh-CN"/>
        </w:rPr>
      </w:pPr>
      <w:r>
        <w:rPr>
          <w:rFonts w:hint="eastAsia" w:ascii="宋体" w:hAnsi="宋体"/>
          <w:sz w:val="28"/>
          <w:szCs w:val="28"/>
          <w:lang w:val="en-US" w:eastAsia="zh-CN"/>
        </w:rPr>
        <w:t>（5）将检测结果进行综合的判定及判定结果。</w:t>
      </w:r>
    </w:p>
    <w:p>
      <w:pPr>
        <w:keepNext/>
        <w:keepLines w:val="0"/>
        <w:pageBreakBefore w:val="0"/>
        <w:widowControl w:val="0"/>
        <w:kinsoku/>
        <w:wordWrap/>
        <w:overflowPunct/>
        <w:topLinePunct w:val="0"/>
        <w:autoSpaceDE/>
        <w:autoSpaceDN/>
        <w:bidi w:val="0"/>
        <w:adjustRightInd/>
        <w:snapToGrid/>
        <w:spacing w:line="560" w:lineRule="exact"/>
        <w:ind w:firstLine="562" w:firstLineChars="200"/>
        <w:outlineLvl w:val="0"/>
        <w:rPr>
          <w:rFonts w:hint="default" w:ascii="宋体" w:hAnsi="宋体" w:eastAsia="宋体" w:cs="宋体"/>
          <w:b/>
          <w:bCs w:val="0"/>
          <w:color w:val="000000" w:themeColor="text1"/>
          <w:sz w:val="28"/>
          <w:szCs w:val="28"/>
          <w:lang w:val="en-US" w:eastAsia="zh-CN"/>
          <w14:textFill>
            <w14:solidFill>
              <w14:schemeClr w14:val="tx1"/>
            </w14:solidFill>
          </w14:textFill>
        </w:rPr>
      </w:pPr>
      <w:r>
        <w:rPr>
          <w:rFonts w:hint="eastAsia" w:ascii="宋体" w:hAnsi="宋体" w:eastAsia="宋体" w:cs="宋体"/>
          <w:b/>
          <w:bCs w:val="0"/>
          <w:color w:val="000000" w:themeColor="text1"/>
          <w:sz w:val="28"/>
          <w:szCs w:val="28"/>
          <w:lang w:val="en-US" w:eastAsia="zh-CN"/>
          <w14:textFill>
            <w14:solidFill>
              <w14:schemeClr w14:val="tx1"/>
            </w14:solidFill>
          </w14:textFill>
        </w:rPr>
        <w:t>11.服务商应记录消防检测发现共性问题，定期向招标采购联系人（广西电网公司办公室）反馈消防检查服务发现典型或共性问题情况。</w:t>
      </w:r>
    </w:p>
    <w:p>
      <w:pPr>
        <w:keepNext/>
        <w:keepLines w:val="0"/>
        <w:pageBreakBefore w:val="0"/>
        <w:widowControl w:val="0"/>
        <w:kinsoku/>
        <w:wordWrap/>
        <w:overflowPunct/>
        <w:topLinePunct w:val="0"/>
        <w:autoSpaceDE/>
        <w:autoSpaceDN/>
        <w:bidi w:val="0"/>
        <w:adjustRightInd/>
        <w:snapToGrid/>
        <w:spacing w:line="560" w:lineRule="exact"/>
        <w:ind w:firstLine="562" w:firstLineChars="200"/>
        <w:outlineLvl w:val="0"/>
        <w:rPr>
          <w:rFonts w:hint="default" w:ascii="宋体" w:hAnsi="宋体" w:eastAsia="宋体" w:cs="宋体"/>
          <w:b/>
          <w:bCs w:val="0"/>
          <w:color w:val="000000" w:themeColor="text1"/>
          <w:sz w:val="28"/>
          <w:szCs w:val="28"/>
          <w:lang w:val="en-US" w:eastAsia="zh-CN"/>
          <w14:textFill>
            <w14:solidFill>
              <w14:schemeClr w14:val="tx1"/>
            </w14:solidFill>
          </w14:textFill>
        </w:rPr>
      </w:pPr>
      <w:r>
        <w:rPr>
          <w:rFonts w:hint="eastAsia" w:ascii="宋体" w:hAnsi="宋体" w:eastAsia="宋体" w:cs="宋体"/>
          <w:b/>
          <w:bCs w:val="0"/>
          <w:color w:val="000000" w:themeColor="text1"/>
          <w:sz w:val="28"/>
          <w:szCs w:val="28"/>
          <w:lang w:val="en-US" w:eastAsia="zh-CN"/>
          <w14:textFill>
            <w14:solidFill>
              <w14:schemeClr w14:val="tx1"/>
            </w14:solidFill>
          </w14:textFill>
        </w:rPr>
        <w:t>12.服务商应为采购方及其所属单位提供日常免费技术咨询培训服务。配合采购方，组建由“外部（服务商）专家+内部（采购方）专家”组成消防安全检查小组，结合日常消防检测服务，开展现场检查培训。</w:t>
      </w:r>
    </w:p>
    <w:p>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outlineLvl w:val="9"/>
        <w:rPr>
          <w:rFonts w:hint="eastAsia" w:ascii="宋体" w:hAnsi="宋体"/>
          <w:sz w:val="28"/>
          <w:szCs w:val="28"/>
          <w:lang w:val="en-US" w:eastAsia="zh-CN"/>
        </w:rPr>
      </w:pPr>
    </w:p>
    <w:p>
      <w:pPr>
        <w:keepNext/>
        <w:keepLines w:val="0"/>
        <w:pageBreakBefore w:val="0"/>
        <w:widowControl w:val="0"/>
        <w:kinsoku/>
        <w:wordWrap/>
        <w:overflowPunct/>
        <w:topLinePunct w:val="0"/>
        <w:autoSpaceDE/>
        <w:autoSpaceDN/>
        <w:bidi w:val="0"/>
        <w:adjustRightInd/>
        <w:snapToGrid/>
        <w:spacing w:line="560" w:lineRule="exact"/>
        <w:ind w:firstLine="562" w:firstLineChars="200"/>
        <w:outlineLvl w:val="0"/>
        <w:rPr>
          <w:rFonts w:hint="eastAsia"/>
          <w:b/>
          <w:bCs/>
          <w:sz w:val="28"/>
          <w:szCs w:val="28"/>
        </w:rPr>
      </w:pPr>
      <w:r>
        <w:rPr>
          <w:rFonts w:hint="eastAsia"/>
          <w:b/>
          <w:bCs/>
          <w:sz w:val="28"/>
          <w:szCs w:val="28"/>
          <w:lang w:eastAsia="zh-CN"/>
        </w:rPr>
        <w:t>三</w:t>
      </w:r>
      <w:r>
        <w:rPr>
          <w:rFonts w:hint="eastAsia"/>
          <w:b/>
          <w:bCs/>
          <w:sz w:val="28"/>
          <w:szCs w:val="28"/>
        </w:rPr>
        <w:t>、项目其他需要说明的事项</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outlineLvl w:val="0"/>
        <w:rPr>
          <w:rFonts w:hint="eastAsia"/>
          <w:b/>
          <w:bCs/>
          <w:sz w:val="28"/>
          <w:szCs w:val="28"/>
          <w:lang w:val="en-US" w:eastAsia="zh-CN"/>
        </w:rPr>
      </w:pPr>
      <w:r>
        <w:rPr>
          <w:rFonts w:hint="eastAsia"/>
          <w:b/>
          <w:bCs/>
          <w:sz w:val="28"/>
          <w:szCs w:val="28"/>
          <w:lang w:val="en-US" w:eastAsia="zh-CN"/>
        </w:rPr>
        <w:t>附件1</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b/>
          <w:bCs/>
          <w:sz w:val="28"/>
          <w:szCs w:val="28"/>
          <w:lang w:val="en-US" w:eastAsia="zh-CN"/>
        </w:rPr>
      </w:pPr>
      <w:r>
        <w:rPr>
          <w:rFonts w:hint="eastAsia"/>
          <w:b/>
          <w:bCs/>
          <w:sz w:val="28"/>
          <w:szCs w:val="28"/>
          <w:lang w:val="en-US" w:eastAsia="zh-CN"/>
        </w:rPr>
        <w:t>表：消防检测内容</w:t>
      </w:r>
    </w:p>
    <w:tbl>
      <w:tblPr>
        <w:tblStyle w:val="10"/>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8"/>
        <w:gridCol w:w="1152"/>
        <w:gridCol w:w="1108"/>
        <w:gridCol w:w="3307"/>
        <w:gridCol w:w="21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blHead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消防设施名称</w:t>
            </w: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检测</w:t>
            </w:r>
          </w:p>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检测要求</w:t>
            </w:r>
          </w:p>
        </w:tc>
        <w:tc>
          <w:tcPr>
            <w:tcW w:w="216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火灾报警及消防联动控制系统</w:t>
            </w:r>
          </w:p>
        </w:tc>
        <w:tc>
          <w:tcPr>
            <w:tcW w:w="11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系统布线检测</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安装检查及管线选型检查。</w:t>
            </w:r>
          </w:p>
        </w:tc>
        <w:tc>
          <w:tcPr>
            <w:tcW w:w="21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火灾报警及消防联动控制系统检测程序：查看竣工资料→各防护区系统布线（线管选型、线径、布线保护方式、线路绝缘电阻测试、线路接地电阻测试）→火灾报警控制器、探测器、声光报警器、手动报警按钮、等静态安装检查、模拟故障功能检测→火灾报警控制器、探测器、声光报警器、手动报警按钮、等模拟火警功能检测→联动功能检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传输线路检测，对每个回路的线路材质、规格等检查。</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检测布线保护方式。</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检测接地线路及接地电阻。</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火灾报警控制器的检测</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检测安装质量：按集中报警控制器的不同要求分别检查安装质量是否符合规范要求。</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外观检查。</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电源及接地线路的检测。</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检测火灾报警控制器的基本功能（在检测探测器的同时进行）。</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探测器（含电气火灾探测装置，针对每一个探测器进行外观、安装质量及故障、报警功能检测）</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外观检查。</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安装质量检测。</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报警功能检测。</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手动报警按钮检测</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安装质量检测。</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报警功能检查。</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消防通讯设施及功能检测</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消防控制室与各消防设备间通话试验，应功能正常，语音清楚。</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消防控制室电话插孔通话试验，应功能正常，语音清楚。</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消防控制室应设有可直接报警的外线电话。</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控制室位置、设备安放、事故照明、消防标志、疏散门等。</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疏散指示及应急照明检测</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检测事故照明能否自动启动，照度、应急时间、切换功能是否符合要求。</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检测疏散指示方向、位置、照度、切换功能是否符合要求。</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消防联动控制柜检测</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安装质量检测</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外接线路检测</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柜内端子检查</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信号显示功能检测（检测消防控制设备在控制盘上显示动作信号是否正常，在检测联动功能，启动设备时同时进行））</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检测控制器基本功能检测：报警、故障、显示、记忆、控制、自检、主备电源转换以及备电充电、欠压报警等</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消防联动控制柜的控制功能及联动功能检测</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对室内消火栓系统的控制功能检测。控制消防水泵启、停、显示其工作状态；消火栓启泵按钮联动设备功能检测。</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对自动喷淋灭火系统的控制功能检测。控制泡沫泵启、停、显示其工作状态。</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警报装置的联动功能检测：火灾确认后，应接通着火层及上下层的警报装置。</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应急照明及疏散指示检测</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测试应急照明和疏散指示连续供电工作时间及应急照明度、疏散指示照度。测试消防控制室切断有关部位的非消防电源，并接通火灾应急照明及疏散指示装置的功能。</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水灭火系统（消防供水、室外消火栓、室内消火栓系统、自动喷水灭火系统）</w:t>
            </w: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消防水源检测</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水源性质、消防水池、消防高位水箱，保证消防用水措施等。</w:t>
            </w:r>
          </w:p>
        </w:tc>
        <w:tc>
          <w:tcPr>
            <w:tcW w:w="21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1.消防水源、电源：查看竣工资料→消防水池、水箱检测→消防总电源检测。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2.消火栓给水系统：查看竣工资料→消防水池、水箱检测→管网及附件检测→消火栓箱检</w:t>
            </w:r>
          </w:p>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测→消防灭火设备停止状态水量水压测试→消防灭火设备手动功能检测→消防灭火设备运行状态水量水压测试→联动功能检测→水泵接合器供水功能检测。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自动喷淋灭火系统：查看竣工资料→消防水池、水箱检测→管网及附件检测→阀体检测→消防灭火设备停止状态水量水压测试→消防灭火设备手动功能检测→消防灭火设备运行状态水量水压测试→联动功能检测→水泵接合器供水功能检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消防电源检测</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设置、容量、切换以及自备电源配置、试验，保证消防用电措施等。</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消火栓系统检测</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室内消火栓设置、安装质量检测。</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室内消火栓压力测试，射水试验。</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屋顶试验消火栓压力测试，射水试验。</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消火栓系统管网布设，支吊架、竖管状况，减压及防超压措施。</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稳压装置设置，启停功能测试。</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加压水泵安装质量，启动、转换功能，试验、压力监测等。</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水泵房设置，通讯、排水、事故照明及安全出口等。</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消火栓水泵电源安装、保护、控制、切换等。</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消火栓系统功能测试：启泵按钮联动水泵，相应功能测试。</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室外消火栓安装质量及功能测试。</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消火栓系统水泵接合器安装质量及通水功能测试。</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自动喷水灭火系统检测</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喷头设置、安装质量检测，水流指示器、信号阀安装质量及功能检测。</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各层喷淋末端压力测试，放水试验。</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湿式报警阀组测试，放水试验，水力警铃、延迟器检测。</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喷淋系统管网布设，支吊架、支管状况，减压及防超压措施。</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稳压装置设置，启停功能测试。</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加压水泵安装质量，启动、转换功能，试验、压力监测等。</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水泵房设置，通讯、排水、事故照明及安全出口等。</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水泵接合器安装质量及通水功能测试。</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防排烟系统</w:t>
            </w: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机械排烟系统检测</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风机、风道、风口、风阀、风速、风压、风量检测、关闭相应防火阀功能测试，远程控制、现场控制及联动控制功能检测，电源切换、电源线路敷设、保护等检测。</w:t>
            </w:r>
          </w:p>
        </w:tc>
        <w:tc>
          <w:tcPr>
            <w:tcW w:w="21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防排烟系统检测程序：查看竣工资料→风机检测→风速、风量→风口（风阀）的远程控制→联动功能检测。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机械送风、补风系统检测</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风机、风道、风口、风阀、风速、风压、风量检测、关闭相应送风阀功能测试，远程控制、现场控制及联动控制功能检测，电源切换、电源线路敷设、保护等检测。</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防火门、防火卷帘系统</w:t>
            </w:r>
          </w:p>
        </w:tc>
        <w:tc>
          <w:tcPr>
            <w:tcW w:w="11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防火门、防火卷帘系统检测</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设置状况、防火门外观、开启方向、安装质量检测。</w:t>
            </w:r>
          </w:p>
        </w:tc>
        <w:tc>
          <w:tcPr>
            <w:tcW w:w="21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防火门系统检测程序：查看竣工资料→外观、形位尺寸公差检测→功能检测。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防火卷帘检测程序：查看竣工资料→外观、安装、传动机构、动作程序及其手动和联动功能进行检测。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自行关闭、顺序关闭功能检测。</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检测防火卷帘、安装、传动机构、动作程序及其手动和联动功能进行检测。</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电气防火安全</w:t>
            </w:r>
          </w:p>
        </w:tc>
        <w:tc>
          <w:tcPr>
            <w:tcW w:w="11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电气防火安全检测</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电源检测。</w:t>
            </w:r>
          </w:p>
        </w:tc>
        <w:tc>
          <w:tcPr>
            <w:tcW w:w="21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电气防火安全检测程序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查看竣工资料→现场查看供电电源检测→变配电房检测→变配电房内的变压器及低压配电柜检测→电井及现场区域配电箱、柜的检测→公共区域及室内场所的开关、插座检测→公共区域及室内场所的照明灯具检测→公共区域及室内场所的线路敷设检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电源进线及电源配电房检测。</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配电房设置及环境检测。</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变压器及变配电所检测。</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低压电源配电柜（箱）检测。</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电井（区域）配电间检测</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配电箱、柜检测。</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电井封堵情况检测。</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室内开关、控制箱检测</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运行情况检测</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开关、插座检测</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运行情况检测</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照明灯具检测</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运行情况检测</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电源线路敷设检测</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运行情况检测</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66</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气体灭火系统</w:t>
            </w:r>
          </w:p>
        </w:tc>
        <w:tc>
          <w:tcPr>
            <w:tcW w:w="11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气体灭火报警控制系统检测</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系统布线检测。</w:t>
            </w:r>
          </w:p>
        </w:tc>
        <w:tc>
          <w:tcPr>
            <w:tcW w:w="21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气体灭火系统检测程序：查看竣工资料→各贮瓶区、防护区管网布设、静态检测→火灾报警控制器、探测器、声光报警器、手动报警按钮等静态安装检查、模拟故障功能检测→火灾报警控制器、探测器、声光报警器、手动报警按钮等模拟火警功能检测→联动功能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安装检查。</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传输线路检测，线路材质、电压等级、穿管敷设要求。</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检测布线保护方式:检测接地线路及接地电阻。</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火灾报警控制器的检测（检测安装质量：按集中报警控制器的不同要求分别检查安装质量是否符合规范要求；外观检查）。</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电源及接地线路的检测。</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检测火灾报警控制器的基本功能（在检测探测器的同时进行）。</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探测器（针对每一个探测器进行外观、安装质量及故障、报警功能检测）。</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手动报警按钮检测（安装质量检测、报警功能检查）。</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联动控制柜检测（安装质量检测；外接线路检测；柜内端子检查；信号显示功能检测；检测消防控制设备在控制盘上显示动作信号是否正常（在检测联动功能，启动设备时同时进行）；检测控制器基本功能检测：报警、故障、显示、记忆、控制、自检、主备电源转换以及备电充电、欠压报警等。）</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气体喷头安装质量检测。</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消防联动控制柜的控制功能及联动功能检测</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烟、温探测器联动、手动报警按钮联动、紧急按钮联动、启动电压、压力开关联动等，气体启动延迟量测试。</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贮瓶区、防护区检测</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贮瓶区温、湿度、照度，选择阀、单向阀、驱动管路安装、标志，贮瓶捡漏装置、容重、压力标志；防护区分隔，喷头布置，探测器布置，泄压口布置，防护区标志；探测器报警功能测试；模拟喷放测试，电磁阀输出电压，压力开关模拟测试，声光报警器、喷洒指示灯测试。</w:t>
            </w:r>
          </w:p>
        </w:tc>
        <w:tc>
          <w:tcPr>
            <w:tcW w:w="2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4"/>
                <w:szCs w:val="24"/>
                <w:u w:val="none"/>
              </w:rPr>
            </w:pPr>
          </w:p>
        </w:tc>
      </w:tr>
    </w:tbl>
    <w:p>
      <w:pPr>
        <w:spacing w:line="560" w:lineRule="exact"/>
        <w:ind w:firstLine="0" w:firstLineChars="0"/>
        <w:rPr>
          <w:rFonts w:hint="default"/>
          <w:b/>
          <w:bCs/>
          <w:sz w:val="28"/>
          <w:szCs w:val="28"/>
          <w:lang w:val="en-US" w:eastAsia="zh-CN"/>
        </w:rPr>
      </w:pPr>
    </w:p>
    <w:p>
      <w:pPr>
        <w:spacing w:line="560" w:lineRule="exact"/>
        <w:ind w:firstLine="562" w:firstLineChars="200"/>
        <w:outlineLvl w:val="0"/>
        <w:rPr>
          <w:rFonts w:hint="eastAsia" w:eastAsiaTheme="minorEastAsia"/>
          <w:b/>
          <w:bCs/>
          <w:sz w:val="28"/>
          <w:szCs w:val="28"/>
          <w:lang w:val="en-US" w:eastAsia="zh-CN"/>
        </w:rPr>
      </w:pPr>
      <w:bookmarkStart w:id="8" w:name="_Toc1804"/>
      <w:r>
        <w:rPr>
          <w:rFonts w:hint="eastAsia"/>
          <w:b/>
          <w:bCs/>
          <w:sz w:val="28"/>
          <w:szCs w:val="28"/>
          <w:lang w:eastAsia="zh-CN"/>
        </w:rPr>
        <w:t>四</w:t>
      </w:r>
      <w:r>
        <w:rPr>
          <w:rFonts w:hint="eastAsia"/>
          <w:b/>
          <w:bCs/>
          <w:sz w:val="28"/>
          <w:szCs w:val="28"/>
        </w:rPr>
        <w:t>、</w:t>
      </w:r>
      <w:r>
        <w:rPr>
          <w:rFonts w:hint="eastAsia"/>
          <w:b/>
          <w:bCs/>
          <w:sz w:val="28"/>
          <w:szCs w:val="28"/>
          <w:lang w:val="en-US" w:eastAsia="zh-CN"/>
        </w:rPr>
        <w:t>服务履约考核</w:t>
      </w:r>
      <w:bookmarkEnd w:id="8"/>
    </w:p>
    <w:p>
      <w:pPr>
        <w:spacing w:line="560" w:lineRule="exact"/>
        <w:ind w:firstLine="560" w:firstLineChars="200"/>
        <w:rPr>
          <w:rFonts w:hint="eastAsia"/>
          <w:b/>
          <w:bCs/>
          <w:sz w:val="28"/>
          <w:szCs w:val="28"/>
        </w:rPr>
      </w:pPr>
      <w:r>
        <w:rPr>
          <w:rFonts w:hint="eastAsia" w:ascii="宋体" w:hAnsi="宋体" w:eastAsia="宋体" w:cs="宋体"/>
          <w:sz w:val="28"/>
          <w:szCs w:val="28"/>
        </w:rPr>
        <w:t>采购方定期对服务商工作进行考核，考核结果作为对服务商履约考核的评价。评价结果的应用按相关的服务商管理办法执行</w:t>
      </w:r>
      <w:r>
        <w:rPr>
          <w:rFonts w:hint="eastAsia" w:ascii="宋体" w:hAnsi="宋体" w:eastAsia="宋体" w:cs="宋体"/>
          <w:sz w:val="28"/>
          <w:szCs w:val="28"/>
          <w:lang w:eastAsia="zh-CN"/>
        </w:rPr>
        <w:t>。</w:t>
      </w:r>
      <w:bookmarkStart w:id="9" w:name="_Toc11194"/>
    </w:p>
    <w:bookmarkEnd w:id="9"/>
    <w:tbl>
      <w:tblPr>
        <w:tblStyle w:val="10"/>
        <w:tblpPr w:leftFromText="180" w:rightFromText="180" w:vertAnchor="text" w:horzAnchor="page" w:tblpX="829" w:tblpY="639"/>
        <w:tblOverlap w:val="never"/>
        <w:tblW w:w="108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0"/>
        <w:gridCol w:w="960"/>
        <w:gridCol w:w="5220"/>
        <w:gridCol w:w="1395"/>
        <w:gridCol w:w="24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维度</w:t>
            </w: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评分标准</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华光书宋一_CNKI" w:hAnsi="华光书宋一_CNKI" w:eastAsia="华光书宋一_CNKI" w:cs="华光书宋一_CNKI"/>
                <w:b/>
                <w:bCs/>
                <w:i w:val="0"/>
                <w:iCs w:val="0"/>
                <w:color w:val="000000"/>
                <w:sz w:val="22"/>
                <w:szCs w:val="22"/>
                <w:u w:val="none"/>
              </w:rPr>
            </w:pPr>
            <w:r>
              <w:rPr>
                <w:rFonts w:hint="eastAsia" w:ascii="华光书宋一_CNKI" w:hAnsi="华光书宋一_CNKI" w:eastAsia="华光书宋一_CNKI" w:cs="华光书宋一_CNKI"/>
                <w:b/>
                <w:bCs/>
                <w:i w:val="0"/>
                <w:iCs w:val="0"/>
                <w:color w:val="000000"/>
                <w:kern w:val="0"/>
                <w:sz w:val="22"/>
                <w:szCs w:val="22"/>
                <w:u w:val="none"/>
                <w:lang w:val="en-US" w:eastAsia="zh-CN" w:bidi="ar"/>
              </w:rPr>
              <w:t>供应商经济考核</w:t>
            </w:r>
          </w:p>
        </w:tc>
        <w:tc>
          <w:tcPr>
            <w:tcW w:w="24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华光书宋一_CNKI" w:hAnsi="华光书宋一_CNKI" w:eastAsia="华光书宋一_CNKI" w:cs="华光书宋一_CNKI"/>
                <w:b/>
                <w:bCs/>
                <w:i w:val="0"/>
                <w:iCs w:val="0"/>
                <w:color w:val="000000"/>
                <w:sz w:val="22"/>
                <w:szCs w:val="22"/>
                <w:u w:val="none"/>
              </w:rPr>
            </w:pPr>
            <w:r>
              <w:rPr>
                <w:rFonts w:hint="eastAsia" w:ascii="华光书宋一_CNKI" w:hAnsi="华光书宋一_CNKI" w:eastAsia="华光书宋一_CNKI" w:cs="华光书宋一_CNKI"/>
                <w:b/>
                <w:bCs/>
                <w:i w:val="0"/>
                <w:iCs w:val="0"/>
                <w:color w:val="000000"/>
                <w:kern w:val="0"/>
                <w:sz w:val="22"/>
                <w:szCs w:val="22"/>
                <w:u w:val="none"/>
                <w:lang w:val="en-US" w:eastAsia="zh-CN" w:bidi="ar"/>
              </w:rPr>
              <w:t>供应商失信扣分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服务质量</w:t>
            </w: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所提供的检测服务不符合采购方的质量要求，每次扣5分。</w:t>
            </w:r>
          </w:p>
        </w:tc>
        <w:tc>
          <w:tcPr>
            <w:tcW w:w="13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按次考核</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采购方记录履约过程违约行为，计算累计扣分值。每扣1分，对应扣罚200元。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结算款=应结算款-累计扣分值*200元</w:t>
            </w:r>
          </w:p>
        </w:tc>
        <w:tc>
          <w:tcPr>
            <w:tcW w:w="24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对累计有效扣分达到12分的供应商实施不接受投标的处理措施，处理范围原则上覆盖供应商所有品类，处理期限根据失信行为的事实、性质、类型、情节和危害程度等情况确定，政府主管部门或其授权机构另有规定的，按其执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（一）标注★★★的扣分条款，处理期限为24个月；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（二）标注★★的扣分条款，处理期限为12个月；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（三）标注★的扣分条款及因其他条款累计有效扣分达到12分，处理期限为6个月。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2</w:t>
            </w: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服务响应速度慢，影响采购方的预期计划，每次扣5分。</w:t>
            </w: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24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3</w:t>
            </w: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无正当理由及未与采购方沟通的，未按规定时间提供服务的，每次扣5分。</w:t>
            </w: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24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4</w:t>
            </w: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服务态度差，采购方向服务商要求换人或投诉，每次扣5分。</w:t>
            </w: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24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w:t>
            </w: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未制定应急方案，且在紧急事件发生时，不能及时处理，给采购方带来损失的，每次扣5分。</w:t>
            </w: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24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6</w:t>
            </w: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未按采购方要求做好维保记录和档案管理工作，每次扣2分。</w:t>
            </w: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24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7</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人员管理</w:t>
            </w: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相关法规要求的服务人员必须持证上岗，包括国家法规要求、行业要求、特种岗位要求、从业资格证等。如发现服务人员存在没有持证上岗的情况，每次扣5分。</w:t>
            </w: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24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8</w:t>
            </w: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检测技术人员应具备丰富的相关经验和专业判断能力。服务商派出的检测人员如无法对故障问题能够作出专业判断、故障诊断和维修处理方案，每次扣2分。</w:t>
            </w: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24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9</w:t>
            </w: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检测技术人员服务态度良好，应对采购方提出的问题耐心解答，对反馈的问题及时跟进。如技术人员态度恶劣，消极怠工，每次扣2分。</w:t>
            </w: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24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安全管理</w:t>
            </w: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服务商必须严格执行采购方的安全规定。每出现一次安全事故，扣5分；每出现一次重大安全事故，每次扣10分。</w:t>
            </w: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24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保密管理</w:t>
            </w:r>
          </w:p>
        </w:tc>
        <w:tc>
          <w:tcPr>
            <w:tcW w:w="5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服务人员未做好保密工作，造成了信息泄露，每次扣5分；信息泄露给采购方带来重大影响的，每次扣10分。</w:t>
            </w: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24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bl>
    <w:p>
      <w:pPr>
        <w:pStyle w:val="4"/>
        <w:widowControl/>
        <w:numPr>
          <w:ilvl w:val="0"/>
          <w:numId w:val="0"/>
        </w:numPr>
        <w:spacing w:before="240" w:after="60" w:line="560" w:lineRule="exact"/>
        <w:jc w:val="center"/>
        <w:outlineLvl w:val="0"/>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pStyle w:val="3"/>
        <w:jc w:val="left"/>
        <w:rPr>
          <w:rFonts w:hint="eastAsia" w:ascii="宋体" w:hAnsi="宋体"/>
          <w:b/>
          <w:bCs/>
          <w:color w:val="0000FF"/>
          <w:sz w:val="28"/>
          <w:szCs w:val="28"/>
          <w:lang w:val="en-US" w:eastAsia="zh-CN"/>
        </w:rPr>
      </w:pPr>
      <w:bookmarkStart w:id="10" w:name="_Toc29296"/>
      <w:bookmarkStart w:id="11" w:name="_Toc5074"/>
      <w:bookmarkStart w:id="12" w:name="_Toc26193"/>
      <w:bookmarkStart w:id="13" w:name="_Toc4048"/>
      <w:bookmarkStart w:id="14" w:name="_Toc9383"/>
      <w:r>
        <w:rPr>
          <w:rFonts w:hint="eastAsia"/>
          <w:b/>
          <w:bCs/>
          <w:sz w:val="28"/>
          <w:szCs w:val="28"/>
          <w:lang w:eastAsia="zh-CN"/>
        </w:rPr>
        <w:t xml:space="preserve"> </w:t>
      </w:r>
      <w:r>
        <w:rPr>
          <w:rFonts w:hint="eastAsia"/>
          <w:b/>
          <w:bCs/>
          <w:sz w:val="28"/>
          <w:szCs w:val="28"/>
          <w:lang w:val="en-US" w:eastAsia="zh-CN"/>
        </w:rPr>
        <w:t xml:space="preserve"> </w:t>
      </w:r>
    </w:p>
    <w:p>
      <w:pPr>
        <w:rPr>
          <w:rFonts w:hint="eastAsia"/>
          <w:b/>
          <w:bCs/>
          <w:sz w:val="28"/>
          <w:szCs w:val="28"/>
        </w:rPr>
      </w:pPr>
      <w:r>
        <w:rPr>
          <w:rFonts w:hint="eastAsia"/>
          <w:b/>
          <w:bCs/>
          <w:sz w:val="28"/>
          <w:szCs w:val="28"/>
          <w:lang w:val="en-US" w:eastAsia="zh-CN"/>
        </w:rPr>
        <w:t xml:space="preserve">       </w:t>
      </w:r>
      <w:r>
        <w:rPr>
          <w:rFonts w:hint="eastAsia"/>
          <w:b/>
          <w:bCs/>
          <w:sz w:val="28"/>
          <w:szCs w:val="28"/>
        </w:rPr>
        <w:br w:type="page"/>
      </w:r>
    </w:p>
    <w:bookmarkEnd w:id="10"/>
    <w:p>
      <w:pPr>
        <w:sectPr>
          <w:pgSz w:w="11906" w:h="16838"/>
          <w:pgMar w:top="1440" w:right="1800" w:bottom="1440" w:left="1800" w:header="851" w:footer="992" w:gutter="0"/>
          <w:pgNumType w:start="3"/>
          <w:cols w:space="425" w:num="1"/>
          <w:docGrid w:type="lines" w:linePitch="312" w:charSpace="0"/>
        </w:sectPr>
      </w:pPr>
    </w:p>
    <w:p>
      <w:pPr>
        <w:keepNext w:val="0"/>
        <w:keepLines w:val="0"/>
        <w:pageBreakBefore w:val="0"/>
        <w:kinsoku/>
        <w:wordWrap/>
        <w:overflowPunct/>
        <w:topLinePunct w:val="0"/>
        <w:autoSpaceDE/>
        <w:autoSpaceDN/>
        <w:bidi w:val="0"/>
        <w:adjustRightInd/>
        <w:snapToGrid/>
        <w:spacing w:line="240" w:lineRule="auto"/>
        <w:ind w:firstLine="562" w:firstLineChars="200"/>
        <w:textAlignment w:val="auto"/>
        <w:outlineLvl w:val="0"/>
        <w:rPr>
          <w:rFonts w:hint="eastAsia" w:ascii="宋体" w:hAnsi="宋体"/>
          <w:b/>
          <w:bCs/>
          <w:sz w:val="28"/>
          <w:szCs w:val="28"/>
          <w:lang w:val="en-US" w:eastAsia="zh-CN"/>
        </w:rPr>
      </w:pPr>
      <w:r>
        <w:rPr>
          <w:rFonts w:hint="eastAsia" w:ascii="宋体" w:hAnsi="宋体"/>
          <w:b/>
          <w:bCs/>
          <w:sz w:val="28"/>
          <w:szCs w:val="28"/>
          <w:lang w:val="en-US" w:eastAsia="zh-CN"/>
        </w:rPr>
        <w:t>附件：南方电网公司供应商扣分条款（如在服务期内该条款有更新，按最新版本执行）</w:t>
      </w:r>
    </w:p>
    <w:tbl>
      <w:tblPr>
        <w:tblStyle w:val="1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674"/>
        <w:gridCol w:w="799"/>
        <w:gridCol w:w="1660"/>
        <w:gridCol w:w="9343"/>
        <w:gridCol w:w="17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14216" w:type="dxa"/>
            <w:gridSpan w:val="5"/>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ascii="黑体" w:hAnsi="宋体" w:eastAsia="黑体" w:cs="黑体"/>
                <w:b/>
                <w:i w:val="0"/>
                <w:color w:val="auto"/>
                <w:sz w:val="28"/>
                <w:szCs w:val="28"/>
                <w:highlight w:val="none"/>
                <w:u w:val="none"/>
              </w:rPr>
            </w:pPr>
            <w:r>
              <w:rPr>
                <w:rFonts w:hint="eastAsia" w:ascii="黑体" w:hAnsi="宋体" w:eastAsia="黑体" w:cs="黑体"/>
                <w:b/>
                <w:i w:val="0"/>
                <w:color w:val="auto"/>
                <w:kern w:val="0"/>
                <w:sz w:val="28"/>
                <w:szCs w:val="28"/>
                <w:highlight w:val="none"/>
                <w:u w:val="none"/>
                <w:lang w:val="en-US" w:eastAsia="zh-CN" w:bidi="ar"/>
              </w:rPr>
              <w:t>南方电网公司供应商扣分条款（2023）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67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序号</w:t>
            </w:r>
          </w:p>
        </w:tc>
        <w:tc>
          <w:tcPr>
            <w:tcW w:w="79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管理阶段</w:t>
            </w:r>
          </w:p>
        </w:tc>
        <w:tc>
          <w:tcPr>
            <w:tcW w:w="166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失信行为</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扣分细则</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651" w:hRule="atLeast"/>
        </w:trPr>
        <w:tc>
          <w:tcPr>
            <w:tcW w:w="674" w:type="dxa"/>
            <w:vMerge w:val="restart"/>
            <w:tcBorders>
              <w:top w:val="single" w:color="000000" w:sz="4" w:space="0"/>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c>
          <w:tcPr>
            <w:tcW w:w="799"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登记预审阶段</w:t>
            </w:r>
          </w:p>
        </w:tc>
        <w:tc>
          <w:tcPr>
            <w:tcW w:w="166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提供伪造材料</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（11011）伪造公司营业执照、组织机构代码、税务登记证进行注册登记的，扣6分；</w:t>
            </w:r>
            <w:r>
              <w:rPr>
                <w:rFonts w:hint="eastAsia" w:ascii="宋体" w:hAnsi="宋体" w:eastAsia="宋体" w:cs="宋体"/>
                <w:i w:val="0"/>
                <w:strike/>
                <w:dstrike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（11012）资格预审及资质能力评价中，</w:t>
            </w:r>
            <w:r>
              <w:rPr>
                <w:rFonts w:hint="eastAsia" w:ascii="宋体" w:hAnsi="宋体" w:eastAsia="宋体" w:cs="宋体"/>
                <w:i w:val="0"/>
                <w:strike w:val="0"/>
                <w:dstrike w:val="0"/>
                <w:color w:val="auto"/>
                <w:kern w:val="0"/>
                <w:sz w:val="24"/>
                <w:szCs w:val="24"/>
                <w:highlight w:val="none"/>
                <w:u w:val="none"/>
                <w:lang w:val="en-US" w:eastAsia="zh-CN" w:bidi="ar"/>
              </w:rPr>
              <w:t>伪造</w:t>
            </w:r>
            <w:r>
              <w:rPr>
                <w:rFonts w:hint="eastAsia" w:ascii="宋体" w:hAnsi="宋体" w:eastAsia="宋体" w:cs="宋体"/>
                <w:i w:val="0"/>
                <w:color w:val="auto"/>
                <w:kern w:val="0"/>
                <w:sz w:val="24"/>
                <w:szCs w:val="24"/>
                <w:highlight w:val="none"/>
                <w:u w:val="none"/>
                <w:lang w:val="en-US" w:eastAsia="zh-CN" w:bidi="ar"/>
              </w:rPr>
              <w:t>营业执照、组织机构代码、税务登记证、资质证书、质量管理体系、业绩证明、型式试验报告、身份证明、生产许可证、3C认证、入网许可证和计量许可证、必备检测设备和生产设备、授权证明、劳动合同及职工养老保险证明等材料</w:t>
            </w:r>
            <w:r>
              <w:rPr>
                <w:rFonts w:hint="eastAsia" w:ascii="宋体" w:hAnsi="宋体" w:eastAsia="宋体" w:cs="宋体"/>
                <w:i w:val="0"/>
                <w:strike w:val="0"/>
                <w:dstrike w:val="0"/>
                <w:color w:val="auto"/>
                <w:kern w:val="0"/>
                <w:sz w:val="24"/>
                <w:szCs w:val="24"/>
                <w:highlight w:val="none"/>
                <w:u w:val="none"/>
                <w:lang w:val="en-US" w:eastAsia="zh-CN" w:bidi="ar"/>
              </w:rPr>
              <w:t>的</w:t>
            </w:r>
            <w:r>
              <w:rPr>
                <w:rFonts w:hint="eastAsia" w:ascii="宋体" w:hAnsi="宋体" w:eastAsia="宋体" w:cs="宋体"/>
                <w:i w:val="0"/>
                <w:color w:val="auto"/>
                <w:kern w:val="0"/>
                <w:sz w:val="24"/>
                <w:szCs w:val="24"/>
                <w:highlight w:val="none"/>
                <w:u w:val="none"/>
                <w:lang w:val="en-US" w:eastAsia="zh-CN" w:bidi="ar"/>
              </w:rPr>
              <w:t>，扣12分。（★★★）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5" w:hRule="atLeast"/>
        </w:trPr>
        <w:tc>
          <w:tcPr>
            <w:tcW w:w="0" w:type="dxa"/>
            <w:vMerge w:val="continue"/>
            <w:tcBorders>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166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利用不正当手段获取评审信息</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（11021）供应商在资格预审及资质能力评价期间向评审专家打听评估信息的，扣3分；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（11022）供应商在资格预审及资质能力评价期间对评审人员进行监听、窃听获取评审信息的，扣6分。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5" w:hRule="atLeast"/>
        </w:trPr>
        <w:tc>
          <w:tcPr>
            <w:tcW w:w="674" w:type="dxa"/>
            <w:vMerge w:val="restart"/>
            <w:tcBorders>
              <w:top w:val="single" w:color="000000" w:sz="4" w:space="0"/>
              <w:left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w:t>
            </w:r>
          </w:p>
        </w:tc>
        <w:tc>
          <w:tcPr>
            <w:tcW w:w="799"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lang w:eastAsia="zh-CN"/>
              </w:rPr>
              <w:t>现场核查阶段</w:t>
            </w:r>
          </w:p>
        </w:tc>
        <w:tc>
          <w:tcPr>
            <w:tcW w:w="166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不配合现场核查工作</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（12011）供应商拒不答复现场核查通知的，或拒绝接受现场核查的，现场核查期间拒不配合相关工作开展的，供应商在现场核查期间干扰专家正常核查的，对供应商进行扣分。每发现1起，扣6分。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5" w:hRule="atLeast"/>
        </w:trPr>
        <w:tc>
          <w:tcPr>
            <w:tcW w:w="0" w:type="dxa"/>
            <w:vMerge w:val="continue"/>
            <w:tcBorders>
              <w:left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color w:val="auto"/>
                <w:sz w:val="24"/>
                <w:szCs w:val="24"/>
                <w:highlight w:val="none"/>
                <w:u w:val="none"/>
              </w:rPr>
            </w:pPr>
          </w:p>
        </w:tc>
        <w:tc>
          <w:tcPr>
            <w:tcW w:w="166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提供虚假材料</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（12021）现场核查中伪造场地、设备、人员等情况，扣12分。（★★★）</w:t>
            </w:r>
          </w:p>
          <w:p>
            <w:pPr>
              <w:keepNext w:val="0"/>
              <w:keepLines w:val="0"/>
              <w:widowControl/>
              <w:suppressLineNumbers w:val="0"/>
              <w:jc w:val="left"/>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（12022）</w:t>
            </w:r>
            <w:r>
              <w:rPr>
                <w:rFonts w:hint="eastAsia" w:ascii="宋体" w:hAnsi="宋体" w:eastAsia="宋体" w:cs="宋体"/>
                <w:color w:val="auto"/>
                <w:kern w:val="0"/>
                <w:sz w:val="24"/>
                <w:highlight w:val="none"/>
                <w:lang w:bidi="ar"/>
              </w:rPr>
              <w:t>现场核查中提供伪造材料，包括营业执照、质量管理体系、业绩证明、试验报告、生产许可证、3C认证、入网许可证、资质证书、检测设备和生产设备证明、劳动合同、工资发放及社保缴费证明等，每次扣12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5" w:hRule="atLeast"/>
        </w:trPr>
        <w:tc>
          <w:tcPr>
            <w:tcW w:w="0" w:type="dxa"/>
            <w:vMerge w:val="continue"/>
            <w:tcBorders>
              <w:left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color w:val="auto"/>
                <w:sz w:val="24"/>
                <w:szCs w:val="24"/>
                <w:highlight w:val="none"/>
                <w:u w:val="none"/>
              </w:rPr>
            </w:pPr>
          </w:p>
        </w:tc>
        <w:tc>
          <w:tcPr>
            <w:tcW w:w="166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违规接触现场核查专家</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（12031）现场核查中发现供应商存在违规接送、宴请专家组成员，以专家费、礼金、纪念品等名义输送利益，擅自与专家组成员进行私下商谈或者达成利益默契等违规行为，每发现1起，扣6分。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047" w:hRule="atLeast"/>
        </w:trPr>
        <w:tc>
          <w:tcPr>
            <w:tcW w:w="0" w:type="dxa"/>
            <w:vMerge w:val="continue"/>
            <w:tcBorders>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color w:val="auto"/>
                <w:sz w:val="24"/>
                <w:szCs w:val="24"/>
                <w:highlight w:val="none"/>
                <w:u w:val="none"/>
              </w:rPr>
            </w:pPr>
          </w:p>
        </w:tc>
        <w:tc>
          <w:tcPr>
            <w:tcW w:w="166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利用不正当手段获取现场核查信息</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b w:val="0"/>
                <w:bCs w:val="0"/>
                <w:i w:val="0"/>
                <w:color w:val="auto"/>
                <w:kern w:val="0"/>
                <w:sz w:val="24"/>
                <w:szCs w:val="24"/>
                <w:highlight w:val="none"/>
                <w:u w:val="none"/>
                <w:lang w:val="en-US" w:eastAsia="zh-CN" w:bidi="ar"/>
              </w:rPr>
              <w:t>（</w:t>
            </w:r>
            <w:r>
              <w:rPr>
                <w:rFonts w:hint="eastAsia" w:ascii="宋体" w:hAnsi="宋体" w:eastAsia="宋体" w:cs="宋体"/>
                <w:i w:val="0"/>
                <w:color w:val="auto"/>
                <w:kern w:val="0"/>
                <w:sz w:val="24"/>
                <w:szCs w:val="24"/>
                <w:highlight w:val="none"/>
                <w:u w:val="none"/>
                <w:lang w:val="en-US" w:eastAsia="zh-CN" w:bidi="ar"/>
              </w:rPr>
              <w:t>12041）供应商在现场核查期间违规打听专家组成员信息、行程安排的，扣3分；</w:t>
            </w:r>
          </w:p>
          <w:p>
            <w:pPr>
              <w:keepNext w:val="0"/>
              <w:keepLines w:val="0"/>
              <w:widowControl/>
              <w:suppressLineNumbers w:val="0"/>
              <w:jc w:val="left"/>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（12042）供应商在现场核查期间对专家进行监听、窃听，违规获取核查信息的，扣6分。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50" w:hRule="atLeast"/>
        </w:trPr>
        <w:tc>
          <w:tcPr>
            <w:tcW w:w="674" w:type="dxa"/>
            <w:vMerge w:val="restart"/>
            <w:tcBorders>
              <w:top w:val="single" w:color="000000" w:sz="4" w:space="0"/>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lang w:val="en-US"/>
              </w:rPr>
            </w:pPr>
            <w:r>
              <w:rPr>
                <w:rFonts w:hint="eastAsia" w:ascii="宋体" w:hAnsi="宋体" w:eastAsia="宋体" w:cs="宋体"/>
                <w:i w:val="0"/>
                <w:color w:val="auto"/>
                <w:sz w:val="20"/>
                <w:szCs w:val="20"/>
                <w:highlight w:val="none"/>
                <w:u w:val="none"/>
                <w:lang w:val="en-US" w:eastAsia="zh-CN"/>
              </w:rPr>
              <w:t>3</w:t>
            </w:r>
          </w:p>
        </w:tc>
        <w:tc>
          <w:tcPr>
            <w:tcW w:w="799"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招标采购阶段</w:t>
            </w:r>
          </w:p>
        </w:tc>
        <w:tc>
          <w:tcPr>
            <w:tcW w:w="166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扰乱投标秩序</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b/>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（13011）占据开标场所，妨碍正常招投标程序进行的；煽动滋事的；不服从现场工作人员管理的；故意损坏开标场所设施的，扣3分；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（13012）投标人已递交投标文件，但投标截止时间后放弃投标的，扣12分；</w:t>
            </w:r>
            <w:r>
              <w:rPr>
                <w:rFonts w:hint="eastAsia" w:ascii="宋体" w:hAnsi="宋体" w:eastAsia="宋体" w:cs="宋体"/>
                <w:b/>
                <w:i w:val="0"/>
                <w:color w:val="auto"/>
                <w:kern w:val="0"/>
                <w:sz w:val="24"/>
                <w:szCs w:val="24"/>
                <w:highlight w:val="none"/>
                <w:u w:val="none"/>
                <w:lang w:val="en-US" w:eastAsia="zh-CN" w:bidi="ar"/>
              </w:rPr>
              <w:t>（★★）</w:t>
            </w:r>
          </w:p>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（13013）中标（候选）人放弃（推荐）中标资格，扣12分；</w:t>
            </w:r>
            <w:r>
              <w:rPr>
                <w:rFonts w:hint="eastAsia" w:ascii="宋体" w:hAnsi="宋体" w:eastAsia="宋体" w:cs="宋体"/>
                <w:b/>
                <w:i w:val="0"/>
                <w:color w:val="auto"/>
                <w:kern w:val="0"/>
                <w:sz w:val="24"/>
                <w:szCs w:val="24"/>
                <w:highlight w:val="none"/>
                <w:u w:val="none"/>
                <w:lang w:val="en-US" w:eastAsia="zh-CN" w:bidi="ar"/>
              </w:rPr>
              <w:t>（★★</w:t>
            </w:r>
            <w:r>
              <w:rPr>
                <w:rFonts w:hint="eastAsia" w:ascii="宋体" w:hAnsi="宋体" w:eastAsia="宋体" w:cs="宋体"/>
                <w:i w:val="0"/>
                <w:color w:val="auto"/>
                <w:kern w:val="0"/>
                <w:sz w:val="24"/>
                <w:szCs w:val="24"/>
                <w:highlight w:val="none"/>
                <w:u w:val="none"/>
                <w:lang w:val="en-US" w:eastAsia="zh-CN" w:bidi="ar"/>
              </w:rPr>
              <w:t>★</w:t>
            </w:r>
            <w:r>
              <w:rPr>
                <w:rFonts w:hint="eastAsia" w:ascii="宋体" w:hAnsi="宋体" w:eastAsia="宋体" w:cs="宋体"/>
                <w:b/>
                <w:i w:val="0"/>
                <w:color w:val="auto"/>
                <w:kern w:val="0"/>
                <w:sz w:val="24"/>
                <w:szCs w:val="24"/>
                <w:highlight w:val="none"/>
                <w:u w:val="none"/>
                <w:lang w:val="en-US" w:eastAsia="zh-CN" w:bidi="ar"/>
              </w:rPr>
              <w:t>）</w:t>
            </w:r>
            <w:r>
              <w:rPr>
                <w:rStyle w:val="19"/>
                <w:color w:val="auto"/>
                <w:highlight w:val="none"/>
                <w:lang w:val="en-US" w:eastAsia="zh-CN" w:bidi="ar"/>
              </w:rPr>
              <w:br w:type="textWrapping"/>
            </w:r>
            <w:r>
              <w:rPr>
                <w:rStyle w:val="19"/>
                <w:color w:val="auto"/>
                <w:highlight w:val="none"/>
                <w:lang w:val="en-US" w:eastAsia="zh-CN" w:bidi="ar"/>
              </w:rPr>
              <w:t>（13014）其他违反开标会现场纪律的行为，扣3分。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40" w:hRule="atLeast"/>
        </w:trPr>
        <w:tc>
          <w:tcPr>
            <w:tcW w:w="0" w:type="dxa"/>
            <w:vMerge w:val="continue"/>
            <w:tcBorders>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166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破坏公平竞争</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（13021）采用不正当手段诋毁、排挤其它投标人，扰乱招标市场，破坏公平竞争扣12分；（★★）</w:t>
            </w:r>
          </w:p>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（13022）恶意畸高畸低报价，或与其它投标人报价存在异常相似情况的扣6分；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（13023）以不正当手段获取和散播买方商业秘密，或者违反保密协议，或者违背买方保密要求的，扣6分。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0" w:type="dxa"/>
            <w:vMerge w:val="continue"/>
            <w:tcBorders>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166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故意修改技术参数</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（13031）在投标文件中，故意修改招标文件明确列明的技术参数后进行响应扣6分。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0" w:type="dxa"/>
            <w:vMerge w:val="continue"/>
            <w:tcBorders>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166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搜集评审信息</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（13041）以任何形式搜集招标、评标机密，干扰招标、评标活动扣12分。（★★）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711" w:hRule="atLeast"/>
        </w:trPr>
        <w:tc>
          <w:tcPr>
            <w:tcW w:w="0" w:type="dxa"/>
            <w:vMerge w:val="continue"/>
            <w:tcBorders>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lang w:val="en-US"/>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166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投标/采购文件弄虚作假</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出现以下任一失信行为扣12分：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（13051）使用伪造、变造的许可证件；（★★★）</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（13052）提供虚假的财务状况或者业绩；（★★）</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（13053）提供虚假的项目负责人或者主要技术人员简历、劳动关系证明；（★★）</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（13054）提供虚假的信用状况；（★★）</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（13055）其他弄虚作假的行为。（★★）</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40" w:hRule="atLeast"/>
        </w:trPr>
        <w:tc>
          <w:tcPr>
            <w:tcW w:w="0" w:type="dxa"/>
            <w:vMerge w:val="continue"/>
            <w:tcBorders>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lang w:val="en-US"/>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166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串通投标</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出现以下任一失信行为扣12分：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（13061）投标人之间相互串通投标；（★★★）</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（13062）招标人与投标人之间相互串通投标；（★★★）</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（13063）以他人名义投标的；允许其他单位和个人以本单位名义投标的。（★★★）</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11" w:hRule="atLeast"/>
        </w:trPr>
        <w:tc>
          <w:tcPr>
            <w:tcW w:w="0" w:type="dxa"/>
            <w:vMerge w:val="continue"/>
            <w:tcBorders>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lang w:val="en-US"/>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166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故意捏造事实、伪造证明材料投诉他人</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（13071）投标人故意捏造事实、伪造证明材料投诉、诽谤他人的扣12分。（★★★）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85" w:hRule="atLeast"/>
        </w:trPr>
        <w:tc>
          <w:tcPr>
            <w:tcW w:w="674" w:type="dxa"/>
            <w:vMerge w:val="restart"/>
            <w:tcBorders>
              <w:top w:val="single" w:color="000000" w:sz="4" w:space="0"/>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lang w:val="en-US" w:eastAsia="zh-CN"/>
              </w:rPr>
            </w:pPr>
            <w:r>
              <w:rPr>
                <w:rFonts w:hint="eastAsia" w:ascii="宋体" w:hAnsi="宋体" w:eastAsia="宋体" w:cs="宋体"/>
                <w:i w:val="0"/>
                <w:color w:val="auto"/>
                <w:sz w:val="20"/>
                <w:szCs w:val="20"/>
                <w:highlight w:val="none"/>
                <w:u w:val="none"/>
                <w:lang w:val="en-US" w:eastAsia="zh-CN"/>
              </w:rPr>
              <w:t>4</w:t>
            </w:r>
          </w:p>
        </w:tc>
        <w:tc>
          <w:tcPr>
            <w:tcW w:w="799"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签约履约阶段</w:t>
            </w:r>
          </w:p>
        </w:tc>
        <w:tc>
          <w:tcPr>
            <w:tcW w:w="1660"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不按规定签订合同</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（14011）因</w:t>
            </w:r>
            <w:r>
              <w:rPr>
                <w:rFonts w:hint="eastAsia" w:ascii="宋体" w:hAnsi="宋体" w:eastAsia="宋体" w:cs="宋体"/>
                <w:i w:val="0"/>
                <w:color w:val="auto"/>
                <w:kern w:val="0"/>
                <w:sz w:val="24"/>
                <w:szCs w:val="24"/>
                <w:highlight w:val="none"/>
                <w:u w:val="none"/>
                <w:lang w:val="en-US" w:eastAsia="zh-CN" w:bidi="ar"/>
              </w:rPr>
              <w:t>供应商</w:t>
            </w:r>
            <w:r>
              <w:rPr>
                <w:rFonts w:hint="eastAsia" w:ascii="宋体" w:hAnsi="宋体" w:eastAsia="宋体" w:cs="宋体"/>
                <w:i w:val="0"/>
                <w:strike w:val="0"/>
                <w:dstrike w:val="0"/>
                <w:color w:val="auto"/>
                <w:kern w:val="0"/>
                <w:sz w:val="24"/>
                <w:szCs w:val="24"/>
                <w:highlight w:val="none"/>
                <w:u w:val="none"/>
                <w:lang w:val="en-US" w:eastAsia="zh-CN" w:bidi="ar"/>
              </w:rPr>
              <w:t>原因造成合同超期签订，每份合同扣0.5分；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14012）因供应商原因拒绝签订或履行合同（含订单合同），每份合同扣12分；（同一份合同连续两次未按要求签订的，视为拒绝签订合同；同一份合同同一履约事项连续两次未按要求履行的，视为拒绝履行合同；因同一履约事项同时拒绝履行框架合同及其所产生的订单合同时，按拒绝履行框架合同扣12份，不累计对订单合同扣分；合同项下物资涉及重点工程的，为★★★事件，为非重点工程的，为★★事件）</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5" w:hRule="atLeast"/>
        </w:trPr>
        <w:tc>
          <w:tcPr>
            <w:tcW w:w="0" w:type="dxa"/>
            <w:vMerge w:val="continue"/>
            <w:tcBorders>
              <w:left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（仅适用于电子商城供货商）（24011）因供货商违反新增商品需求响应承诺，未在规定时限内，及时推送商品信息并上架的，每次扣0.001分；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kern w:val="0"/>
                <w:sz w:val="24"/>
                <w:szCs w:val="24"/>
                <w:highlight w:val="none"/>
                <w:u w:val="none"/>
                <w:lang w:val="en-US" w:eastAsia="zh-CN" w:bidi="ar"/>
              </w:rPr>
            </w:pPr>
            <w:r>
              <w:rPr>
                <w:rFonts w:hint="eastAsia" w:ascii="宋体" w:hAnsi="宋体" w:eastAsia="宋体" w:cs="宋体"/>
                <w:b w:val="0"/>
                <w:bCs w:val="0"/>
                <w:strike w:val="0"/>
                <w:dstrike w:val="0"/>
                <w:color w:val="auto"/>
                <w:kern w:val="0"/>
                <w:sz w:val="24"/>
                <w:szCs w:val="24"/>
                <w:highlight w:val="none"/>
                <w:lang w:val="en-US" w:eastAsia="zh-CN" w:bidi="ar"/>
              </w:rPr>
              <w:t>商城运营单位</w:t>
            </w:r>
            <w:r>
              <w:rPr>
                <w:rFonts w:hint="eastAsia" w:ascii="宋体" w:hAnsi="宋体" w:eastAsia="宋体" w:cs="宋体"/>
                <w:i w:val="0"/>
                <w:strike w:val="0"/>
                <w:dstrike w:val="0"/>
                <w:color w:val="auto"/>
                <w:kern w:val="0"/>
                <w:sz w:val="24"/>
                <w:szCs w:val="24"/>
                <w:highlight w:val="none"/>
                <w:u w:val="none"/>
                <w:lang w:val="en-US" w:eastAsia="zh-CN" w:bidi="ar"/>
              </w:rPr>
              <w:t>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711" w:hRule="atLeast"/>
        </w:trPr>
        <w:tc>
          <w:tcPr>
            <w:tcW w:w="0" w:type="dxa"/>
            <w:vMerge w:val="continue"/>
            <w:tcBorders>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dstrike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strike/>
                <w:dstrike w:val="0"/>
                <w:color w:val="auto"/>
                <w:sz w:val="24"/>
                <w:szCs w:val="24"/>
                <w:highlight w:val="none"/>
                <w:u w:val="none"/>
              </w:rPr>
            </w:pPr>
          </w:p>
        </w:tc>
        <w:tc>
          <w:tcPr>
            <w:tcW w:w="1660"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不按约定时间供货/服务</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kern w:val="0"/>
                <w:sz w:val="24"/>
                <w:szCs w:val="24"/>
                <w:highlight w:val="none"/>
                <w:u w:val="none"/>
                <w:lang w:val="en-US" w:eastAsia="zh-CN" w:bidi="ar"/>
              </w:rPr>
            </w:pPr>
            <w:r>
              <w:rPr>
                <w:rFonts w:hint="eastAsia" w:ascii="宋体" w:hAnsi="宋体" w:eastAsia="宋体" w:cs="宋体"/>
                <w:i w:val="0"/>
                <w:strike w:val="0"/>
                <w:dstrike w:val="0"/>
                <w:color w:val="auto"/>
                <w:kern w:val="0"/>
                <w:sz w:val="24"/>
                <w:szCs w:val="24"/>
                <w:highlight w:val="none"/>
                <w:u w:val="none"/>
                <w:lang w:val="en-US" w:eastAsia="zh-CN" w:bidi="ar"/>
              </w:rPr>
              <w:t>（14021）没有按合同约定计划完成生产，每次扣1分；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（14022）未按计划反馈排产、供货信息，每次扣0.1分，联系两次以上未反馈，每份合同扣1分；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14023）对于需供货商在供应链统一平台填报相关合同履约信息（包括但不限于排产资料确认、排产计划、入产品库、送货通知确认、发货信息填报等），供货商未按要求填报造成电网管理平台业务数据与实际不符的，每份合同扣0.2分；</w:t>
            </w:r>
          </w:p>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14024）因供应商原因造成滞后合同交货期（服务完成期）或承诺交货（服务）函件（以最新交货期为准）要求的交货期（服务完成期），非重点项目每次扣0.2分；重点项目每次扣2分；触发可解除合同的每次扣12分（</w:t>
            </w:r>
            <w:r>
              <w:rPr>
                <w:rFonts w:hint="eastAsia" w:ascii="宋体" w:hAnsi="宋体" w:eastAsia="宋体" w:cs="宋体"/>
                <w:i w:val="0"/>
                <w:color w:val="auto"/>
                <w:kern w:val="0"/>
                <w:sz w:val="24"/>
                <w:szCs w:val="24"/>
                <w:highlight w:val="none"/>
                <w:u w:val="none"/>
                <w:lang w:val="en-US" w:eastAsia="zh-CN" w:bidi="ar"/>
              </w:rPr>
              <w:t>合同项下物资涉及重点工程的，为★★★事件，为非重点工程的，为★★事件</w:t>
            </w:r>
            <w:r>
              <w:rPr>
                <w:rFonts w:hint="eastAsia" w:ascii="宋体" w:hAnsi="宋体" w:eastAsia="宋体" w:cs="宋体"/>
                <w:i w:val="0"/>
                <w:strike w:val="0"/>
                <w:dstrike w:val="0"/>
                <w:color w:val="auto"/>
                <w:kern w:val="0"/>
                <w:sz w:val="24"/>
                <w:szCs w:val="24"/>
                <w:highlight w:val="none"/>
                <w:u w:val="none"/>
                <w:lang w:val="en-US" w:eastAsia="zh-CN" w:bidi="ar"/>
              </w:rPr>
              <w:t>）；</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（14025）不按照规定时限对退货物资实施运回，每次扣0.5分；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7" w:hRule="atLeast"/>
        </w:trPr>
        <w:tc>
          <w:tcPr>
            <w:tcW w:w="0" w:type="dxa"/>
            <w:vMerge w:val="continue"/>
            <w:tcBorders>
              <w:left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strike/>
                <w:dstrike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strike/>
                <w:dstrike w:val="0"/>
                <w:color w:val="auto"/>
                <w:sz w:val="24"/>
                <w:szCs w:val="24"/>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strike/>
                <w:dstrike w:val="0"/>
                <w:color w:val="auto"/>
                <w:sz w:val="24"/>
                <w:szCs w:val="24"/>
                <w:highlight w:val="none"/>
                <w:u w:val="none"/>
              </w:rPr>
            </w:pP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（仅适用于电子商城供货商）（24021）未按照规定时限（2个工作日）在系统中反馈是否能供货的，每次扣0.001分。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kern w:val="0"/>
                <w:sz w:val="24"/>
                <w:szCs w:val="24"/>
                <w:highlight w:val="none"/>
                <w:u w:val="none"/>
                <w:lang w:val="en-US" w:eastAsia="zh-CN" w:bidi="ar"/>
              </w:rPr>
            </w:pPr>
            <w:r>
              <w:rPr>
                <w:rFonts w:hint="eastAsia" w:ascii="宋体" w:hAnsi="宋体" w:eastAsia="宋体" w:cs="宋体"/>
                <w:b w:val="0"/>
                <w:bCs w:val="0"/>
                <w:strike w:val="0"/>
                <w:dstrike w:val="0"/>
                <w:color w:val="auto"/>
                <w:kern w:val="0"/>
                <w:sz w:val="24"/>
                <w:szCs w:val="24"/>
                <w:highlight w:val="none"/>
                <w:lang w:val="en-US" w:eastAsia="zh-CN" w:bidi="ar"/>
              </w:rPr>
              <w:t>商城运营单位</w:t>
            </w:r>
            <w:r>
              <w:rPr>
                <w:rFonts w:hint="eastAsia" w:ascii="宋体" w:hAnsi="宋体" w:eastAsia="宋体" w:cs="宋体"/>
                <w:i w:val="0"/>
                <w:strike w:val="0"/>
                <w:dstrike w:val="0"/>
                <w:color w:val="auto"/>
                <w:kern w:val="0"/>
                <w:sz w:val="24"/>
                <w:szCs w:val="24"/>
                <w:highlight w:val="none"/>
                <w:u w:val="none"/>
                <w:lang w:val="en-US" w:eastAsia="zh-CN" w:bidi="ar"/>
              </w:rPr>
              <w:t>扣分工作人员、</w:t>
            </w:r>
          </w:p>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商城使用主体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9" w:hRule="atLeast"/>
        </w:trPr>
        <w:tc>
          <w:tcPr>
            <w:tcW w:w="0" w:type="dxa"/>
            <w:vMerge w:val="continue"/>
            <w:tcBorders>
              <w:left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strike/>
                <w:dstrike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strike/>
                <w:dstrike w:val="0"/>
                <w:color w:val="auto"/>
                <w:sz w:val="24"/>
                <w:szCs w:val="24"/>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strike/>
                <w:dstrike w:val="0"/>
                <w:color w:val="auto"/>
                <w:sz w:val="24"/>
                <w:szCs w:val="24"/>
                <w:highlight w:val="none"/>
                <w:u w:val="none"/>
              </w:rPr>
            </w:pP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（仅适用于电子商城供货商）（24022）因供货商原因造成超过货物配送及服务时限（VI定制的货物以用户与供应商协商的发货时间为准），超过配送时限15天送达的，每次扣0.01分；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kern w:val="0"/>
                <w:sz w:val="24"/>
                <w:szCs w:val="24"/>
                <w:highlight w:val="none"/>
                <w:u w:val="none"/>
                <w:lang w:val="en-US" w:eastAsia="zh-CN" w:bidi="ar"/>
              </w:rPr>
            </w:pPr>
            <w:r>
              <w:rPr>
                <w:rFonts w:hint="eastAsia" w:ascii="宋体" w:hAnsi="宋体" w:eastAsia="宋体" w:cs="宋体"/>
                <w:b w:val="0"/>
                <w:bCs w:val="0"/>
                <w:strike w:val="0"/>
                <w:dstrike w:val="0"/>
                <w:color w:val="auto"/>
                <w:kern w:val="0"/>
                <w:sz w:val="24"/>
                <w:szCs w:val="24"/>
                <w:highlight w:val="none"/>
                <w:lang w:val="en-US" w:eastAsia="zh-CN" w:bidi="ar"/>
              </w:rPr>
              <w:t>商城运营单位</w:t>
            </w:r>
            <w:r>
              <w:rPr>
                <w:rFonts w:hint="eastAsia" w:ascii="宋体" w:hAnsi="宋体" w:eastAsia="宋体" w:cs="宋体"/>
                <w:i w:val="0"/>
                <w:strike w:val="0"/>
                <w:dstrike w:val="0"/>
                <w:color w:val="auto"/>
                <w:kern w:val="0"/>
                <w:sz w:val="24"/>
                <w:szCs w:val="24"/>
                <w:highlight w:val="none"/>
                <w:u w:val="none"/>
                <w:lang w:val="en-US" w:eastAsia="zh-CN" w:bidi="ar"/>
              </w:rPr>
              <w:t>扣分工作人员、</w:t>
            </w:r>
          </w:p>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商城使用主体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9" w:hRule="atLeast"/>
        </w:trPr>
        <w:tc>
          <w:tcPr>
            <w:tcW w:w="0" w:type="dxa"/>
            <w:vMerge w:val="continue"/>
            <w:tcBorders>
              <w:left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strike/>
                <w:dstrike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strike/>
                <w:dstrike w:val="0"/>
                <w:color w:val="auto"/>
                <w:sz w:val="24"/>
                <w:szCs w:val="24"/>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strike/>
                <w:dstrike w:val="0"/>
                <w:color w:val="auto"/>
                <w:sz w:val="24"/>
                <w:szCs w:val="24"/>
                <w:highlight w:val="none"/>
                <w:u w:val="none"/>
              </w:rPr>
            </w:pP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kern w:val="0"/>
                <w:sz w:val="24"/>
                <w:szCs w:val="24"/>
                <w:highlight w:val="none"/>
                <w:u w:val="none"/>
                <w:lang w:val="en-US" w:eastAsia="zh-CN" w:bidi="ar"/>
              </w:rPr>
            </w:pPr>
            <w:r>
              <w:rPr>
                <w:rFonts w:hint="eastAsia" w:ascii="宋体" w:hAnsi="宋体" w:eastAsia="宋体" w:cs="宋体"/>
                <w:i w:val="0"/>
                <w:strike w:val="0"/>
                <w:dstrike w:val="0"/>
                <w:color w:val="auto"/>
                <w:kern w:val="0"/>
                <w:sz w:val="24"/>
                <w:szCs w:val="24"/>
                <w:highlight w:val="none"/>
                <w:u w:val="none"/>
                <w:lang w:val="en-US" w:eastAsia="zh-CN" w:bidi="ar"/>
              </w:rPr>
              <w:t>（仅适用于电子商城供货商）（24023）自电子商城用户发起退换货申请起，超过30天未完成退换货的，每次扣0.05分。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kern w:val="0"/>
                <w:sz w:val="24"/>
                <w:szCs w:val="24"/>
                <w:highlight w:val="none"/>
                <w:u w:val="none"/>
                <w:lang w:val="en-US" w:eastAsia="zh-CN" w:bidi="ar"/>
              </w:rPr>
            </w:pPr>
            <w:r>
              <w:rPr>
                <w:rFonts w:hint="eastAsia" w:ascii="宋体" w:hAnsi="宋体" w:eastAsia="宋体" w:cs="宋体"/>
                <w:b w:val="0"/>
                <w:bCs w:val="0"/>
                <w:strike w:val="0"/>
                <w:dstrike w:val="0"/>
                <w:color w:val="auto"/>
                <w:kern w:val="0"/>
                <w:sz w:val="24"/>
                <w:szCs w:val="24"/>
                <w:highlight w:val="none"/>
                <w:lang w:val="en-US" w:eastAsia="zh-CN" w:bidi="ar"/>
              </w:rPr>
              <w:t>商城运营单位</w:t>
            </w:r>
            <w:r>
              <w:rPr>
                <w:rFonts w:hint="eastAsia" w:ascii="宋体" w:hAnsi="宋体" w:eastAsia="宋体" w:cs="宋体"/>
                <w:i w:val="0"/>
                <w:strike w:val="0"/>
                <w:dstrike w:val="0"/>
                <w:color w:val="auto"/>
                <w:kern w:val="0"/>
                <w:sz w:val="24"/>
                <w:szCs w:val="24"/>
                <w:highlight w:val="none"/>
                <w:u w:val="none"/>
                <w:lang w:val="en-US" w:eastAsia="zh-CN" w:bidi="ar"/>
              </w:rPr>
              <w:t>扣分工作人员、</w:t>
            </w:r>
          </w:p>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b w:val="0"/>
                <w:bCs w:val="0"/>
                <w:strike w:val="0"/>
                <w:dstrike w:val="0"/>
                <w:color w:val="auto"/>
                <w:kern w:val="0"/>
                <w:sz w:val="24"/>
                <w:szCs w:val="24"/>
                <w:highlight w:val="none"/>
                <w:u w:val="none"/>
                <w:lang w:val="en-US" w:eastAsia="zh-CN" w:bidi="ar"/>
              </w:rPr>
            </w:pPr>
            <w:r>
              <w:rPr>
                <w:rFonts w:hint="eastAsia" w:ascii="宋体" w:hAnsi="宋体" w:eastAsia="宋体" w:cs="宋体"/>
                <w:i w:val="0"/>
                <w:strike w:val="0"/>
                <w:dstrike w:val="0"/>
                <w:color w:val="auto"/>
                <w:kern w:val="0"/>
                <w:sz w:val="24"/>
                <w:szCs w:val="24"/>
                <w:highlight w:val="none"/>
                <w:u w:val="none"/>
                <w:lang w:val="en-US" w:eastAsia="zh-CN" w:bidi="ar"/>
              </w:rPr>
              <w:t>商城使用主体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51" w:hRule="atLeast"/>
        </w:trPr>
        <w:tc>
          <w:tcPr>
            <w:tcW w:w="0" w:type="dxa"/>
            <w:vMerge w:val="continue"/>
            <w:tcBorders>
              <w:left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strike/>
                <w:dstrike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strike/>
                <w:dstrike w:val="0"/>
                <w:color w:val="auto"/>
                <w:sz w:val="24"/>
                <w:szCs w:val="24"/>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strike/>
                <w:dstrike w:val="0"/>
                <w:color w:val="auto"/>
                <w:sz w:val="24"/>
                <w:szCs w:val="24"/>
                <w:highlight w:val="none"/>
                <w:u w:val="none"/>
              </w:rPr>
            </w:pP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（仅适用于电子商城供货商）（24024）商品长期低库存，或指定商品未按约定上架销售，或</w:t>
            </w:r>
            <w:r>
              <w:rPr>
                <w:rFonts w:hint="default" w:ascii="宋体" w:hAnsi="宋体" w:eastAsia="宋体" w:cs="宋体"/>
                <w:i w:val="0"/>
                <w:strike w:val="0"/>
                <w:dstrike w:val="0"/>
                <w:color w:val="auto"/>
                <w:kern w:val="0"/>
                <w:sz w:val="24"/>
                <w:szCs w:val="24"/>
                <w:highlight w:val="none"/>
                <w:u w:val="none"/>
                <w:lang w:val="en-US" w:eastAsia="zh-CN" w:bidi="ar"/>
              </w:rPr>
              <w:t>提供物流虚假信息影响用户</w:t>
            </w:r>
            <w:r>
              <w:rPr>
                <w:rFonts w:hint="eastAsia" w:ascii="宋体" w:hAnsi="宋体" w:eastAsia="宋体" w:cs="宋体"/>
                <w:i w:val="0"/>
                <w:strike w:val="0"/>
                <w:dstrike w:val="0"/>
                <w:color w:val="auto"/>
                <w:kern w:val="0"/>
                <w:sz w:val="24"/>
                <w:szCs w:val="24"/>
                <w:highlight w:val="none"/>
                <w:u w:val="none"/>
                <w:lang w:val="en-US" w:eastAsia="zh-CN" w:bidi="ar"/>
              </w:rPr>
              <w:t>正常采购的，</w:t>
            </w:r>
            <w:r>
              <w:rPr>
                <w:rFonts w:hint="default" w:ascii="宋体" w:hAnsi="宋体" w:eastAsia="宋体" w:cs="宋体"/>
                <w:i w:val="0"/>
                <w:strike w:val="0"/>
                <w:dstrike w:val="0"/>
                <w:color w:val="auto"/>
                <w:kern w:val="0"/>
                <w:sz w:val="24"/>
                <w:szCs w:val="24"/>
                <w:highlight w:val="none"/>
                <w:u w:val="none"/>
                <w:lang w:val="en-US" w:eastAsia="zh-CN" w:bidi="ar"/>
              </w:rPr>
              <w:t>经查实每次扣0.</w:t>
            </w:r>
            <w:r>
              <w:rPr>
                <w:rFonts w:hint="eastAsia" w:ascii="宋体" w:hAnsi="宋体" w:eastAsia="宋体" w:cs="宋体"/>
                <w:i w:val="0"/>
                <w:strike w:val="0"/>
                <w:dstrike w:val="0"/>
                <w:color w:val="auto"/>
                <w:kern w:val="0"/>
                <w:sz w:val="24"/>
                <w:szCs w:val="24"/>
                <w:highlight w:val="none"/>
                <w:u w:val="none"/>
                <w:lang w:val="en-US" w:eastAsia="zh-CN" w:bidi="ar"/>
              </w:rPr>
              <w:t>5</w:t>
            </w:r>
            <w:r>
              <w:rPr>
                <w:rFonts w:hint="default" w:ascii="宋体" w:hAnsi="宋体" w:eastAsia="宋体" w:cs="宋体"/>
                <w:i w:val="0"/>
                <w:strike w:val="0"/>
                <w:dstrike w:val="0"/>
                <w:color w:val="auto"/>
                <w:kern w:val="0"/>
                <w:sz w:val="24"/>
                <w:szCs w:val="24"/>
                <w:highlight w:val="none"/>
                <w:u w:val="none"/>
                <w:lang w:val="en-US" w:eastAsia="zh-CN" w:bidi="ar"/>
              </w:rPr>
              <w:t>分</w:t>
            </w:r>
            <w:r>
              <w:rPr>
                <w:rFonts w:hint="eastAsia" w:ascii="宋体" w:hAnsi="宋体" w:eastAsia="宋体" w:cs="宋体"/>
                <w:i w:val="0"/>
                <w:strike w:val="0"/>
                <w:dstrike w:val="0"/>
                <w:color w:val="auto"/>
                <w:kern w:val="0"/>
                <w:sz w:val="24"/>
                <w:szCs w:val="24"/>
                <w:highlight w:val="none"/>
                <w:u w:val="none"/>
                <w:lang w:val="en-US" w:eastAsia="zh-CN" w:bidi="ar"/>
              </w:rPr>
              <w:t>。</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kern w:val="0"/>
                <w:sz w:val="24"/>
                <w:szCs w:val="24"/>
                <w:highlight w:val="none"/>
                <w:u w:val="none"/>
                <w:lang w:val="en-US" w:eastAsia="zh-CN" w:bidi="ar"/>
              </w:rPr>
            </w:pPr>
            <w:r>
              <w:rPr>
                <w:rFonts w:hint="eastAsia" w:ascii="宋体" w:hAnsi="宋体" w:eastAsia="宋体" w:cs="宋体"/>
                <w:b w:val="0"/>
                <w:bCs w:val="0"/>
                <w:strike w:val="0"/>
                <w:dstrike w:val="0"/>
                <w:color w:val="auto"/>
                <w:kern w:val="0"/>
                <w:sz w:val="24"/>
                <w:szCs w:val="24"/>
                <w:highlight w:val="none"/>
                <w:lang w:val="en-US" w:eastAsia="zh-CN" w:bidi="ar"/>
              </w:rPr>
              <w:t>商城运营单位</w:t>
            </w:r>
            <w:r>
              <w:rPr>
                <w:rFonts w:hint="eastAsia" w:ascii="宋体" w:hAnsi="宋体" w:eastAsia="宋体" w:cs="宋体"/>
                <w:i w:val="0"/>
                <w:strike w:val="0"/>
                <w:dstrike w:val="0"/>
                <w:color w:val="auto"/>
                <w:kern w:val="0"/>
                <w:sz w:val="24"/>
                <w:szCs w:val="24"/>
                <w:highlight w:val="none"/>
                <w:u w:val="none"/>
                <w:lang w:val="en-US" w:eastAsia="zh-CN" w:bidi="ar"/>
              </w:rPr>
              <w:t>扣分工作人员、</w:t>
            </w:r>
          </w:p>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商城使用主体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0" w:type="dxa"/>
            <w:vMerge w:val="continue"/>
            <w:tcBorders>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1660"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不按合同约定方式运输</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（14031）供应商不按约定运输的，配网物资及主网材料类物资每次扣0.5分；主网设备类物资首次扣1分，仍不按要求整改的，每出一次整改通知扣1分；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5" w:hRule="atLeast"/>
        </w:trPr>
        <w:tc>
          <w:tcPr>
            <w:tcW w:w="0" w:type="dxa"/>
            <w:vMerge w:val="continue"/>
            <w:tcBorders>
              <w:left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（仅适用于电子商城供货商）（24031）电子商城供货商不按规范包装、运输，每次扣0.01分。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kern w:val="0"/>
                <w:sz w:val="24"/>
                <w:szCs w:val="24"/>
                <w:highlight w:val="none"/>
                <w:u w:val="none"/>
                <w:lang w:val="en-US" w:eastAsia="zh-CN" w:bidi="ar"/>
              </w:rPr>
            </w:pPr>
            <w:r>
              <w:rPr>
                <w:rFonts w:hint="eastAsia" w:ascii="宋体" w:hAnsi="宋体" w:eastAsia="宋体" w:cs="宋体"/>
                <w:b w:val="0"/>
                <w:bCs w:val="0"/>
                <w:strike w:val="0"/>
                <w:dstrike w:val="0"/>
                <w:color w:val="auto"/>
                <w:kern w:val="0"/>
                <w:sz w:val="24"/>
                <w:szCs w:val="24"/>
                <w:highlight w:val="none"/>
                <w:lang w:val="en-US" w:eastAsia="zh-CN" w:bidi="ar"/>
              </w:rPr>
              <w:t>商城运营单位</w:t>
            </w:r>
            <w:r>
              <w:rPr>
                <w:rFonts w:hint="eastAsia" w:ascii="宋体" w:hAnsi="宋体" w:eastAsia="宋体" w:cs="宋体"/>
                <w:i w:val="0"/>
                <w:strike w:val="0"/>
                <w:dstrike w:val="0"/>
                <w:color w:val="auto"/>
                <w:kern w:val="0"/>
                <w:sz w:val="24"/>
                <w:szCs w:val="24"/>
                <w:highlight w:val="none"/>
                <w:u w:val="none"/>
                <w:lang w:val="en-US" w:eastAsia="zh-CN" w:bidi="ar"/>
              </w:rPr>
              <w:t>扣分工作人员、</w:t>
            </w:r>
          </w:p>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商城使用主体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0" w:type="dxa"/>
            <w:vMerge w:val="continue"/>
            <w:tcBorders>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166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违规转包分包</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（14041）未按合同约定，存在违规分包行为的，每次扣6分；存在转包行为的，每次扣12分。（★★★）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5" w:hRule="atLeast"/>
        </w:trPr>
        <w:tc>
          <w:tcPr>
            <w:tcW w:w="0" w:type="dxa"/>
            <w:vMerge w:val="continue"/>
            <w:tcBorders>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strike w:val="0"/>
                <w:dstrike w:val="0"/>
                <w:color w:val="auto"/>
                <w:sz w:val="24"/>
                <w:szCs w:val="24"/>
                <w:highlight w:val="none"/>
                <w:u w:val="none"/>
              </w:rPr>
            </w:pPr>
          </w:p>
        </w:tc>
        <w:tc>
          <w:tcPr>
            <w:tcW w:w="166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不按要求提交履约保证金</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（14051）不按时提交履约保证金/履约保函，每次扣0.1分；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（14052）拒绝按照合同约定提交履约保证金/履约保函，每次扣2分。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5" w:hRule="atLeast"/>
        </w:trPr>
        <w:tc>
          <w:tcPr>
            <w:tcW w:w="0" w:type="dxa"/>
            <w:vMerge w:val="continue"/>
            <w:tcBorders>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strike w:val="0"/>
                <w:dstrike w:val="0"/>
                <w:color w:val="auto"/>
                <w:sz w:val="24"/>
                <w:szCs w:val="24"/>
                <w:highlight w:val="none"/>
                <w:u w:val="none"/>
              </w:rPr>
            </w:pPr>
          </w:p>
        </w:tc>
        <w:tc>
          <w:tcPr>
            <w:tcW w:w="166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不按合同约定的价格供货/服务</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（仅适用于电子商城供货商）（24061）电子商城商品价格违反《采购协议》约定折扣率或指定商品价格的，每件商品扣0.01分；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b w:val="0"/>
                <w:bCs w:val="0"/>
                <w:strike w:val="0"/>
                <w:dstrike w:val="0"/>
                <w:color w:val="auto"/>
                <w:kern w:val="0"/>
                <w:sz w:val="24"/>
                <w:szCs w:val="24"/>
                <w:highlight w:val="none"/>
                <w:lang w:val="en-US" w:eastAsia="zh-CN" w:bidi="ar"/>
              </w:rPr>
              <w:t>商城运营单位</w:t>
            </w:r>
            <w:r>
              <w:rPr>
                <w:rFonts w:hint="eastAsia" w:ascii="宋体" w:hAnsi="宋体" w:eastAsia="宋体" w:cs="宋体"/>
                <w:i w:val="0"/>
                <w:strike w:val="0"/>
                <w:dstrike w:val="0"/>
                <w:color w:val="auto"/>
                <w:kern w:val="0"/>
                <w:sz w:val="24"/>
                <w:szCs w:val="24"/>
                <w:highlight w:val="none"/>
                <w:u w:val="none"/>
                <w:lang w:val="en-US" w:eastAsia="zh-CN" w:bidi="ar"/>
              </w:rPr>
              <w:t>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40" w:hRule="atLeast"/>
        </w:trPr>
        <w:tc>
          <w:tcPr>
            <w:tcW w:w="0" w:type="dxa"/>
            <w:vMerge w:val="continue"/>
            <w:tcBorders>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strike w:val="0"/>
                <w:dstrike w:val="0"/>
                <w:color w:val="auto"/>
                <w:sz w:val="24"/>
                <w:szCs w:val="24"/>
                <w:highlight w:val="none"/>
                <w:u w:val="none"/>
              </w:rPr>
            </w:pPr>
          </w:p>
        </w:tc>
        <w:tc>
          <w:tcPr>
            <w:tcW w:w="1660"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不按合同约定提供发票</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（14071）不按规定时限对合同退货物资提交冲红发票，每次扣0.5分；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（14072）没有及时提供支付变更信息，影响货款支付，每次扣0.5分；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（14073）到货或服务验收合格后，不及时提供发票，每次扣1分；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（14074）提供虚假发票，每次扣12分；（★）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39" w:hRule="atLeast"/>
        </w:trPr>
        <w:tc>
          <w:tcPr>
            <w:tcW w:w="0" w:type="dxa"/>
            <w:vMerge w:val="continue"/>
            <w:tcBorders>
              <w:left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strike w:val="0"/>
                <w:dstrike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strike w:val="0"/>
                <w:dstrike w:val="0"/>
                <w:color w:val="auto"/>
                <w:sz w:val="24"/>
                <w:szCs w:val="24"/>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strike w:val="0"/>
                <w:dstrike w:val="0"/>
                <w:color w:val="auto"/>
                <w:sz w:val="24"/>
                <w:szCs w:val="24"/>
                <w:highlight w:val="none"/>
                <w:u w:val="none"/>
              </w:rPr>
            </w:pP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（仅适用于电子商城供货商）（24071）不按规定时限对合同退货物资提交冲红发票，每次扣0.01分；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kern w:val="0"/>
                <w:sz w:val="24"/>
                <w:szCs w:val="24"/>
                <w:highlight w:val="none"/>
                <w:u w:val="none"/>
                <w:lang w:val="en-US" w:eastAsia="zh-CN" w:bidi="ar"/>
              </w:rPr>
            </w:pPr>
            <w:r>
              <w:rPr>
                <w:rFonts w:hint="eastAsia" w:ascii="宋体" w:hAnsi="宋体" w:eastAsia="宋体" w:cs="宋体"/>
                <w:b w:val="0"/>
                <w:bCs w:val="0"/>
                <w:strike w:val="0"/>
                <w:dstrike w:val="0"/>
                <w:color w:val="auto"/>
                <w:kern w:val="0"/>
                <w:sz w:val="24"/>
                <w:szCs w:val="24"/>
                <w:highlight w:val="none"/>
                <w:lang w:val="en-US" w:eastAsia="zh-CN" w:bidi="ar"/>
              </w:rPr>
              <w:t>商城运营单位</w:t>
            </w:r>
            <w:r>
              <w:rPr>
                <w:rFonts w:hint="eastAsia" w:ascii="宋体" w:hAnsi="宋体" w:eastAsia="宋体" w:cs="宋体"/>
                <w:i w:val="0"/>
                <w:strike w:val="0"/>
                <w:dstrike w:val="0"/>
                <w:color w:val="auto"/>
                <w:kern w:val="0"/>
                <w:sz w:val="24"/>
                <w:szCs w:val="24"/>
                <w:highlight w:val="none"/>
                <w:u w:val="none"/>
                <w:lang w:val="en-US" w:eastAsia="zh-CN" w:bidi="ar"/>
              </w:rPr>
              <w:t>扣分工作人员、</w:t>
            </w:r>
          </w:p>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商城使用主体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0" w:type="dxa"/>
            <w:vMerge w:val="continue"/>
            <w:tcBorders>
              <w:left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strike w:val="0"/>
                <w:dstrike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strike w:val="0"/>
                <w:dstrike w:val="0"/>
                <w:color w:val="auto"/>
                <w:sz w:val="24"/>
                <w:szCs w:val="24"/>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strike w:val="0"/>
                <w:dstrike w:val="0"/>
                <w:color w:val="auto"/>
                <w:sz w:val="24"/>
                <w:szCs w:val="24"/>
                <w:highlight w:val="none"/>
                <w:u w:val="none"/>
              </w:rPr>
            </w:pP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（仅适用于电子商城供货商）（24072）自电子商城用户发起开票申请之日起，超过7日，未按要求开具发票或未更新系统开票状态的，每次扣0.01分。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kern w:val="0"/>
                <w:sz w:val="24"/>
                <w:szCs w:val="24"/>
                <w:highlight w:val="none"/>
                <w:u w:val="none"/>
                <w:lang w:val="en-US" w:eastAsia="zh-CN" w:bidi="ar"/>
              </w:rPr>
            </w:pPr>
            <w:r>
              <w:rPr>
                <w:rFonts w:hint="eastAsia" w:ascii="宋体" w:hAnsi="宋体" w:eastAsia="宋体" w:cs="宋体"/>
                <w:b w:val="0"/>
                <w:bCs w:val="0"/>
                <w:strike w:val="0"/>
                <w:dstrike w:val="0"/>
                <w:color w:val="auto"/>
                <w:kern w:val="0"/>
                <w:sz w:val="24"/>
                <w:szCs w:val="24"/>
                <w:highlight w:val="none"/>
                <w:lang w:val="en-US" w:eastAsia="zh-CN" w:bidi="ar"/>
              </w:rPr>
              <w:t>商城运营单位</w:t>
            </w:r>
            <w:r>
              <w:rPr>
                <w:rFonts w:hint="eastAsia" w:ascii="宋体" w:hAnsi="宋体" w:eastAsia="宋体" w:cs="宋体"/>
                <w:i w:val="0"/>
                <w:strike w:val="0"/>
                <w:dstrike w:val="0"/>
                <w:color w:val="auto"/>
                <w:kern w:val="0"/>
                <w:sz w:val="24"/>
                <w:szCs w:val="24"/>
                <w:highlight w:val="none"/>
                <w:u w:val="none"/>
                <w:lang w:val="en-US" w:eastAsia="zh-CN" w:bidi="ar"/>
              </w:rPr>
              <w:t>扣分工作人员、</w:t>
            </w:r>
          </w:p>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商城使用主体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52" w:hRule="atLeast"/>
        </w:trPr>
        <w:tc>
          <w:tcPr>
            <w:tcW w:w="0" w:type="dxa"/>
            <w:vMerge w:val="continue"/>
            <w:tcBorders>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strike w:val="0"/>
                <w:dstrike w:val="0"/>
                <w:color w:val="auto"/>
                <w:sz w:val="24"/>
                <w:szCs w:val="24"/>
                <w:highlight w:val="none"/>
                <w:u w:val="none"/>
              </w:rPr>
            </w:pPr>
          </w:p>
        </w:tc>
        <w:tc>
          <w:tcPr>
            <w:tcW w:w="166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不按合同约定提供退款赔偿</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（14081）严重拖欠应当退还、补偿、赔偿买方的钱款的，每次扣1分；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（14082）《收费通知单》发出后，未在5个工作日内交纳采购代理服务费，每次扣1分。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1" w:hRule="atLeast"/>
        </w:trPr>
        <w:tc>
          <w:tcPr>
            <w:tcW w:w="0" w:type="dxa"/>
            <w:vMerge w:val="continue"/>
            <w:tcBorders>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1660"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供货/服务质量不合格</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kern w:val="0"/>
                <w:sz w:val="24"/>
                <w:szCs w:val="24"/>
                <w:highlight w:val="none"/>
                <w:u w:val="none"/>
                <w:lang w:val="en-US" w:eastAsia="zh-CN" w:bidi="ar"/>
              </w:rPr>
            </w:pPr>
            <w:r>
              <w:rPr>
                <w:rFonts w:hint="eastAsia" w:ascii="宋体" w:hAnsi="宋体" w:eastAsia="宋体" w:cs="宋体"/>
                <w:i w:val="0"/>
                <w:strike w:val="0"/>
                <w:dstrike w:val="0"/>
                <w:color w:val="auto"/>
                <w:kern w:val="0"/>
                <w:sz w:val="24"/>
                <w:szCs w:val="24"/>
                <w:highlight w:val="none"/>
                <w:u w:val="none"/>
                <w:lang w:val="en-US" w:eastAsia="zh-CN" w:bidi="ar"/>
              </w:rPr>
              <w:t>（14091）</w:t>
            </w:r>
            <w:r>
              <w:rPr>
                <w:rFonts w:hint="eastAsia" w:ascii="宋体" w:hAnsi="宋体" w:eastAsia="宋体" w:cs="宋体"/>
                <w:kern w:val="0"/>
                <w:sz w:val="24"/>
                <w:highlight w:val="none"/>
                <w:lang w:bidi="ar"/>
              </w:rPr>
              <w:t>单个物资合同对应设备、材料在</w:t>
            </w:r>
            <w:r>
              <w:rPr>
                <w:rFonts w:hint="eastAsia" w:ascii="宋体" w:hAnsi="宋体" w:eastAsia="宋体" w:cs="宋体"/>
                <w:i w:val="0"/>
                <w:strike w:val="0"/>
                <w:dstrike w:val="0"/>
                <w:color w:val="auto"/>
                <w:kern w:val="0"/>
                <w:sz w:val="24"/>
                <w:szCs w:val="24"/>
                <w:highlight w:val="none"/>
                <w:u w:val="none"/>
                <w:lang w:val="en-US" w:eastAsia="zh-CN" w:bidi="ar"/>
              </w:rPr>
              <w:t>监造中发现缺陷，监造总结报告确认存在A类缺陷扣1.5分,不存在A类缺陷但存在B类缺陷扣1分，仅存在C类缺陷扣0.2分；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（14092）同一设备出厂试验2次未通过，扣2.5分；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（14093）到货抽检不合格，检测报告确认存在A类缺陷扣2.5分，不存在A类缺陷但存在B类缺陷扣1.5分，仅存在C类缺陷扣0.2分；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（14094）到货验收不合格，每次扣0.5分；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（14095）安装、调试、交接试验不合格，每次扣0.5分；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（14096）提供产品、服务质量严重不符合采购文件载明规范要求，降低产品设计标准、偷工减料，或在生产制造过程中使用伪劣原材料、组部件以次充好的，每次扣12分；（★★★）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（14097）其他无法按照合同约定的技术参数、零部件供货的，每项扣0.5分；</w:t>
            </w:r>
          </w:p>
          <w:p>
            <w:pPr>
              <w:jc w:val="left"/>
              <w:textAlignment w:val="center"/>
              <w:rPr>
                <w:rFonts w:ascii="宋体" w:hAnsi="宋体" w:eastAsia="宋体" w:cs="宋体"/>
                <w:kern w:val="0"/>
                <w:sz w:val="24"/>
                <w:highlight w:val="none"/>
                <w:lang w:bidi="ar"/>
              </w:rPr>
            </w:pPr>
            <w:r>
              <w:rPr>
                <w:rFonts w:hint="eastAsia" w:ascii="宋体" w:hAnsi="宋体" w:eastAsia="宋体" w:cs="宋体"/>
                <w:kern w:val="0"/>
                <w:sz w:val="24"/>
                <w:highlight w:val="none"/>
                <w:lang w:bidi="ar"/>
              </w:rPr>
              <w:t>（1</w:t>
            </w:r>
            <w:r>
              <w:rPr>
                <w:rFonts w:hint="eastAsia" w:ascii="宋体" w:hAnsi="宋体" w:eastAsia="宋体" w:cs="宋体"/>
                <w:kern w:val="0"/>
                <w:sz w:val="24"/>
                <w:highlight w:val="none"/>
                <w:lang w:val="en-US" w:eastAsia="zh-CN" w:bidi="ar"/>
              </w:rPr>
              <w:t>4</w:t>
            </w:r>
            <w:r>
              <w:rPr>
                <w:rFonts w:ascii="宋体" w:hAnsi="宋体" w:eastAsia="宋体" w:cs="宋体"/>
                <w:kern w:val="0"/>
                <w:sz w:val="24"/>
                <w:highlight w:val="none"/>
                <w:lang w:bidi="ar"/>
              </w:rPr>
              <w:t>098</w:t>
            </w:r>
            <w:r>
              <w:rPr>
                <w:rFonts w:hint="eastAsia" w:ascii="宋体" w:hAnsi="宋体" w:eastAsia="宋体" w:cs="宋体"/>
                <w:kern w:val="0"/>
                <w:sz w:val="24"/>
                <w:highlight w:val="none"/>
                <w:lang w:bidi="ar"/>
              </w:rPr>
              <w:t>）检测服务商正式出具的检测报告存在弄虚作假或擅自更换检测样品，监造服务商发现缺陷恶意瞒报，每次扣1</w:t>
            </w:r>
            <w:r>
              <w:rPr>
                <w:rFonts w:ascii="宋体" w:hAnsi="宋体" w:eastAsia="宋体" w:cs="宋体"/>
                <w:kern w:val="0"/>
                <w:sz w:val="24"/>
                <w:highlight w:val="none"/>
                <w:lang w:bidi="ar"/>
              </w:rPr>
              <w:t>2</w:t>
            </w:r>
            <w:r>
              <w:rPr>
                <w:rFonts w:hint="eastAsia" w:ascii="宋体" w:hAnsi="宋体" w:eastAsia="宋体" w:cs="宋体"/>
                <w:kern w:val="0"/>
                <w:sz w:val="24"/>
                <w:highlight w:val="none"/>
                <w:lang w:bidi="ar"/>
              </w:rPr>
              <w:t>分；（★★）</w:t>
            </w:r>
          </w:p>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kern w:val="0"/>
                <w:sz w:val="24"/>
                <w:szCs w:val="24"/>
                <w:highlight w:val="none"/>
                <w:u w:val="none"/>
                <w:lang w:val="en-US" w:eastAsia="zh-CN" w:bidi="ar"/>
              </w:rPr>
            </w:pPr>
            <w:r>
              <w:rPr>
                <w:rFonts w:hint="eastAsia" w:ascii="宋体" w:hAnsi="宋体" w:eastAsia="宋体" w:cs="宋体"/>
                <w:kern w:val="0"/>
                <w:sz w:val="24"/>
                <w:highlight w:val="none"/>
                <w:lang w:bidi="ar"/>
              </w:rPr>
              <w:t>（1</w:t>
            </w:r>
            <w:r>
              <w:rPr>
                <w:rFonts w:hint="eastAsia" w:ascii="宋体" w:hAnsi="宋体" w:eastAsia="宋体" w:cs="宋体"/>
                <w:kern w:val="0"/>
                <w:sz w:val="24"/>
                <w:highlight w:val="none"/>
                <w:lang w:val="en-US" w:eastAsia="zh-CN" w:bidi="ar"/>
              </w:rPr>
              <w:t>4</w:t>
            </w:r>
            <w:r>
              <w:rPr>
                <w:rFonts w:ascii="宋体" w:hAnsi="宋体" w:eastAsia="宋体" w:cs="宋体"/>
                <w:kern w:val="0"/>
                <w:sz w:val="24"/>
                <w:highlight w:val="none"/>
                <w:lang w:bidi="ar"/>
              </w:rPr>
              <w:t>099</w:t>
            </w:r>
            <w:r>
              <w:rPr>
                <w:rFonts w:hint="eastAsia" w:ascii="宋体" w:hAnsi="宋体" w:eastAsia="宋体" w:cs="宋体"/>
                <w:kern w:val="0"/>
                <w:sz w:val="24"/>
                <w:highlight w:val="none"/>
                <w:lang w:bidi="ar"/>
              </w:rPr>
              <w:t>）检测服务商正式出具的检测报告存在质量问题、检测作业不符合标准规定、检测数据结论存在明显错误，监造服务商不按标准开展作业、见证结论出现明显错误等，每次扣2分</w:t>
            </w:r>
            <w:r>
              <w:rPr>
                <w:rFonts w:hint="eastAsia" w:ascii="宋体" w:hAnsi="宋体" w:eastAsia="宋体" w:cs="宋体"/>
                <w:kern w:val="0"/>
                <w:sz w:val="24"/>
                <w:highlight w:val="none"/>
                <w:lang w:eastAsia="zh-CN" w:bidi="ar"/>
              </w:rPr>
              <w:t>。</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0" w:type="dxa"/>
            <w:vMerge w:val="continue"/>
            <w:tcBorders>
              <w:left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（仅适用于电子商城供货商）（24091）电子商城货物到货验收不合格的，每次扣0.01分；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kern w:val="0"/>
                <w:sz w:val="24"/>
                <w:szCs w:val="24"/>
                <w:highlight w:val="none"/>
                <w:u w:val="none"/>
                <w:lang w:val="en-US" w:eastAsia="zh-CN" w:bidi="ar"/>
              </w:rPr>
            </w:pPr>
            <w:r>
              <w:rPr>
                <w:rFonts w:hint="eastAsia" w:ascii="宋体" w:hAnsi="宋体" w:eastAsia="宋体" w:cs="宋体"/>
                <w:b w:val="0"/>
                <w:bCs w:val="0"/>
                <w:strike w:val="0"/>
                <w:dstrike w:val="0"/>
                <w:color w:val="auto"/>
                <w:kern w:val="0"/>
                <w:sz w:val="24"/>
                <w:szCs w:val="24"/>
                <w:highlight w:val="none"/>
                <w:lang w:val="en-US" w:eastAsia="zh-CN" w:bidi="ar"/>
              </w:rPr>
              <w:t>商城运营单位</w:t>
            </w:r>
            <w:r>
              <w:rPr>
                <w:rFonts w:hint="eastAsia" w:ascii="宋体" w:hAnsi="宋体" w:eastAsia="宋体" w:cs="宋体"/>
                <w:i w:val="0"/>
                <w:strike w:val="0"/>
                <w:dstrike w:val="0"/>
                <w:color w:val="auto"/>
                <w:kern w:val="0"/>
                <w:sz w:val="24"/>
                <w:szCs w:val="24"/>
                <w:highlight w:val="none"/>
                <w:u w:val="none"/>
                <w:lang w:val="en-US" w:eastAsia="zh-CN" w:bidi="ar"/>
              </w:rPr>
              <w:t>扣分工作人员、</w:t>
            </w:r>
          </w:p>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商城使用主体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0" w:type="dxa"/>
            <w:vMerge w:val="continue"/>
            <w:tcBorders>
              <w:left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（仅适用于电子商城供货商）（24092）经国家认可的质量检测机构鉴定，认定供货商提供假冒伪劣产品的，每次扣12分；（★★★）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kern w:val="0"/>
                <w:sz w:val="24"/>
                <w:szCs w:val="24"/>
                <w:highlight w:val="none"/>
                <w:u w:val="none"/>
                <w:lang w:val="en-US" w:eastAsia="zh-CN" w:bidi="ar"/>
              </w:rPr>
            </w:pPr>
            <w:r>
              <w:rPr>
                <w:rFonts w:hint="eastAsia" w:ascii="宋体" w:hAnsi="宋体" w:eastAsia="宋体" w:cs="宋体"/>
                <w:b w:val="0"/>
                <w:bCs w:val="0"/>
                <w:strike w:val="0"/>
                <w:dstrike w:val="0"/>
                <w:color w:val="auto"/>
                <w:kern w:val="0"/>
                <w:sz w:val="24"/>
                <w:szCs w:val="24"/>
                <w:highlight w:val="none"/>
                <w:lang w:val="en-US" w:eastAsia="zh-CN" w:bidi="ar"/>
              </w:rPr>
              <w:t>商城运营单位</w:t>
            </w:r>
            <w:r>
              <w:rPr>
                <w:rFonts w:hint="eastAsia" w:ascii="宋体" w:hAnsi="宋体" w:eastAsia="宋体" w:cs="宋体"/>
                <w:i w:val="0"/>
                <w:strike w:val="0"/>
                <w:dstrike w:val="0"/>
                <w:color w:val="auto"/>
                <w:kern w:val="0"/>
                <w:sz w:val="24"/>
                <w:szCs w:val="24"/>
                <w:highlight w:val="none"/>
                <w:u w:val="none"/>
                <w:lang w:val="en-US" w:eastAsia="zh-CN" w:bidi="ar"/>
              </w:rPr>
              <w:t>扣分工作人员、</w:t>
            </w:r>
          </w:p>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商城使用主体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0" w:type="dxa"/>
            <w:vMerge w:val="continue"/>
            <w:tcBorders>
              <w:left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（仅适用于电子商城供货商）（24093）未按照电子商城商品信息/详情页中展示的产品品牌、厂家、技术参数、零部件供货，每次扣0.01分；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kern w:val="0"/>
                <w:sz w:val="24"/>
                <w:szCs w:val="24"/>
                <w:highlight w:val="none"/>
                <w:u w:val="none"/>
                <w:lang w:val="en-US" w:eastAsia="zh-CN" w:bidi="ar"/>
              </w:rPr>
            </w:pPr>
            <w:r>
              <w:rPr>
                <w:rFonts w:hint="eastAsia" w:ascii="宋体" w:hAnsi="宋体" w:eastAsia="宋体" w:cs="宋体"/>
                <w:b w:val="0"/>
                <w:bCs w:val="0"/>
                <w:strike w:val="0"/>
                <w:dstrike w:val="0"/>
                <w:color w:val="auto"/>
                <w:kern w:val="0"/>
                <w:sz w:val="24"/>
                <w:szCs w:val="24"/>
                <w:highlight w:val="none"/>
                <w:lang w:val="en-US" w:eastAsia="zh-CN" w:bidi="ar"/>
              </w:rPr>
              <w:t>商城运营单位</w:t>
            </w:r>
            <w:r>
              <w:rPr>
                <w:rFonts w:hint="eastAsia" w:ascii="宋体" w:hAnsi="宋体" w:eastAsia="宋体" w:cs="宋体"/>
                <w:i w:val="0"/>
                <w:strike w:val="0"/>
                <w:dstrike w:val="0"/>
                <w:color w:val="auto"/>
                <w:kern w:val="0"/>
                <w:sz w:val="24"/>
                <w:szCs w:val="24"/>
                <w:highlight w:val="none"/>
                <w:u w:val="none"/>
                <w:lang w:val="en-US" w:eastAsia="zh-CN" w:bidi="ar"/>
              </w:rPr>
              <w:t>扣分工作人员、</w:t>
            </w:r>
          </w:p>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商城使用主体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47" w:hRule="atLeast"/>
        </w:trPr>
        <w:tc>
          <w:tcPr>
            <w:tcW w:w="0" w:type="dxa"/>
            <w:vMerge w:val="continue"/>
            <w:tcBorders>
              <w:left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（仅适用于电子商城供货商）（24094）擅自线下调换货物，不按照订单供货的，每单扣0.2分。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kern w:val="0"/>
                <w:sz w:val="24"/>
                <w:szCs w:val="24"/>
                <w:highlight w:val="none"/>
                <w:u w:val="none"/>
                <w:lang w:val="en-US" w:eastAsia="zh-CN" w:bidi="ar"/>
              </w:rPr>
            </w:pPr>
            <w:r>
              <w:rPr>
                <w:rFonts w:hint="eastAsia" w:ascii="宋体" w:hAnsi="宋体" w:eastAsia="宋体" w:cs="宋体"/>
                <w:b w:val="0"/>
                <w:bCs w:val="0"/>
                <w:strike w:val="0"/>
                <w:dstrike w:val="0"/>
                <w:color w:val="auto"/>
                <w:kern w:val="0"/>
                <w:sz w:val="24"/>
                <w:szCs w:val="24"/>
                <w:highlight w:val="none"/>
                <w:lang w:val="en-US" w:eastAsia="zh-CN" w:bidi="ar"/>
              </w:rPr>
              <w:t>商城运营单位</w:t>
            </w:r>
            <w:r>
              <w:rPr>
                <w:rFonts w:hint="eastAsia" w:ascii="宋体" w:hAnsi="宋体" w:eastAsia="宋体" w:cs="宋体"/>
                <w:i w:val="0"/>
                <w:strike w:val="0"/>
                <w:dstrike w:val="0"/>
                <w:color w:val="auto"/>
                <w:kern w:val="0"/>
                <w:sz w:val="24"/>
                <w:szCs w:val="24"/>
                <w:highlight w:val="none"/>
                <w:u w:val="none"/>
                <w:lang w:val="en-US" w:eastAsia="zh-CN" w:bidi="ar"/>
              </w:rPr>
              <w:t>扣分工作人员、</w:t>
            </w:r>
          </w:p>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商城使用主体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426" w:hRule="atLeast"/>
        </w:trPr>
        <w:tc>
          <w:tcPr>
            <w:tcW w:w="0" w:type="dxa"/>
            <w:vMerge w:val="continue"/>
            <w:tcBorders>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1660"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dstrike w:val="0"/>
                <w:color w:val="auto"/>
                <w:sz w:val="21"/>
                <w:szCs w:val="21"/>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设备质量引发事故/事件</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（14101）设备质量原因造成电力事故、一级事件，每次扣12分；（★★★）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（14102）设备质量原因造成电力二级事件，每次扣6分；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（14103）设备质量原因造成电力三级事件，每次扣3分；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（14104）设备质量原因造成电力四级事件，每次扣2分；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（14105）设备质量原因造成电力五级事件，每次扣1分；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0" w:type="dxa"/>
            <w:vMerge w:val="continue"/>
            <w:tcBorders>
              <w:left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strike/>
                <w:dstrike w:val="0"/>
                <w:color w:val="auto"/>
                <w:sz w:val="21"/>
                <w:szCs w:val="21"/>
                <w:highlight w:val="none"/>
                <w:u w:val="none"/>
              </w:rPr>
            </w:pP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（14106）配网设备质量原因造成故障及非计划停电的，每次扣0.8分；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（14107）设备质量原因造成网络与信息安全事件的每次扣12分。（★★★）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40" w:hRule="atLeast"/>
        </w:trPr>
        <w:tc>
          <w:tcPr>
            <w:tcW w:w="0" w:type="dxa"/>
            <w:vMerge w:val="continue"/>
            <w:tcBorders>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1660" w:type="dxa"/>
            <w:tcBorders>
              <w:top w:val="single" w:color="000000" w:sz="4" w:space="0"/>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质量缺陷整改不满足要求</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（14111）拒绝按照合同条款整改，每次扣6分；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（14112）最终整改结果不满足要求，每次扣3分；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（14113）网络安全风险隐患整改不力造成损失的每次扣6分；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（14114）同一缺陷整改完成后再次出现同类型问题，每次扣2分。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426" w:hRule="atLeast"/>
        </w:trPr>
        <w:tc>
          <w:tcPr>
            <w:tcW w:w="0" w:type="dxa"/>
            <w:vMerge w:val="continue"/>
            <w:tcBorders>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1660"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不按合同约定提供技术服务</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（14121）不按通知要求派员参加协调会、不按通知要求派员到现场提供技术支持或到场技术人员能力不足的，非重点项目每次扣1分，重点项目每次扣2分；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（14122）其他不按照合同约定提供技术培训、指导、监督、协助的，每次扣0.5分；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（14123）因供货商干扰、妨碍或不配合，影响监造、专项抽检和到货抽检等工作的正常开展，每次扣3分；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0" w:type="dxa"/>
            <w:vMerge w:val="continue"/>
            <w:tcBorders>
              <w:left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（仅适用于电子商城供货商）（24121）未按合同约定履行免费送货、免费上门安装维修服务等全过程服务约定的，每次扣0.01分。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kern w:val="0"/>
                <w:sz w:val="24"/>
                <w:szCs w:val="24"/>
                <w:highlight w:val="none"/>
                <w:u w:val="none"/>
                <w:lang w:val="en-US" w:eastAsia="zh-CN" w:bidi="ar"/>
              </w:rPr>
            </w:pPr>
            <w:r>
              <w:rPr>
                <w:rFonts w:hint="eastAsia" w:ascii="宋体" w:hAnsi="宋体" w:eastAsia="宋体" w:cs="宋体"/>
                <w:b w:val="0"/>
                <w:bCs w:val="0"/>
                <w:strike w:val="0"/>
                <w:dstrike w:val="0"/>
                <w:color w:val="auto"/>
                <w:kern w:val="0"/>
                <w:sz w:val="24"/>
                <w:szCs w:val="24"/>
                <w:highlight w:val="none"/>
                <w:lang w:val="en-US" w:eastAsia="zh-CN" w:bidi="ar"/>
              </w:rPr>
              <w:t>商城运营单位</w:t>
            </w:r>
            <w:r>
              <w:rPr>
                <w:rFonts w:hint="eastAsia" w:ascii="宋体" w:hAnsi="宋体" w:eastAsia="宋体" w:cs="宋体"/>
                <w:i w:val="0"/>
                <w:strike w:val="0"/>
                <w:dstrike w:val="0"/>
                <w:color w:val="auto"/>
                <w:kern w:val="0"/>
                <w:sz w:val="24"/>
                <w:szCs w:val="24"/>
                <w:highlight w:val="none"/>
                <w:u w:val="none"/>
                <w:lang w:val="en-US" w:eastAsia="zh-CN" w:bidi="ar"/>
              </w:rPr>
              <w:t>扣分工作人员、</w:t>
            </w:r>
          </w:p>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商城使用主体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5" w:hRule="atLeast"/>
        </w:trPr>
        <w:tc>
          <w:tcPr>
            <w:tcW w:w="0" w:type="dxa"/>
            <w:vMerge w:val="continue"/>
            <w:tcBorders>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166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不按合同约定提供技术资料</w:t>
            </w:r>
          </w:p>
        </w:tc>
        <w:tc>
          <w:tcPr>
            <w:tcW w:w="9343" w:type="dxa"/>
            <w:tcBorders>
              <w:top w:val="single" w:color="000000" w:sz="4" w:space="0"/>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（14131）不按合同约定提供交付文档，每次扣0.1分。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（14132）监造过程中发现供货商编造虚假出厂试验报告或伪造试验实测所得的合同（含招投标文件）质量参数，扣6分。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0" w:type="dxa"/>
            <w:vMerge w:val="continue"/>
            <w:tcBorders>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1660" w:type="dxa"/>
            <w:tcBorders>
              <w:top w:val="single" w:color="000000" w:sz="4" w:space="0"/>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不遵守现场规章制度</w:t>
            </w:r>
          </w:p>
        </w:tc>
        <w:tc>
          <w:tcPr>
            <w:tcW w:w="9343" w:type="dxa"/>
            <w:tcBorders>
              <w:top w:val="single" w:color="000000" w:sz="4" w:space="0"/>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（14141）未经现场工作负责人同意擅自扩大工作范围及工作内容，每次扣1分；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（14142）不遵守现场工作安全规定，每次扣1分。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93" w:hRule="atLeast"/>
        </w:trPr>
        <w:tc>
          <w:tcPr>
            <w:tcW w:w="674" w:type="dxa"/>
            <w:vMerge w:val="restart"/>
            <w:tcBorders>
              <w:top w:val="single" w:color="000000" w:sz="4" w:space="0"/>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lang w:val="en-US" w:eastAsia="zh-CN"/>
              </w:rPr>
            </w:pPr>
            <w:r>
              <w:rPr>
                <w:rFonts w:hint="eastAsia" w:ascii="宋体" w:hAnsi="宋体" w:eastAsia="宋体" w:cs="宋体"/>
                <w:i w:val="0"/>
                <w:color w:val="auto"/>
                <w:sz w:val="20"/>
                <w:szCs w:val="20"/>
                <w:highlight w:val="none"/>
                <w:u w:val="none"/>
                <w:lang w:val="en-US" w:eastAsia="zh-CN"/>
              </w:rPr>
              <w:t>5</w:t>
            </w:r>
          </w:p>
        </w:tc>
        <w:tc>
          <w:tcPr>
            <w:tcW w:w="799"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产品运行阶段（适用于电力设备）</w:t>
            </w:r>
          </w:p>
        </w:tc>
        <w:tc>
          <w:tcPr>
            <w:tcW w:w="1660" w:type="dxa"/>
            <w:vMerge w:val="restart"/>
            <w:tcBorders>
              <w:top w:val="single" w:color="000000" w:sz="4" w:space="0"/>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产品运行缺陷</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（15011）不能安全稳定运行或技术、质量等性能指标与设计值出现重大偏差，且无法通过进一步调试和正常维护得到解决的，每次扣12分；（★★★）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（15012）经事故定性分析，因产品质量引起的潜在性缺陷、批次性缺陷，每次扣2分；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（15013）经事故定性分析，因产品质量引起的紧急缺</w:t>
            </w:r>
            <w:r>
              <w:rPr>
                <w:rFonts w:hint="eastAsia" w:ascii="宋体" w:hAnsi="宋体" w:eastAsia="宋体" w:cs="宋体"/>
                <w:i w:val="0"/>
                <w:strike w:val="0"/>
                <w:dstrike w:val="0"/>
                <w:color w:val="auto"/>
                <w:kern w:val="0"/>
                <w:sz w:val="24"/>
                <w:szCs w:val="24"/>
                <w:highlight w:val="none"/>
                <w:u w:val="none"/>
                <w:lang w:val="en-US" w:eastAsia="zh-CN" w:bidi="ar"/>
              </w:rPr>
              <w:t>陷，每次扣0.5分；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（15014）经事故定性分析，因产品质量引起的重大缺陷，每次扣0.2分；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（15015）经事故定性分析，因产品质量引起的一般缺陷，每次扣0.1分；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69" w:hRule="atLeast"/>
        </w:trPr>
        <w:tc>
          <w:tcPr>
            <w:tcW w:w="0" w:type="dxa"/>
            <w:vMerge w:val="continue"/>
            <w:tcBorders>
              <w:left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0" w:type="dxa"/>
            <w:vMerge w:val="continue"/>
            <w:tcBorders>
              <w:top w:val="single" w:color="000000" w:sz="4" w:space="0"/>
              <w:left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（15016）设备中含有恶意代码或后门等情况的，每次扣12分（★★★）；</w:t>
            </w:r>
            <w:r>
              <w:rPr>
                <w:rFonts w:hint="eastAsia" w:ascii="宋体" w:hAnsi="宋体" w:eastAsia="宋体" w:cs="宋体"/>
                <w:color w:val="auto"/>
                <w:kern w:val="0"/>
                <w:sz w:val="24"/>
                <w:szCs w:val="24"/>
                <w:highlight w:val="none"/>
                <w:lang w:bidi="ar"/>
              </w:rPr>
              <w:t>关键信息基础设施</w:t>
            </w:r>
            <w:r>
              <w:rPr>
                <w:rFonts w:hint="eastAsia" w:ascii="宋体" w:hAnsi="宋体" w:eastAsia="宋体" w:cs="宋体"/>
                <w:color w:val="auto"/>
                <w:kern w:val="0"/>
                <w:sz w:val="24"/>
                <w:szCs w:val="24"/>
                <w:highlight w:val="none"/>
                <w:lang w:eastAsia="zh-CN" w:bidi="ar"/>
              </w:rPr>
              <w:t>中</w:t>
            </w:r>
            <w:r>
              <w:rPr>
                <w:rFonts w:hint="eastAsia" w:ascii="宋体" w:hAnsi="宋体" w:eastAsia="宋体" w:cs="宋体"/>
                <w:color w:val="auto"/>
                <w:kern w:val="0"/>
                <w:sz w:val="24"/>
                <w:highlight w:val="none"/>
                <w:lang w:val="en-US" w:eastAsia="zh-CN" w:bidi="ar"/>
              </w:rPr>
              <w:t>含有恶意代码或后门等情况的，每次扣24分；</w:t>
            </w:r>
            <w:r>
              <w:rPr>
                <w:rFonts w:hint="eastAsia" w:ascii="宋体" w:hAnsi="宋体" w:eastAsia="宋体" w:cs="宋体"/>
                <w:i w:val="0"/>
                <w:color w:val="auto"/>
                <w:kern w:val="0"/>
                <w:sz w:val="24"/>
                <w:szCs w:val="24"/>
                <w:highlight w:val="none"/>
                <w:u w:val="none"/>
                <w:lang w:val="en-US" w:eastAsia="zh-CN" w:bidi="ar"/>
              </w:rPr>
              <w:t>（★★★）</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0" w:type="dxa"/>
            <w:vMerge w:val="continue"/>
            <w:tcBorders>
              <w:left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0" w:type="dxa"/>
            <w:vMerge w:val="continue"/>
            <w:tcBorders>
              <w:top w:val="single" w:color="000000" w:sz="4" w:space="0"/>
              <w:left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（仅适用于电子商城供货商）（25011）因电子商城产品质量问题严重影响生产、工作的，每次扣0.2分；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kern w:val="0"/>
                <w:sz w:val="24"/>
                <w:szCs w:val="24"/>
                <w:highlight w:val="none"/>
                <w:u w:val="none"/>
                <w:lang w:val="en-US" w:eastAsia="zh-CN" w:bidi="ar"/>
              </w:rPr>
            </w:pPr>
            <w:r>
              <w:rPr>
                <w:rFonts w:hint="eastAsia" w:ascii="宋体" w:hAnsi="宋体" w:eastAsia="宋体" w:cs="宋体"/>
                <w:b w:val="0"/>
                <w:bCs w:val="0"/>
                <w:strike w:val="0"/>
                <w:dstrike w:val="0"/>
                <w:color w:val="auto"/>
                <w:kern w:val="0"/>
                <w:sz w:val="24"/>
                <w:szCs w:val="24"/>
                <w:highlight w:val="none"/>
                <w:lang w:val="en-US" w:eastAsia="zh-CN" w:bidi="ar"/>
              </w:rPr>
              <w:t>商城运营单位</w:t>
            </w:r>
            <w:r>
              <w:rPr>
                <w:rFonts w:hint="eastAsia" w:ascii="宋体" w:hAnsi="宋体" w:eastAsia="宋体" w:cs="宋体"/>
                <w:i w:val="0"/>
                <w:strike w:val="0"/>
                <w:dstrike w:val="0"/>
                <w:color w:val="auto"/>
                <w:kern w:val="0"/>
                <w:sz w:val="24"/>
                <w:szCs w:val="24"/>
                <w:highlight w:val="none"/>
                <w:u w:val="none"/>
                <w:lang w:val="en-US" w:eastAsia="zh-CN" w:bidi="ar"/>
              </w:rPr>
              <w:t>扣分工作人员、</w:t>
            </w:r>
          </w:p>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商城使用主体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426" w:hRule="atLeast"/>
        </w:trPr>
        <w:tc>
          <w:tcPr>
            <w:tcW w:w="0" w:type="dxa"/>
            <w:vMerge w:val="continue"/>
            <w:tcBorders>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1660"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设备质量引发事故/事件</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（15021）设备质量原因造成电力事故、一级事件，每次扣12分；（★★★）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（15022）设备质量</w:t>
            </w:r>
            <w:r>
              <w:rPr>
                <w:rFonts w:hint="eastAsia" w:ascii="宋体" w:hAnsi="宋体" w:eastAsia="宋体" w:cs="宋体"/>
                <w:i w:val="0"/>
                <w:strike w:val="0"/>
                <w:dstrike w:val="0"/>
                <w:color w:val="auto"/>
                <w:kern w:val="0"/>
                <w:sz w:val="24"/>
                <w:szCs w:val="24"/>
                <w:highlight w:val="none"/>
                <w:u w:val="none"/>
                <w:lang w:val="en-US" w:eastAsia="zh-CN" w:bidi="ar"/>
              </w:rPr>
              <w:t>原因造成电力二级事件，每次扣6分；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（15023）设备质量原因造成电力三级事件，每次扣3分；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（15024）设备质量原因造成电力四级事件，每次扣2分；</w:t>
            </w:r>
            <w:r>
              <w:rPr>
                <w:rFonts w:hint="eastAsia" w:ascii="宋体" w:hAnsi="宋体" w:eastAsia="宋体" w:cs="宋体"/>
                <w:i w:val="0"/>
                <w:strike w:val="0"/>
                <w:dstrike w:val="0"/>
                <w:color w:val="auto"/>
                <w:kern w:val="0"/>
                <w:sz w:val="24"/>
                <w:szCs w:val="24"/>
                <w:highlight w:val="none"/>
                <w:u w:val="none"/>
                <w:lang w:val="en-US" w:eastAsia="zh-CN" w:bidi="ar"/>
              </w:rPr>
              <w:br w:type="textWrapping"/>
            </w:r>
            <w:r>
              <w:rPr>
                <w:rFonts w:hint="eastAsia" w:ascii="宋体" w:hAnsi="宋体" w:eastAsia="宋体" w:cs="宋体"/>
                <w:i w:val="0"/>
                <w:strike w:val="0"/>
                <w:dstrike w:val="0"/>
                <w:color w:val="auto"/>
                <w:kern w:val="0"/>
                <w:sz w:val="24"/>
                <w:szCs w:val="24"/>
                <w:highlight w:val="none"/>
                <w:u w:val="none"/>
                <w:lang w:val="en-US" w:eastAsia="zh-CN" w:bidi="ar"/>
              </w:rPr>
              <w:t>（15025）设备质量原因造成电力五级事件，每次扣1分；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0" w:type="dxa"/>
            <w:vMerge w:val="continue"/>
            <w:tcBorders>
              <w:left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1"/>
                <w:szCs w:val="21"/>
                <w:highlight w:val="none"/>
                <w:u w:val="none"/>
              </w:rPr>
            </w:pP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（15026）配网设备质量原因造成故障及非计划停电的</w:t>
            </w:r>
            <w:r>
              <w:rPr>
                <w:rFonts w:hint="eastAsia" w:ascii="宋体" w:hAnsi="宋体" w:eastAsia="宋体" w:cs="宋体"/>
                <w:i w:val="0"/>
                <w:strike w:val="0"/>
                <w:dstrike w:val="0"/>
                <w:color w:val="auto"/>
                <w:kern w:val="0"/>
                <w:sz w:val="24"/>
                <w:szCs w:val="24"/>
                <w:highlight w:val="none"/>
                <w:u w:val="none"/>
                <w:lang w:val="en-US" w:eastAsia="zh-CN" w:bidi="ar"/>
              </w:rPr>
              <w:t>，每次扣0.8分；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（15027）设备质量原因造成网络与信息安全事件的每次扣12分</w:t>
            </w:r>
            <w:r>
              <w:rPr>
                <w:rFonts w:hint="eastAsia" w:ascii="宋体" w:hAnsi="宋体" w:eastAsia="宋体" w:cs="宋体"/>
                <w:color w:val="auto"/>
                <w:kern w:val="0"/>
                <w:sz w:val="24"/>
                <w:highlight w:val="none"/>
                <w:lang w:val="en-US" w:eastAsia="zh-CN" w:bidi="ar"/>
              </w:rPr>
              <w:t>，</w:t>
            </w:r>
            <w:r>
              <w:rPr>
                <w:rFonts w:hint="eastAsia" w:ascii="宋体" w:hAnsi="宋体" w:eastAsia="宋体" w:cs="宋体"/>
                <w:color w:val="auto"/>
                <w:kern w:val="0"/>
                <w:sz w:val="24"/>
                <w:szCs w:val="24"/>
                <w:highlight w:val="none"/>
                <w:u w:val="none"/>
                <w:lang w:bidi="ar"/>
              </w:rPr>
              <w:t>关键信息基础设施</w:t>
            </w:r>
            <w:r>
              <w:rPr>
                <w:rFonts w:hint="eastAsia" w:ascii="宋体" w:hAnsi="宋体" w:eastAsia="宋体" w:cs="宋体"/>
                <w:color w:val="auto"/>
                <w:kern w:val="0"/>
                <w:sz w:val="24"/>
                <w:szCs w:val="24"/>
                <w:highlight w:val="none"/>
                <w:u w:val="none"/>
                <w:lang w:eastAsia="zh-CN" w:bidi="ar"/>
              </w:rPr>
              <w:t>的</w:t>
            </w:r>
            <w:r>
              <w:rPr>
                <w:rFonts w:hint="eastAsia" w:ascii="宋体" w:hAnsi="宋体" w:eastAsia="宋体" w:cs="宋体"/>
                <w:color w:val="auto"/>
                <w:kern w:val="0"/>
                <w:sz w:val="24"/>
                <w:highlight w:val="none"/>
                <w:u w:val="none"/>
                <w:lang w:val="en-US" w:eastAsia="zh-CN" w:bidi="ar"/>
              </w:rPr>
              <w:t>设备质量原因造成网络与信息安全事件的每次扣24分</w:t>
            </w:r>
            <w:r>
              <w:rPr>
                <w:rFonts w:hint="eastAsia" w:ascii="宋体" w:hAnsi="宋体" w:eastAsia="宋体" w:cs="宋体"/>
                <w:i w:val="0"/>
                <w:color w:val="auto"/>
                <w:kern w:val="0"/>
                <w:sz w:val="24"/>
                <w:szCs w:val="24"/>
                <w:highlight w:val="none"/>
                <w:u w:val="none"/>
                <w:lang w:val="en-US" w:eastAsia="zh-CN" w:bidi="ar"/>
              </w:rPr>
              <w:t>。（★★★）</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426" w:hRule="atLeast"/>
        </w:trPr>
        <w:tc>
          <w:tcPr>
            <w:tcW w:w="0" w:type="dxa"/>
            <w:vMerge w:val="continue"/>
            <w:tcBorders>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1660" w:type="dxa"/>
            <w:tcBorders>
              <w:top w:val="single" w:color="000000" w:sz="4" w:space="0"/>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处理缺陷期间引发其他设备故障</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（15031）技术人员支持不到位（包括技术能力不足、未经许可操作、误操作等，下同），影响设备消缺，造成事故或一二级事件，每次扣12分；（★★★）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（15032）技术人员支持不到位，影响设备消缺，造成三级事件，每次扣6分；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（15033）技术人员支持不到位，影响设备消缺，造成四级事件，每次扣3分；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（15034）技术人员支持不到位，影响设备消缺，造成五级事件，每次扣1分。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0" w:type="dxa"/>
            <w:vMerge w:val="continue"/>
            <w:tcBorders>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166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服务响应不及时</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（15041）未按合同约定时限响应故障处理（包括现场、电话、书面）或不按要求派员到现场，每次扣0.5分；</w:t>
            </w:r>
            <w:r>
              <w:rPr>
                <w:rFonts w:hint="eastAsia" w:ascii="宋体" w:hAnsi="宋体" w:eastAsia="宋体" w:cs="宋体"/>
                <w:color w:val="auto"/>
                <w:kern w:val="0"/>
                <w:sz w:val="24"/>
                <w:highlight w:val="none"/>
                <w:lang w:bidi="ar"/>
              </w:rPr>
              <w:t>未按合同约定时限响应</w:t>
            </w:r>
            <w:r>
              <w:rPr>
                <w:rFonts w:hint="eastAsia" w:ascii="宋体" w:hAnsi="宋体" w:eastAsia="宋体" w:cs="宋体"/>
                <w:color w:val="auto"/>
                <w:kern w:val="0"/>
                <w:sz w:val="24"/>
                <w:highlight w:val="none"/>
                <w:lang w:val="en-US" w:eastAsia="zh-CN" w:bidi="ar"/>
              </w:rPr>
              <w:t>关键信息基础设施的故障处理（包括现场、电话、书面）或不按要求派员到现场，每次扣1分</w:t>
            </w:r>
            <w:r>
              <w:rPr>
                <w:rFonts w:hint="eastAsia" w:ascii="宋体" w:hAnsi="宋体" w:eastAsia="宋体" w:cs="宋体"/>
                <w:i w:val="0"/>
                <w:color w:val="auto"/>
                <w:kern w:val="0"/>
                <w:sz w:val="24"/>
                <w:szCs w:val="24"/>
                <w:highlight w:val="none"/>
                <w:u w:val="none"/>
                <w:lang w:val="en-US" w:eastAsia="zh-CN" w:bidi="ar"/>
              </w:rPr>
              <w:t>。</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5" w:hRule="atLeast"/>
        </w:trPr>
        <w:tc>
          <w:tcPr>
            <w:tcW w:w="0" w:type="dxa"/>
            <w:vMerge w:val="continue"/>
            <w:tcBorders>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1660"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技术支持能力不足</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（15051）在发生故障后未能协助深入分析设备缺陷原因，或缺陷书面回复内容原因分析不清楚，原因分析错误，每次扣</w:t>
            </w:r>
            <w:r>
              <w:rPr>
                <w:rFonts w:hint="eastAsia" w:ascii="宋体" w:hAnsi="宋体" w:eastAsia="宋体" w:cs="宋体"/>
                <w:i w:val="0"/>
                <w:strike w:val="0"/>
                <w:dstrike w:val="0"/>
                <w:color w:val="auto"/>
                <w:kern w:val="0"/>
                <w:sz w:val="24"/>
                <w:szCs w:val="24"/>
                <w:highlight w:val="none"/>
                <w:u w:val="none"/>
                <w:lang w:val="en-US" w:eastAsia="zh-CN" w:bidi="ar"/>
              </w:rPr>
              <w:t>0.5</w:t>
            </w:r>
            <w:r>
              <w:rPr>
                <w:rFonts w:hint="eastAsia" w:ascii="宋体" w:hAnsi="宋体" w:eastAsia="宋体" w:cs="宋体"/>
                <w:i w:val="0"/>
                <w:color w:val="auto"/>
                <w:kern w:val="0"/>
                <w:sz w:val="24"/>
                <w:szCs w:val="24"/>
                <w:highlight w:val="none"/>
                <w:u w:val="none"/>
                <w:lang w:val="en-US" w:eastAsia="zh-CN" w:bidi="ar"/>
              </w:rPr>
              <w:t>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（15052）现场设备故障不能一次性消缺，每次扣</w:t>
            </w:r>
            <w:r>
              <w:rPr>
                <w:rFonts w:hint="eastAsia" w:ascii="宋体" w:hAnsi="宋体" w:eastAsia="宋体" w:cs="宋体"/>
                <w:i w:val="0"/>
                <w:strike w:val="0"/>
                <w:dstrike w:val="0"/>
                <w:color w:val="auto"/>
                <w:kern w:val="0"/>
                <w:sz w:val="24"/>
                <w:szCs w:val="24"/>
                <w:highlight w:val="none"/>
                <w:u w:val="none"/>
                <w:lang w:val="en-US" w:eastAsia="zh-CN" w:bidi="ar"/>
              </w:rPr>
              <w:t>0.5</w:t>
            </w:r>
            <w:r>
              <w:rPr>
                <w:rFonts w:hint="eastAsia" w:ascii="宋体" w:hAnsi="宋体" w:eastAsia="宋体" w:cs="宋体"/>
                <w:i w:val="0"/>
                <w:color w:val="auto"/>
                <w:kern w:val="0"/>
                <w:sz w:val="24"/>
                <w:szCs w:val="24"/>
                <w:highlight w:val="none"/>
                <w:u w:val="none"/>
                <w:lang w:val="en-US" w:eastAsia="zh-CN" w:bidi="ar"/>
              </w:rPr>
              <w:t>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0" w:type="dxa"/>
            <w:vMerge w:val="continue"/>
            <w:tcBorders>
              <w:left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（仅适用于电子商城供货商）（25051）在电子商城产品质保期内发生产品故障，供货商不能一次修复或更换，影响正常生产、工作，每次扣0.05分。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kern w:val="0"/>
                <w:sz w:val="24"/>
                <w:szCs w:val="24"/>
                <w:highlight w:val="none"/>
                <w:u w:val="none"/>
                <w:lang w:val="en-US" w:eastAsia="zh-CN" w:bidi="ar"/>
              </w:rPr>
            </w:pPr>
            <w:r>
              <w:rPr>
                <w:rFonts w:hint="eastAsia" w:ascii="宋体" w:hAnsi="宋体" w:eastAsia="宋体" w:cs="宋体"/>
                <w:b w:val="0"/>
                <w:bCs w:val="0"/>
                <w:strike w:val="0"/>
                <w:dstrike w:val="0"/>
                <w:color w:val="auto"/>
                <w:kern w:val="0"/>
                <w:sz w:val="24"/>
                <w:szCs w:val="24"/>
                <w:highlight w:val="none"/>
                <w:lang w:val="en-US" w:eastAsia="zh-CN" w:bidi="ar"/>
              </w:rPr>
              <w:t>商城运营单位</w:t>
            </w:r>
            <w:r>
              <w:rPr>
                <w:rFonts w:hint="eastAsia" w:ascii="宋体" w:hAnsi="宋体" w:eastAsia="宋体" w:cs="宋体"/>
                <w:i w:val="0"/>
                <w:strike w:val="0"/>
                <w:dstrike w:val="0"/>
                <w:color w:val="auto"/>
                <w:kern w:val="0"/>
                <w:sz w:val="24"/>
                <w:szCs w:val="24"/>
                <w:highlight w:val="none"/>
                <w:u w:val="none"/>
                <w:lang w:val="en-US" w:eastAsia="zh-CN" w:bidi="ar"/>
              </w:rPr>
              <w:t>扣分工作人员、</w:t>
            </w:r>
          </w:p>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商城使用主体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0" w:type="dxa"/>
            <w:vMerge w:val="continue"/>
            <w:tcBorders>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1660" w:type="dxa"/>
            <w:tcBorders>
              <w:top w:val="single" w:color="000000" w:sz="4" w:space="0"/>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推诿责任</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（15061）设备技术问题不能及时反馈解决方法或与其他厂家间推诿责任，每次扣1分。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0" w:type="dxa"/>
            <w:vMerge w:val="continue"/>
            <w:tcBorders>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1660" w:type="dxa"/>
            <w:tcBorders>
              <w:top w:val="single" w:color="000000" w:sz="4" w:space="0"/>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kern w:val="0"/>
                <w:sz w:val="24"/>
                <w:szCs w:val="24"/>
                <w:highlight w:val="none"/>
                <w:u w:val="none"/>
                <w:lang w:bidi="ar"/>
              </w:rPr>
            </w:pPr>
            <w:r>
              <w:rPr>
                <w:rFonts w:hint="eastAsia" w:ascii="宋体" w:hAnsi="宋体" w:eastAsia="宋体" w:cs="宋体"/>
                <w:i w:val="0"/>
                <w:color w:val="auto"/>
                <w:kern w:val="0"/>
                <w:sz w:val="24"/>
                <w:szCs w:val="24"/>
                <w:highlight w:val="none"/>
                <w:u w:val="none"/>
                <w:lang w:val="en-US" w:eastAsia="zh-CN" w:bidi="ar"/>
              </w:rPr>
              <w:t>不遵守现场规章制度</w:t>
            </w:r>
          </w:p>
        </w:tc>
        <w:tc>
          <w:tcPr>
            <w:tcW w:w="9343" w:type="dxa"/>
            <w:tcBorders>
              <w:top w:val="single" w:color="000000" w:sz="4" w:space="0"/>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（15071）未经现场工作负责人同意擅自扩大工作范围及工作内容，每次扣1分；</w:t>
            </w:r>
            <w:r>
              <w:rPr>
                <w:rFonts w:hint="eastAsia" w:ascii="宋体" w:hAnsi="宋体" w:eastAsia="宋体" w:cs="宋体"/>
                <w:i w:val="0"/>
                <w:color w:val="auto"/>
                <w:kern w:val="0"/>
                <w:sz w:val="24"/>
                <w:szCs w:val="24"/>
                <w:highlight w:val="none"/>
                <w:u w:val="none"/>
                <w:lang w:val="en-US" w:eastAsia="zh-CN" w:bidi="ar"/>
              </w:rPr>
              <w:br w:type="textWrapping"/>
            </w:r>
            <w:r>
              <w:rPr>
                <w:rFonts w:hint="eastAsia" w:ascii="宋体" w:hAnsi="宋体" w:eastAsia="宋体" w:cs="宋体"/>
                <w:i w:val="0"/>
                <w:color w:val="auto"/>
                <w:kern w:val="0"/>
                <w:sz w:val="24"/>
                <w:szCs w:val="24"/>
                <w:highlight w:val="none"/>
                <w:u w:val="none"/>
                <w:lang w:val="en-US" w:eastAsia="zh-CN" w:bidi="ar"/>
              </w:rPr>
              <w:t>（15072）不遵守现场工作安全规定，每次扣1分。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10" w:hRule="atLeast"/>
        </w:trPr>
        <w:tc>
          <w:tcPr>
            <w:tcW w:w="0" w:type="dxa"/>
            <w:vMerge w:val="continue"/>
            <w:tcBorders>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1660" w:type="dxa"/>
            <w:tcBorders>
              <w:top w:val="single" w:color="000000" w:sz="4" w:space="0"/>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kern w:val="0"/>
                <w:sz w:val="24"/>
                <w:szCs w:val="24"/>
                <w:highlight w:val="none"/>
                <w:u w:val="none"/>
                <w:lang w:bidi="ar"/>
              </w:rPr>
            </w:pPr>
            <w:r>
              <w:rPr>
                <w:rFonts w:hint="eastAsia" w:ascii="宋体" w:hAnsi="宋体" w:eastAsia="宋体" w:cs="宋体"/>
                <w:i w:val="0"/>
                <w:strike w:val="0"/>
                <w:dstrike w:val="0"/>
                <w:color w:val="auto"/>
                <w:kern w:val="0"/>
                <w:sz w:val="24"/>
                <w:szCs w:val="24"/>
                <w:highlight w:val="none"/>
                <w:u w:val="none"/>
                <w:lang w:val="en-US" w:eastAsia="zh-CN" w:bidi="ar"/>
              </w:rPr>
              <w:t>未按合同提供质保期后的服务</w:t>
            </w:r>
          </w:p>
        </w:tc>
        <w:tc>
          <w:tcPr>
            <w:tcW w:w="9343" w:type="dxa"/>
            <w:tcBorders>
              <w:top w:val="single" w:color="000000" w:sz="4" w:space="0"/>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（15081）未按照合同约定履行提供备品备件、提供技术资料、通知设备停产信息、潜在性缺陷、批次性缺陷处理等义务，每次扣0.5分。</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strike w:val="0"/>
                <w:dstrike w:val="0"/>
                <w:color w:val="auto"/>
                <w:sz w:val="24"/>
                <w:szCs w:val="24"/>
                <w:highlight w:val="none"/>
                <w:u w:val="none"/>
              </w:rPr>
            </w:pPr>
            <w:r>
              <w:rPr>
                <w:rFonts w:hint="eastAsia" w:ascii="宋体" w:hAnsi="宋体" w:eastAsia="宋体" w:cs="宋体"/>
                <w:i w:val="0"/>
                <w:strike w:val="0"/>
                <w:dstrike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1" w:hRule="atLeast"/>
        </w:trPr>
        <w:tc>
          <w:tcPr>
            <w:tcW w:w="674" w:type="dxa"/>
            <w:vMerge w:val="restart"/>
            <w:tcBorders>
              <w:top w:val="single" w:color="000000" w:sz="4" w:space="0"/>
              <w:left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w:t>
            </w:r>
          </w:p>
        </w:tc>
        <w:tc>
          <w:tcPr>
            <w:tcW w:w="799"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其它</w:t>
            </w:r>
          </w:p>
        </w:tc>
        <w:tc>
          <w:tcPr>
            <w:tcW w:w="166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kern w:val="0"/>
                <w:sz w:val="24"/>
                <w:szCs w:val="24"/>
                <w:highlight w:val="none"/>
                <w:u w:val="none"/>
                <w:lang w:bidi="ar"/>
              </w:rPr>
            </w:pPr>
            <w:r>
              <w:rPr>
                <w:rFonts w:hint="eastAsia" w:ascii="宋体" w:hAnsi="宋体" w:eastAsia="宋体" w:cs="宋体"/>
                <w:i w:val="0"/>
                <w:color w:val="auto"/>
                <w:kern w:val="0"/>
                <w:sz w:val="24"/>
                <w:szCs w:val="24"/>
                <w:highlight w:val="none"/>
                <w:u w:val="none"/>
                <w:lang w:val="en-US" w:eastAsia="zh-CN" w:bidi="ar"/>
              </w:rPr>
              <w:t>供货商发生重大失信行为，且影响恶劣</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16011）如在巡视巡察、监督审计、案件查处、上级检查、交叉检查、举报、投诉和舆情处理等工作核实供货商有失信行为，且影响恶劣的，根据供货商失信行为的事实、性质、类型、情节和危害程度，对供货商进行扣分。每发现1起，扣3、6或12分（★★★）；</w:t>
            </w:r>
            <w:r>
              <w:rPr>
                <w:rFonts w:hint="eastAsia" w:ascii="宋体" w:hAnsi="宋体" w:eastAsia="宋体" w:cs="宋体"/>
                <w:color w:val="auto"/>
                <w:kern w:val="0"/>
                <w:sz w:val="24"/>
                <w:highlight w:val="none"/>
                <w:lang w:val="en-US" w:eastAsia="zh-CN" w:bidi="ar"/>
              </w:rPr>
              <w:t>涉及</w:t>
            </w:r>
            <w:r>
              <w:rPr>
                <w:rFonts w:hint="eastAsia" w:ascii="宋体" w:hAnsi="宋体" w:eastAsia="宋体" w:cs="宋体"/>
                <w:color w:val="auto"/>
                <w:kern w:val="0"/>
                <w:sz w:val="24"/>
                <w:highlight w:val="none"/>
                <w:lang w:eastAsia="zh-CN" w:bidi="ar"/>
              </w:rPr>
              <w:t>关基信息基础设施的，</w:t>
            </w:r>
            <w:r>
              <w:rPr>
                <w:rFonts w:hint="eastAsia" w:ascii="宋体" w:hAnsi="宋体" w:eastAsia="宋体" w:cs="宋体"/>
                <w:color w:val="auto"/>
                <w:kern w:val="0"/>
                <w:sz w:val="24"/>
                <w:highlight w:val="none"/>
                <w:lang w:val="en-US" w:eastAsia="zh-CN" w:bidi="ar"/>
              </w:rPr>
              <w:t>每发现1起</w:t>
            </w:r>
            <w:r>
              <w:rPr>
                <w:rFonts w:hint="eastAsia" w:ascii="宋体" w:hAnsi="宋体" w:eastAsia="宋体" w:cs="宋体"/>
                <w:color w:val="auto"/>
                <w:kern w:val="0"/>
                <w:sz w:val="24"/>
                <w:highlight w:val="none"/>
                <w:lang w:bidi="ar"/>
              </w:rPr>
              <w:t>，扣</w:t>
            </w:r>
            <w:r>
              <w:rPr>
                <w:rFonts w:hint="eastAsia" w:ascii="宋体" w:hAnsi="宋体" w:eastAsia="宋体" w:cs="宋体"/>
                <w:color w:val="auto"/>
                <w:kern w:val="0"/>
                <w:sz w:val="24"/>
                <w:highlight w:val="none"/>
                <w:lang w:val="en-US" w:eastAsia="zh-CN" w:bidi="ar"/>
              </w:rPr>
              <w:t>3、6、12</w:t>
            </w:r>
            <w:r>
              <w:rPr>
                <w:rFonts w:hint="eastAsia" w:ascii="宋体" w:hAnsi="宋体" w:eastAsia="宋体" w:cs="宋体"/>
                <w:i w:val="0"/>
                <w:color w:val="auto"/>
                <w:kern w:val="0"/>
                <w:sz w:val="24"/>
                <w:szCs w:val="24"/>
                <w:highlight w:val="none"/>
                <w:u w:val="none"/>
                <w:lang w:val="en-US" w:eastAsia="zh-CN" w:bidi="ar"/>
              </w:rPr>
              <w:t>（★★★）</w:t>
            </w:r>
            <w:r>
              <w:rPr>
                <w:rFonts w:hint="eastAsia" w:ascii="宋体" w:hAnsi="宋体" w:eastAsia="宋体" w:cs="宋体"/>
                <w:color w:val="auto"/>
                <w:kern w:val="0"/>
                <w:sz w:val="24"/>
                <w:highlight w:val="none"/>
                <w:lang w:val="en-US" w:eastAsia="zh-CN" w:bidi="ar"/>
              </w:rPr>
              <w:t>或24</w:t>
            </w:r>
            <w:r>
              <w:rPr>
                <w:rFonts w:hint="eastAsia" w:ascii="宋体" w:hAnsi="宋体" w:eastAsia="宋体" w:cs="宋体"/>
                <w:color w:val="auto"/>
                <w:kern w:val="0"/>
                <w:sz w:val="24"/>
                <w:highlight w:val="none"/>
                <w:lang w:bidi="ar"/>
              </w:rPr>
              <w:t>分</w:t>
            </w:r>
            <w:r>
              <w:rPr>
                <w:rFonts w:hint="eastAsia" w:ascii="宋体" w:hAnsi="宋体" w:eastAsia="宋体" w:cs="宋体"/>
                <w:i w:val="0"/>
                <w:color w:val="auto"/>
                <w:kern w:val="0"/>
                <w:sz w:val="24"/>
                <w:szCs w:val="24"/>
                <w:highlight w:val="none"/>
                <w:u w:val="none"/>
                <w:lang w:val="en-US" w:eastAsia="zh-CN" w:bidi="ar"/>
              </w:rPr>
              <w:t>（★★★）</w:t>
            </w:r>
            <w:r>
              <w:rPr>
                <w:rFonts w:hint="eastAsia" w:ascii="宋体" w:hAnsi="宋体" w:eastAsia="宋体" w:cs="宋体"/>
                <w:color w:val="auto"/>
                <w:kern w:val="0"/>
                <w:sz w:val="24"/>
                <w:highlight w:val="none"/>
                <w:lang w:eastAsia="zh-CN" w:bidi="ar"/>
              </w:rPr>
              <w:t>。</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全网扣分工作人员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40" w:hRule="atLeast"/>
        </w:trPr>
        <w:tc>
          <w:tcPr>
            <w:tcW w:w="0" w:type="dxa"/>
            <w:vMerge w:val="continue"/>
            <w:tcBorders>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0"/>
                <w:szCs w:val="20"/>
                <w:highlight w:val="none"/>
                <w:u w:val="none"/>
              </w:rPr>
            </w:pPr>
          </w:p>
        </w:tc>
        <w:tc>
          <w:tcPr>
            <w:tcW w:w="0"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widowControl w:val="0"/>
              <w:kinsoku/>
              <w:topLinePunct w:val="0"/>
              <w:autoSpaceDE/>
              <w:autoSpaceDN/>
              <w:bidi w:val="0"/>
              <w:jc w:val="center"/>
              <w:rPr>
                <w:rFonts w:hint="eastAsia" w:ascii="宋体" w:hAnsi="宋体" w:eastAsia="宋体" w:cs="宋体"/>
                <w:i w:val="0"/>
                <w:color w:val="auto"/>
                <w:sz w:val="24"/>
                <w:szCs w:val="24"/>
                <w:highlight w:val="none"/>
                <w:u w:val="none"/>
              </w:rPr>
            </w:pPr>
          </w:p>
        </w:tc>
        <w:tc>
          <w:tcPr>
            <w:tcW w:w="166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kern w:val="0"/>
                <w:sz w:val="24"/>
                <w:szCs w:val="24"/>
                <w:highlight w:val="none"/>
                <w:u w:val="none"/>
                <w:lang w:bidi="ar"/>
              </w:rPr>
            </w:pPr>
            <w:r>
              <w:rPr>
                <w:rFonts w:hint="eastAsia" w:ascii="宋体" w:hAnsi="宋体" w:eastAsia="宋体" w:cs="宋体"/>
                <w:i w:val="0"/>
                <w:color w:val="auto"/>
                <w:kern w:val="0"/>
                <w:sz w:val="24"/>
                <w:szCs w:val="24"/>
                <w:highlight w:val="none"/>
                <w:u w:val="none"/>
                <w:lang w:val="en-US" w:eastAsia="zh-CN" w:bidi="ar"/>
              </w:rPr>
              <w:t>供应商行为危害网络安全</w:t>
            </w:r>
          </w:p>
        </w:tc>
        <w:tc>
          <w:tcPr>
            <w:tcW w:w="934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16021）供应商私自在互联网上搭建带有南方电网VI标识及相关信息的演示系统的；导致南方电网系统内相关单位数据泄露的；违反《网络安全法》等法律法规或合同关于网络安全要求的，根据供应商失信行为的事实、性质、类型、情节和危害程度，对供货商进行扣分。每发现1起，扣1-12分。（★★★）</w:t>
            </w:r>
          </w:p>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w:t>
            </w:r>
            <w:r>
              <w:rPr>
                <w:rFonts w:hint="eastAsia" w:ascii="宋体" w:hAnsi="宋体" w:eastAsia="宋体" w:cs="宋体"/>
                <w:i w:val="0"/>
                <w:color w:val="auto"/>
                <w:kern w:val="0"/>
                <w:sz w:val="24"/>
                <w:szCs w:val="24"/>
                <w:highlight w:val="none"/>
                <w:u w:val="none"/>
                <w:lang w:val="en-US" w:eastAsia="zh-CN" w:bidi="ar"/>
              </w:rPr>
              <w:t>16022</w:t>
            </w:r>
            <w:r>
              <w:rPr>
                <w:rFonts w:hint="eastAsia" w:ascii="宋体" w:hAnsi="宋体" w:eastAsia="宋体" w:cs="宋体"/>
                <w:color w:val="auto"/>
                <w:kern w:val="0"/>
                <w:sz w:val="24"/>
                <w:highlight w:val="none"/>
                <w:lang w:val="en-US" w:eastAsia="zh-CN" w:bidi="ar"/>
              </w:rPr>
              <w:t>）未落实安全保密协议等要求，造成敏感信息泄露或其他危害行为的，每次扣3分，造成</w:t>
            </w:r>
            <w:r>
              <w:rPr>
                <w:rFonts w:hint="eastAsia" w:ascii="宋体" w:hAnsi="宋体" w:eastAsia="宋体" w:cs="宋体"/>
                <w:color w:val="auto"/>
                <w:kern w:val="0"/>
                <w:sz w:val="24"/>
                <w:highlight w:val="none"/>
                <w:lang w:eastAsia="zh-CN" w:bidi="ar"/>
              </w:rPr>
              <w:t>关基信息基础设施</w:t>
            </w:r>
            <w:r>
              <w:rPr>
                <w:rFonts w:hint="eastAsia" w:ascii="宋体" w:hAnsi="宋体" w:eastAsia="宋体" w:cs="宋体"/>
                <w:color w:val="auto"/>
                <w:kern w:val="0"/>
                <w:sz w:val="24"/>
                <w:highlight w:val="none"/>
                <w:lang w:val="en-US" w:eastAsia="zh-CN" w:bidi="ar"/>
              </w:rPr>
              <w:t>敏感信息泄露或其他危害行为的，每次扣6分。因供应商自身防范与管理原因造成第三方透过其端口侵入南方电网网络，并造成重大社会负面影响的，扣12分。</w:t>
            </w:r>
            <w:r>
              <w:rPr>
                <w:rFonts w:hint="eastAsia" w:ascii="宋体" w:hAnsi="宋体" w:eastAsia="宋体" w:cs="宋体"/>
                <w:i w:val="0"/>
                <w:color w:val="auto"/>
                <w:kern w:val="0"/>
                <w:sz w:val="24"/>
                <w:szCs w:val="24"/>
                <w:highlight w:val="none"/>
                <w:u w:val="none"/>
                <w:lang w:val="en-US" w:eastAsia="zh-CN" w:bidi="ar"/>
              </w:rPr>
              <w:t>（★★★）</w:t>
            </w:r>
          </w:p>
          <w:p>
            <w:pPr>
              <w:keepNext w:val="0"/>
              <w:keepLines w:val="0"/>
              <w:pageBreakBefore w:val="0"/>
              <w:widowControl w:val="0"/>
              <w:suppressLineNumbers w:val="0"/>
              <w:kinsoku/>
              <w:topLinePunct w:val="0"/>
              <w:autoSpaceDE/>
              <w:autoSpaceDN/>
              <w:bidi w:val="0"/>
              <w:jc w:val="left"/>
              <w:textAlignment w:val="center"/>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w:t>
            </w:r>
            <w:r>
              <w:rPr>
                <w:rFonts w:hint="eastAsia" w:ascii="宋体" w:hAnsi="宋体" w:eastAsia="宋体" w:cs="宋体"/>
                <w:i w:val="0"/>
                <w:color w:val="auto"/>
                <w:kern w:val="0"/>
                <w:sz w:val="24"/>
                <w:szCs w:val="24"/>
                <w:highlight w:val="none"/>
                <w:u w:val="none"/>
                <w:lang w:val="en-US" w:eastAsia="zh-CN" w:bidi="ar"/>
              </w:rPr>
              <w:t>16023</w:t>
            </w:r>
            <w:r>
              <w:rPr>
                <w:rFonts w:hint="eastAsia" w:ascii="宋体" w:hAnsi="宋体" w:eastAsia="宋体" w:cs="宋体"/>
                <w:color w:val="auto"/>
                <w:kern w:val="0"/>
                <w:sz w:val="24"/>
                <w:highlight w:val="none"/>
                <w:lang w:val="en-US" w:eastAsia="zh-CN" w:bidi="ar"/>
              </w:rPr>
              <w:t>）因供应商网络终端、密码等管理不善，由此出现网络侵入、攻击南方电网信息网络的，每发现1起，每次扣3分。</w:t>
            </w:r>
            <w:r>
              <w:rPr>
                <w:rFonts w:hint="eastAsia" w:ascii="宋体" w:hAnsi="宋体" w:eastAsia="宋体" w:cs="宋体"/>
                <w:i w:val="0"/>
                <w:color w:val="auto"/>
                <w:kern w:val="0"/>
                <w:sz w:val="24"/>
                <w:szCs w:val="24"/>
                <w:highlight w:val="none"/>
                <w:u w:val="none"/>
                <w:lang w:val="en-US" w:eastAsia="zh-CN" w:bidi="ar"/>
              </w:rPr>
              <w:t>（★★★）</w:t>
            </w:r>
          </w:p>
        </w:tc>
        <w:tc>
          <w:tcPr>
            <w:tcW w:w="17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LineNumbers w:val="0"/>
              <w:kinsoku/>
              <w:topLinePunct w:val="0"/>
              <w:autoSpaceDE/>
              <w:autoSpaceDN/>
              <w:bidi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全网扣分工作人员</w:t>
            </w:r>
          </w:p>
        </w:tc>
      </w:tr>
    </w:tbl>
    <w:p>
      <w:pPr>
        <w:keepNext/>
        <w:keepLines w:val="0"/>
        <w:pageBreakBefore w:val="0"/>
        <w:widowControl w:val="0"/>
        <w:kinsoku/>
        <w:wordWrap/>
        <w:overflowPunct/>
        <w:topLinePunct w:val="0"/>
        <w:autoSpaceDE/>
        <w:autoSpaceDN/>
        <w:bidi w:val="0"/>
        <w:adjustRightInd/>
        <w:snapToGrid/>
        <w:spacing w:line="560" w:lineRule="exact"/>
        <w:outlineLvl w:val="0"/>
      </w:pPr>
    </w:p>
    <w:p>
      <w:pPr>
        <w:keepNext/>
        <w:keepLines w:val="0"/>
        <w:pageBreakBefore w:val="0"/>
        <w:widowControl w:val="0"/>
        <w:kinsoku/>
        <w:wordWrap/>
        <w:overflowPunct/>
        <w:topLinePunct w:val="0"/>
        <w:autoSpaceDE/>
        <w:autoSpaceDN/>
        <w:bidi w:val="0"/>
        <w:adjustRightInd/>
        <w:snapToGrid/>
        <w:spacing w:line="560" w:lineRule="exact"/>
        <w:outlineLvl w:val="0"/>
      </w:pPr>
    </w:p>
    <w:p>
      <w:pPr>
        <w:keepNext/>
        <w:keepLines w:val="0"/>
        <w:pageBreakBefore w:val="0"/>
        <w:widowControl w:val="0"/>
        <w:kinsoku/>
        <w:wordWrap/>
        <w:overflowPunct/>
        <w:topLinePunct w:val="0"/>
        <w:autoSpaceDE/>
        <w:autoSpaceDN/>
        <w:bidi w:val="0"/>
        <w:adjustRightInd/>
        <w:snapToGrid/>
        <w:spacing w:line="560" w:lineRule="exact"/>
        <w:outlineLvl w:val="0"/>
      </w:pPr>
    </w:p>
    <w:p>
      <w:pPr>
        <w:keepNext/>
        <w:keepLines w:val="0"/>
        <w:pageBreakBefore w:val="0"/>
        <w:widowControl w:val="0"/>
        <w:kinsoku/>
        <w:wordWrap/>
        <w:overflowPunct/>
        <w:topLinePunct w:val="0"/>
        <w:autoSpaceDE/>
        <w:autoSpaceDN/>
        <w:bidi w:val="0"/>
        <w:adjustRightInd/>
        <w:snapToGrid/>
        <w:spacing w:line="560" w:lineRule="exact"/>
        <w:outlineLvl w:val="0"/>
      </w:pPr>
    </w:p>
    <w:p>
      <w:pPr>
        <w:keepNext/>
        <w:keepLines w:val="0"/>
        <w:pageBreakBefore w:val="0"/>
        <w:widowControl w:val="0"/>
        <w:kinsoku/>
        <w:wordWrap/>
        <w:overflowPunct/>
        <w:topLinePunct w:val="0"/>
        <w:autoSpaceDE/>
        <w:autoSpaceDN/>
        <w:bidi w:val="0"/>
        <w:adjustRightInd/>
        <w:snapToGrid/>
        <w:spacing w:line="560" w:lineRule="exact"/>
        <w:outlineLvl w:val="0"/>
      </w:pPr>
    </w:p>
    <w:p>
      <w:pPr>
        <w:keepNext/>
        <w:keepLines w:val="0"/>
        <w:pageBreakBefore w:val="0"/>
        <w:widowControl w:val="0"/>
        <w:kinsoku/>
        <w:wordWrap/>
        <w:overflowPunct/>
        <w:topLinePunct w:val="0"/>
        <w:autoSpaceDE/>
        <w:autoSpaceDN/>
        <w:bidi w:val="0"/>
        <w:adjustRightInd/>
        <w:snapToGrid/>
        <w:spacing w:line="560" w:lineRule="exact"/>
        <w:outlineLvl w:val="0"/>
      </w:pPr>
    </w:p>
    <w:p>
      <w:pPr>
        <w:keepNext/>
        <w:keepLines w:val="0"/>
        <w:pageBreakBefore w:val="0"/>
        <w:widowControl w:val="0"/>
        <w:kinsoku/>
        <w:wordWrap/>
        <w:overflowPunct/>
        <w:topLinePunct w:val="0"/>
        <w:autoSpaceDE/>
        <w:autoSpaceDN/>
        <w:bidi w:val="0"/>
        <w:adjustRightInd/>
        <w:snapToGrid/>
        <w:spacing w:line="560" w:lineRule="exact"/>
        <w:outlineLvl w:val="0"/>
      </w:pPr>
    </w:p>
    <w:bookmarkEnd w:id="11"/>
    <w:bookmarkEnd w:id="12"/>
    <w:bookmarkEnd w:id="13"/>
    <w:bookmarkEnd w:id="14"/>
    <w:p>
      <w:pPr>
        <w:spacing w:line="560" w:lineRule="exact"/>
        <w:ind w:firstLine="0" w:firstLineChars="0"/>
        <w:rPr>
          <w:rFonts w:hint="default"/>
          <w:b/>
          <w:bCs/>
          <w:sz w:val="28"/>
          <w:szCs w:val="28"/>
          <w:lang w:val="en-US" w:eastAsia="zh-CN"/>
        </w:rPr>
      </w:pPr>
    </w:p>
    <w:sectPr>
      <w:footerReference r:id="rId4" w:type="default"/>
      <w:pgSz w:w="16838" w:h="11906" w:orient="landscape"/>
      <w:pgMar w:top="1800" w:right="1440" w:bottom="1800" w:left="1440" w:header="851" w:footer="992" w:gutter="0"/>
      <w:pgBorders>
        <w:top w:val="none" w:sz="0" w:space="0"/>
        <w:left w:val="none" w:sz="0" w:space="0"/>
        <w:bottom w:val="none" w:sz="0" w:space="0"/>
        <w:right w:val="none" w:sz="0" w:space="0"/>
      </w:pgBorders>
      <w:pgNumType w:start="3"/>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3"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华光书宋_CNKI">
    <w:panose1 w:val="02000500000000000000"/>
    <w:charset w:val="86"/>
    <w:family w:val="auto"/>
    <w:pitch w:val="default"/>
    <w:sig w:usb0="A00002BF" w:usb1="38CF7CFA" w:usb2="00000016" w:usb3="00000000" w:csb0="0004000F" w:csb1="00000000"/>
  </w:font>
  <w:font w:name="华光书宋一_CNKI">
    <w:panose1 w:val="02000500000000000000"/>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3NTE1ZDQwYmU4OWFkZmIwMGY2NmJlNThiMDZiNTQifQ=="/>
  </w:docVars>
  <w:rsids>
    <w:rsidRoot w:val="22255544"/>
    <w:rsid w:val="00115785"/>
    <w:rsid w:val="001769F2"/>
    <w:rsid w:val="002205B7"/>
    <w:rsid w:val="00350EAD"/>
    <w:rsid w:val="00373A21"/>
    <w:rsid w:val="003F63A1"/>
    <w:rsid w:val="00471647"/>
    <w:rsid w:val="00480FF8"/>
    <w:rsid w:val="007E4960"/>
    <w:rsid w:val="008977FE"/>
    <w:rsid w:val="00A372F6"/>
    <w:rsid w:val="00B00023"/>
    <w:rsid w:val="00B24733"/>
    <w:rsid w:val="00B30760"/>
    <w:rsid w:val="00B866AA"/>
    <w:rsid w:val="00C00399"/>
    <w:rsid w:val="00C92C10"/>
    <w:rsid w:val="00D51DCC"/>
    <w:rsid w:val="00D57A79"/>
    <w:rsid w:val="00D80816"/>
    <w:rsid w:val="02602FBD"/>
    <w:rsid w:val="04265BCB"/>
    <w:rsid w:val="059435CE"/>
    <w:rsid w:val="060F62B3"/>
    <w:rsid w:val="0AB03A5F"/>
    <w:rsid w:val="0B551B83"/>
    <w:rsid w:val="0BA57B89"/>
    <w:rsid w:val="0CB8093C"/>
    <w:rsid w:val="0EE143CF"/>
    <w:rsid w:val="0F4B48AF"/>
    <w:rsid w:val="1041052C"/>
    <w:rsid w:val="104E14D1"/>
    <w:rsid w:val="108C3B72"/>
    <w:rsid w:val="12E5042B"/>
    <w:rsid w:val="12EE7186"/>
    <w:rsid w:val="13E31BAA"/>
    <w:rsid w:val="14AA0A2C"/>
    <w:rsid w:val="15C96991"/>
    <w:rsid w:val="16C66BE6"/>
    <w:rsid w:val="16E43D7E"/>
    <w:rsid w:val="17480350"/>
    <w:rsid w:val="19100920"/>
    <w:rsid w:val="1F6A28DC"/>
    <w:rsid w:val="1F8A4FBC"/>
    <w:rsid w:val="1FB045CE"/>
    <w:rsid w:val="205455C0"/>
    <w:rsid w:val="213F18D2"/>
    <w:rsid w:val="22242E46"/>
    <w:rsid w:val="22255544"/>
    <w:rsid w:val="22B94117"/>
    <w:rsid w:val="23707C81"/>
    <w:rsid w:val="23BB2EBF"/>
    <w:rsid w:val="25B82E53"/>
    <w:rsid w:val="26790A34"/>
    <w:rsid w:val="27B134E6"/>
    <w:rsid w:val="29073551"/>
    <w:rsid w:val="2C1D583D"/>
    <w:rsid w:val="2EE53630"/>
    <w:rsid w:val="32732AFD"/>
    <w:rsid w:val="32785148"/>
    <w:rsid w:val="33FB20AC"/>
    <w:rsid w:val="34C726D5"/>
    <w:rsid w:val="35765064"/>
    <w:rsid w:val="35806552"/>
    <w:rsid w:val="35BD0896"/>
    <w:rsid w:val="36562B18"/>
    <w:rsid w:val="385A06A3"/>
    <w:rsid w:val="3944423E"/>
    <w:rsid w:val="39525A3D"/>
    <w:rsid w:val="399626A1"/>
    <w:rsid w:val="3D0E357A"/>
    <w:rsid w:val="3DE978FC"/>
    <w:rsid w:val="3E135D25"/>
    <w:rsid w:val="40476BDC"/>
    <w:rsid w:val="40FB5855"/>
    <w:rsid w:val="4141070F"/>
    <w:rsid w:val="43964DAD"/>
    <w:rsid w:val="43B13554"/>
    <w:rsid w:val="43D05CF7"/>
    <w:rsid w:val="44153672"/>
    <w:rsid w:val="445A1ACF"/>
    <w:rsid w:val="45BC2F20"/>
    <w:rsid w:val="45D7183A"/>
    <w:rsid w:val="47DC0580"/>
    <w:rsid w:val="48441344"/>
    <w:rsid w:val="4A91591F"/>
    <w:rsid w:val="4DD80D21"/>
    <w:rsid w:val="4E2569D7"/>
    <w:rsid w:val="4EA42EC6"/>
    <w:rsid w:val="4EF61BC4"/>
    <w:rsid w:val="501B2A15"/>
    <w:rsid w:val="517147D6"/>
    <w:rsid w:val="52524FBE"/>
    <w:rsid w:val="52771356"/>
    <w:rsid w:val="53193BDE"/>
    <w:rsid w:val="554058F2"/>
    <w:rsid w:val="55680B56"/>
    <w:rsid w:val="595607CD"/>
    <w:rsid w:val="5AAA2F4F"/>
    <w:rsid w:val="5B123245"/>
    <w:rsid w:val="5C1E73DB"/>
    <w:rsid w:val="5CD1444B"/>
    <w:rsid w:val="5EB84053"/>
    <w:rsid w:val="601059CC"/>
    <w:rsid w:val="60BA5511"/>
    <w:rsid w:val="64F3646A"/>
    <w:rsid w:val="6588382C"/>
    <w:rsid w:val="67D95F0A"/>
    <w:rsid w:val="6A23302D"/>
    <w:rsid w:val="6AE2113E"/>
    <w:rsid w:val="6B4355EC"/>
    <w:rsid w:val="6BF70DFC"/>
    <w:rsid w:val="6D495C5A"/>
    <w:rsid w:val="6EB72753"/>
    <w:rsid w:val="6FB30795"/>
    <w:rsid w:val="701C7D75"/>
    <w:rsid w:val="72090AC0"/>
    <w:rsid w:val="737C4D99"/>
    <w:rsid w:val="73E10667"/>
    <w:rsid w:val="748A6957"/>
    <w:rsid w:val="74E26C97"/>
    <w:rsid w:val="77BC1DB9"/>
    <w:rsid w:val="77D12129"/>
    <w:rsid w:val="782566C8"/>
    <w:rsid w:val="7A5168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next w:val="4"/>
    <w:qFormat/>
    <w:uiPriority w:val="0"/>
    <w:rPr>
      <w:rFonts w:eastAsia="仿宋_GB2312"/>
      <w:color w:val="000000"/>
    </w:rPr>
  </w:style>
  <w:style w:type="paragraph" w:styleId="4">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5">
    <w:name w:val="Plain Text"/>
    <w:basedOn w:val="1"/>
    <w:qFormat/>
    <w:uiPriority w:val="0"/>
    <w:pPr>
      <w:widowControl/>
      <w:spacing w:before="100" w:beforeAutospacing="1" w:after="100" w:afterAutospacing="1"/>
      <w:jc w:val="left"/>
    </w:pPr>
    <w:rPr>
      <w:rFonts w:ascii="宋体" w:hAnsi="宋体"/>
      <w:kern w:val="0"/>
      <w:sz w:val="24"/>
    </w:rPr>
  </w:style>
  <w:style w:type="paragraph" w:styleId="6">
    <w:name w:val="footer"/>
    <w:basedOn w:val="1"/>
    <w:link w:val="16"/>
    <w:qFormat/>
    <w:uiPriority w:val="0"/>
    <w:pPr>
      <w:tabs>
        <w:tab w:val="center" w:pos="4153"/>
        <w:tab w:val="right" w:pos="8306"/>
      </w:tabs>
      <w:snapToGrid w:val="0"/>
      <w:jc w:val="left"/>
    </w:pPr>
    <w:rPr>
      <w:sz w:val="18"/>
      <w:szCs w:val="18"/>
    </w:rPr>
  </w:style>
  <w:style w:type="paragraph" w:styleId="7">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8">
    <w:name w:val="toc 1"/>
    <w:basedOn w:val="1"/>
    <w:next w:val="1"/>
    <w:qFormat/>
    <w:uiPriority w:val="0"/>
  </w:style>
  <w:style w:type="paragraph" w:styleId="9">
    <w:name w:val="toc 2"/>
    <w:basedOn w:val="1"/>
    <w:next w:val="1"/>
    <w:qFormat/>
    <w:uiPriority w:val="0"/>
    <w:pPr>
      <w:ind w:left="420" w:leftChars="20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Emphasis"/>
    <w:basedOn w:val="12"/>
    <w:qFormat/>
    <w:uiPriority w:val="0"/>
    <w:rPr>
      <w:i/>
    </w:rPr>
  </w:style>
  <w:style w:type="paragraph" w:customStyle="1" w:styleId="14">
    <w:name w:val="目录 21"/>
    <w:basedOn w:val="1"/>
    <w:next w:val="1"/>
    <w:qFormat/>
    <w:uiPriority w:val="0"/>
    <w:pPr>
      <w:spacing w:before="100" w:beforeAutospacing="1" w:after="100" w:afterAutospacing="1"/>
      <w:ind w:left="420" w:leftChars="200"/>
    </w:pPr>
  </w:style>
  <w:style w:type="character" w:customStyle="1" w:styleId="15">
    <w:name w:val="页眉 字符"/>
    <w:basedOn w:val="12"/>
    <w:link w:val="7"/>
    <w:qFormat/>
    <w:uiPriority w:val="0"/>
    <w:rPr>
      <w:rFonts w:asciiTheme="minorHAnsi" w:hAnsiTheme="minorHAnsi" w:eastAsiaTheme="minorEastAsia" w:cstheme="minorBidi"/>
      <w:kern w:val="2"/>
      <w:sz w:val="18"/>
      <w:szCs w:val="18"/>
    </w:rPr>
  </w:style>
  <w:style w:type="character" w:customStyle="1" w:styleId="16">
    <w:name w:val="页脚 字符"/>
    <w:basedOn w:val="12"/>
    <w:link w:val="6"/>
    <w:qFormat/>
    <w:uiPriority w:val="0"/>
    <w:rPr>
      <w:rFonts w:asciiTheme="minorHAnsi" w:hAnsiTheme="minorHAnsi" w:eastAsiaTheme="minorEastAsia" w:cstheme="minorBidi"/>
      <w:kern w:val="2"/>
      <w:sz w:val="18"/>
      <w:szCs w:val="18"/>
    </w:rPr>
  </w:style>
  <w:style w:type="paragraph" w:customStyle="1" w:styleId="17">
    <w:name w:val="WPSOffice手动目录 1"/>
    <w:qFormat/>
    <w:uiPriority w:val="0"/>
    <w:pPr>
      <w:ind w:leftChars="0"/>
    </w:pPr>
    <w:rPr>
      <w:rFonts w:ascii="Times New Roman" w:hAnsi="Times New Roman" w:eastAsia="宋体" w:cs="Times New Roman"/>
      <w:sz w:val="20"/>
      <w:szCs w:val="20"/>
    </w:rPr>
  </w:style>
  <w:style w:type="paragraph" w:customStyle="1" w:styleId="18">
    <w:name w:val="WPSOffice手动目录 2"/>
    <w:qFormat/>
    <w:uiPriority w:val="0"/>
    <w:pPr>
      <w:ind w:leftChars="200"/>
    </w:pPr>
    <w:rPr>
      <w:rFonts w:ascii="Times New Roman" w:hAnsi="Times New Roman" w:eastAsia="宋体" w:cs="Times New Roman"/>
      <w:sz w:val="20"/>
      <w:szCs w:val="20"/>
    </w:rPr>
  </w:style>
  <w:style w:type="character" w:customStyle="1" w:styleId="19">
    <w:name w:val="font61"/>
    <w:basedOn w:val="12"/>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26</Pages>
  <Words>5759</Words>
  <Characters>6330</Characters>
  <Lines>62</Lines>
  <Paragraphs>17</Paragraphs>
  <TotalTime>0</TotalTime>
  <ScaleCrop>false</ScaleCrop>
  <LinksUpToDate>false</LinksUpToDate>
  <CharactersWithSpaces>6680</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2022-10-18T09:35:00Z</dcterms:created>
  <dc:creator>1231</dc:creator>
  <cp:lastModifiedBy>梁飞飞</cp:lastModifiedBy>
  <dcterms:modified xsi:type="dcterms:W3CDTF">2025-02-20T06:11:11Z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132481A6655D4A8C8F0FA9A2FEA0B32B</vt:lpwstr>
  </property>
</Properties>
</file>