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jc w:val="both"/>
        <w:outlineLvl w:val="0"/>
        <w:rPr>
          <w:rFonts w:hint="eastAsia"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lang w:val="en-US" w:eastAsia="zh-CN"/>
        </w:rPr>
        <w:t>附件4：</w:t>
      </w:r>
    </w:p>
    <w:p>
      <w:pPr>
        <w:widowControl w:val="0"/>
        <w:jc w:val="center"/>
        <w:outlineLvl w:val="9"/>
        <w:rPr>
          <w:rFonts w:hint="eastAsia" w:ascii="黑体" w:hAnsi="黑体" w:eastAsia="黑体" w:cs="黑体"/>
          <w:b w:val="0"/>
          <w:bCs w:val="0"/>
          <w:color w:val="auto"/>
          <w:sz w:val="32"/>
          <w:szCs w:val="32"/>
          <w:highlight w:val="none"/>
        </w:rPr>
      </w:pPr>
      <w:r>
        <w:rPr>
          <w:rFonts w:hint="eastAsia" w:ascii="黑体" w:hAnsi="黑体" w:eastAsia="黑体" w:cs="黑体"/>
          <w:b w:val="0"/>
          <w:bCs w:val="0"/>
          <w:color w:val="auto"/>
          <w:sz w:val="32"/>
          <w:szCs w:val="32"/>
          <w:highlight w:val="none"/>
          <w:lang w:val="en-US" w:eastAsia="zh-CN"/>
        </w:rPr>
        <w:t>特高压检修试验基地电梯维修</w:t>
      </w:r>
      <w:r>
        <w:rPr>
          <w:rFonts w:hint="eastAsia" w:ascii="黑体" w:hAnsi="黑体" w:eastAsia="黑体" w:cs="黑体"/>
          <w:b w:val="0"/>
          <w:bCs w:val="0"/>
          <w:color w:val="auto"/>
          <w:sz w:val="32"/>
          <w:szCs w:val="32"/>
          <w:highlight w:val="none"/>
        </w:rPr>
        <w:t>保养</w:t>
      </w:r>
      <w:r>
        <w:rPr>
          <w:rFonts w:hint="eastAsia" w:ascii="黑体" w:hAnsi="黑体" w:eastAsia="黑体" w:cs="黑体"/>
          <w:b w:val="0"/>
          <w:bCs w:val="0"/>
          <w:color w:val="auto"/>
          <w:sz w:val="32"/>
          <w:szCs w:val="32"/>
          <w:highlight w:val="none"/>
          <w:lang w:val="en-US" w:eastAsia="zh-CN"/>
        </w:rPr>
        <w:t>服务项目</w:t>
      </w:r>
      <w:r>
        <w:rPr>
          <w:rFonts w:hint="eastAsia" w:ascii="黑体" w:hAnsi="黑体" w:eastAsia="黑体" w:cs="黑体"/>
          <w:b w:val="0"/>
          <w:bCs w:val="0"/>
          <w:color w:val="auto"/>
          <w:sz w:val="32"/>
          <w:szCs w:val="32"/>
          <w:highlight w:val="none"/>
        </w:rPr>
        <w:t>技术规范书</w:t>
      </w:r>
    </w:p>
    <w:p>
      <w:pPr>
        <w:widowControl w:val="0"/>
        <w:jc w:val="center"/>
        <w:outlineLvl w:val="9"/>
        <w:rPr>
          <w:rFonts w:hint="eastAsia" w:ascii="宋体" w:hAnsi="宋体" w:eastAsia="宋体" w:cs="宋体"/>
          <w:b/>
          <w:bCs/>
          <w:color w:val="auto"/>
          <w:sz w:val="32"/>
          <w:szCs w:val="32"/>
          <w:highlight w:val="none"/>
          <w:lang w:val="en-US" w:eastAsia="zh-CN"/>
        </w:rPr>
      </w:pP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rPr>
      </w:pPr>
      <w:r>
        <w:rPr>
          <w:rFonts w:hint="eastAsia" w:ascii="宋体" w:hAnsi="宋体" w:eastAsia="宋体" w:cs="仿宋"/>
          <w:color w:val="auto"/>
          <w:sz w:val="28"/>
          <w:szCs w:val="28"/>
          <w:highlight w:val="none"/>
        </w:rPr>
        <w:t>说明：本技术规范书将作为合同的组成部分，与合同具有同等法律效力，本技术规范书的工作内容与要求将纳入考核办法中，各投标单位须认真仔细阅读理解。</w:t>
      </w:r>
    </w:p>
    <w:p>
      <w:pPr>
        <w:pageBreakBefore w:val="0"/>
        <w:tabs>
          <w:tab w:val="left" w:pos="7920"/>
        </w:tabs>
        <w:kinsoku/>
        <w:wordWrap/>
        <w:topLinePunct w:val="0"/>
        <w:autoSpaceDE/>
        <w:autoSpaceDN/>
        <w:bidi w:val="0"/>
        <w:adjustRightInd w:val="0"/>
        <w:snapToGrid w:val="0"/>
        <w:spacing w:line="360" w:lineRule="auto"/>
        <w:ind w:firstLine="562" w:firstLineChars="200"/>
        <w:jc w:val="both"/>
        <w:outlineLvl w:val="9"/>
        <w:rPr>
          <w:rFonts w:hint="eastAsia" w:asciiTheme="minorEastAsia" w:hAnsiTheme="minorEastAsia" w:eastAsiaTheme="minorEastAsia" w:cstheme="minorEastAsia"/>
          <w:b/>
          <w:color w:val="auto"/>
          <w:kern w:val="2"/>
          <w:sz w:val="28"/>
          <w:szCs w:val="28"/>
          <w:highlight w:val="none"/>
          <w:lang w:val="en-US" w:eastAsia="zh-CN" w:bidi="ar-SA"/>
        </w:rPr>
      </w:pPr>
      <w:r>
        <w:rPr>
          <w:rFonts w:hint="eastAsia" w:asciiTheme="minorEastAsia" w:hAnsiTheme="minorEastAsia" w:eastAsiaTheme="minorEastAsia" w:cstheme="minorEastAsia"/>
          <w:b/>
          <w:color w:val="auto"/>
          <w:kern w:val="2"/>
          <w:sz w:val="28"/>
          <w:szCs w:val="28"/>
          <w:highlight w:val="none"/>
          <w:lang w:val="en-US" w:eastAsia="zh-CN" w:bidi="ar-SA"/>
        </w:rPr>
        <w:t>一、项目概况</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rPr>
      </w:pPr>
      <w:r>
        <w:rPr>
          <w:rFonts w:hint="eastAsia" w:ascii="宋体" w:hAnsi="宋体" w:eastAsia="宋体" w:cs="仿宋"/>
          <w:color w:val="auto"/>
          <w:sz w:val="28"/>
          <w:szCs w:val="28"/>
          <w:highlight w:val="none"/>
          <w:lang w:val="en-US" w:eastAsia="zh-CN"/>
        </w:rPr>
        <w:t>特高压检修试验基地电梯维修保养服务</w:t>
      </w:r>
      <w:r>
        <w:rPr>
          <w:rFonts w:hint="eastAsia" w:ascii="宋体" w:hAnsi="宋体" w:eastAsia="宋体" w:cs="仿宋"/>
          <w:color w:val="auto"/>
          <w:sz w:val="28"/>
          <w:szCs w:val="28"/>
          <w:highlight w:val="none"/>
        </w:rPr>
        <w:t>项目（以下简称“本项目”）位于</w:t>
      </w:r>
      <w:r>
        <w:rPr>
          <w:rFonts w:hint="eastAsia" w:ascii="宋体" w:hAnsi="宋体" w:eastAsia="宋体" w:cs="仿宋"/>
          <w:color w:val="auto"/>
          <w:sz w:val="28"/>
          <w:szCs w:val="28"/>
          <w:highlight w:val="none"/>
          <w:lang w:val="en-US" w:eastAsia="zh-CN"/>
        </w:rPr>
        <w:t>广州市增城区新耀北路53号。</w:t>
      </w:r>
      <w:r>
        <w:rPr>
          <w:rFonts w:hint="eastAsia" w:ascii="宋体" w:hAnsi="宋体" w:eastAsia="宋体" w:cs="仿宋"/>
          <w:color w:val="auto"/>
          <w:sz w:val="28"/>
          <w:szCs w:val="28"/>
          <w:highlight w:val="none"/>
          <w:lang w:eastAsia="zh-CN"/>
        </w:rPr>
        <w:t>设施为</w:t>
      </w:r>
      <w:r>
        <w:rPr>
          <w:rFonts w:hint="eastAsia" w:ascii="宋体" w:hAnsi="宋体" w:eastAsia="宋体" w:cs="仿宋"/>
          <w:color w:val="auto"/>
          <w:sz w:val="28"/>
          <w:szCs w:val="28"/>
          <w:highlight w:val="none"/>
        </w:rPr>
        <w:t>曳引式客梯</w:t>
      </w:r>
      <w:r>
        <w:rPr>
          <w:rFonts w:hint="eastAsia" w:ascii="宋体" w:hAnsi="宋体" w:eastAsia="宋体" w:cs="仿宋"/>
          <w:color w:val="auto"/>
          <w:sz w:val="28"/>
          <w:szCs w:val="28"/>
          <w:highlight w:val="none"/>
          <w:lang w:val="en-US" w:eastAsia="zh-CN"/>
        </w:rPr>
        <w:t>、无机房客梯、杂物电梯</w:t>
      </w:r>
      <w:r>
        <w:rPr>
          <w:rFonts w:hint="eastAsia" w:ascii="宋体" w:hAnsi="宋体" w:eastAsia="宋体" w:cs="仿宋"/>
          <w:color w:val="auto"/>
          <w:sz w:val="28"/>
          <w:szCs w:val="28"/>
          <w:highlight w:val="none"/>
        </w:rPr>
        <w:t>，</w:t>
      </w:r>
      <w:r>
        <w:rPr>
          <w:rFonts w:hint="eastAsia" w:ascii="宋体" w:hAnsi="宋体" w:eastAsia="宋体" w:cs="仿宋"/>
          <w:color w:val="auto"/>
          <w:sz w:val="28"/>
          <w:szCs w:val="28"/>
          <w:highlight w:val="none"/>
          <w:lang w:eastAsia="zh-CN"/>
        </w:rPr>
        <w:t>数量共有</w:t>
      </w:r>
      <w:r>
        <w:rPr>
          <w:rFonts w:hint="eastAsia" w:ascii="宋体" w:hAnsi="宋体" w:eastAsia="宋体" w:cs="仿宋"/>
          <w:color w:val="auto"/>
          <w:sz w:val="28"/>
          <w:szCs w:val="28"/>
          <w:highlight w:val="none"/>
          <w:lang w:val="en-US" w:eastAsia="zh-CN"/>
        </w:rPr>
        <w:t>7台，</w:t>
      </w:r>
      <w:r>
        <w:rPr>
          <w:rFonts w:hint="eastAsia" w:ascii="宋体" w:hAnsi="宋体" w:eastAsia="宋体" w:cs="仿宋"/>
          <w:color w:val="auto"/>
          <w:sz w:val="28"/>
          <w:szCs w:val="28"/>
          <w:highlight w:val="none"/>
        </w:rPr>
        <w:t>为了确保</w:t>
      </w:r>
      <w:r>
        <w:rPr>
          <w:rFonts w:hint="eastAsia" w:ascii="宋体" w:hAnsi="宋体" w:eastAsia="宋体" w:cs="仿宋"/>
          <w:color w:val="auto"/>
          <w:sz w:val="28"/>
          <w:szCs w:val="28"/>
          <w:highlight w:val="none"/>
          <w:lang w:val="en-US" w:eastAsia="zh-CN"/>
        </w:rPr>
        <w:t>电梯设备维保</w:t>
      </w:r>
      <w:r>
        <w:rPr>
          <w:rFonts w:hint="eastAsia" w:ascii="宋体" w:hAnsi="宋体" w:eastAsia="宋体" w:cs="仿宋"/>
          <w:color w:val="auto"/>
          <w:sz w:val="28"/>
          <w:szCs w:val="28"/>
          <w:highlight w:val="none"/>
        </w:rPr>
        <w:t>工作顺利开展，特编制本项目技术规范书。</w:t>
      </w:r>
    </w:p>
    <w:p>
      <w:pPr>
        <w:pageBreakBefore w:val="0"/>
        <w:tabs>
          <w:tab w:val="left" w:pos="7920"/>
        </w:tabs>
        <w:kinsoku/>
        <w:wordWrap/>
        <w:topLinePunct w:val="0"/>
        <w:autoSpaceDE/>
        <w:autoSpaceDN/>
        <w:bidi w:val="0"/>
        <w:adjustRightInd w:val="0"/>
        <w:snapToGrid w:val="0"/>
        <w:spacing w:line="360" w:lineRule="auto"/>
        <w:ind w:firstLine="562" w:firstLineChars="200"/>
        <w:jc w:val="both"/>
        <w:outlineLvl w:val="9"/>
        <w:rPr>
          <w:rFonts w:hint="eastAsia" w:asciiTheme="minorEastAsia" w:hAnsiTheme="minorEastAsia" w:eastAsiaTheme="minorEastAsia" w:cstheme="minorEastAsia"/>
          <w:b/>
          <w:color w:val="auto"/>
          <w:kern w:val="2"/>
          <w:sz w:val="28"/>
          <w:szCs w:val="28"/>
          <w:highlight w:val="none"/>
          <w:lang w:val="en-US" w:eastAsia="zh-CN" w:bidi="ar-SA"/>
        </w:rPr>
      </w:pPr>
      <w:r>
        <w:rPr>
          <w:rFonts w:hint="eastAsia" w:asciiTheme="minorEastAsia" w:hAnsiTheme="minorEastAsia" w:eastAsiaTheme="minorEastAsia" w:cstheme="minorEastAsia"/>
          <w:b/>
          <w:color w:val="auto"/>
          <w:kern w:val="2"/>
          <w:sz w:val="28"/>
          <w:szCs w:val="28"/>
          <w:highlight w:val="none"/>
          <w:lang w:val="en-US" w:eastAsia="zh-CN" w:bidi="ar-SA"/>
        </w:rPr>
        <w:t>二、系统主要设备</w:t>
      </w:r>
    </w:p>
    <w:p>
      <w:pPr>
        <w:pStyle w:val="12"/>
        <w:pageBreakBefore w:val="0"/>
        <w:kinsoku/>
        <w:wordWrap/>
        <w:overflowPunct/>
        <w:topLinePunct w:val="0"/>
        <w:autoSpaceDE/>
        <w:autoSpaceDN/>
        <w:bidi w:val="0"/>
        <w:spacing w:line="29" w:lineRule="atLeast"/>
        <w:ind w:firstLine="562" w:firstLineChars="200"/>
        <w:outlineLvl w:val="9"/>
        <w:rPr>
          <w:rFonts w:hint="eastAsia"/>
          <w:b/>
          <w:bCs/>
          <w:color w:val="auto"/>
          <w:sz w:val="28"/>
          <w:szCs w:val="28"/>
          <w:highlight w:val="none"/>
          <w:lang w:val="en-US" w:eastAsia="zh-CN"/>
        </w:rPr>
      </w:pPr>
      <w:r>
        <w:rPr>
          <w:rFonts w:hint="eastAsia"/>
          <w:b/>
          <w:bCs/>
          <w:color w:val="auto"/>
          <w:sz w:val="28"/>
          <w:szCs w:val="28"/>
          <w:highlight w:val="none"/>
          <w:lang w:val="en-US" w:eastAsia="zh-CN"/>
        </w:rPr>
        <w:t>1.设备介绍</w:t>
      </w:r>
    </w:p>
    <w:tbl>
      <w:tblPr>
        <w:tblStyle w:val="6"/>
        <w:tblW w:w="4998" w:type="pct"/>
        <w:jc w:val="center"/>
        <w:tblLayout w:type="autofit"/>
        <w:tblCellMar>
          <w:top w:w="0" w:type="dxa"/>
          <w:left w:w="0" w:type="dxa"/>
          <w:bottom w:w="0" w:type="dxa"/>
          <w:right w:w="0" w:type="dxa"/>
        </w:tblCellMar>
      </w:tblPr>
      <w:tblGrid>
        <w:gridCol w:w="2885"/>
        <w:gridCol w:w="749"/>
        <w:gridCol w:w="2313"/>
        <w:gridCol w:w="747"/>
        <w:gridCol w:w="1032"/>
        <w:gridCol w:w="607"/>
      </w:tblGrid>
      <w:tr>
        <w:tblPrEx>
          <w:tblCellMar>
            <w:top w:w="0" w:type="dxa"/>
            <w:left w:w="0" w:type="dxa"/>
            <w:bottom w:w="0" w:type="dxa"/>
            <w:right w:w="0" w:type="dxa"/>
          </w:tblCellMar>
        </w:tblPrEx>
        <w:trPr>
          <w:trHeight w:val="270" w:hRule="atLeast"/>
          <w:jc w:val="center"/>
        </w:trPr>
        <w:tc>
          <w:tcPr>
            <w:tcW w:w="1730" w:type="pct"/>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sz w:val="24"/>
                <w:szCs w:val="24"/>
              </w:rPr>
            </w:pPr>
            <w:r>
              <w:rPr>
                <w:rFonts w:hint="eastAsia" w:ascii="宋体" w:hAnsi="宋体" w:eastAsia="宋体" w:cs="宋体"/>
                <w:b/>
                <w:kern w:val="0"/>
                <w:sz w:val="24"/>
                <w:szCs w:val="24"/>
              </w:rPr>
              <w:t>注册代码</w:t>
            </w:r>
          </w:p>
        </w:tc>
        <w:tc>
          <w:tcPr>
            <w:tcW w:w="449" w:type="pct"/>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sz w:val="24"/>
                <w:szCs w:val="24"/>
              </w:rPr>
            </w:pPr>
            <w:r>
              <w:rPr>
                <w:rFonts w:hint="eastAsia" w:ascii="宋体" w:hAnsi="宋体" w:eastAsia="宋体" w:cs="宋体"/>
                <w:b/>
                <w:kern w:val="0"/>
                <w:sz w:val="24"/>
                <w:szCs w:val="24"/>
              </w:rPr>
              <w:t>梯号</w:t>
            </w:r>
          </w:p>
        </w:tc>
        <w:tc>
          <w:tcPr>
            <w:tcW w:w="1387" w:type="pct"/>
            <w:vMerge w:val="restar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sz w:val="24"/>
                <w:szCs w:val="24"/>
              </w:rPr>
            </w:pPr>
            <w:r>
              <w:rPr>
                <w:rFonts w:hint="eastAsia" w:ascii="宋体" w:hAnsi="宋体" w:eastAsia="宋体" w:cs="宋体"/>
                <w:b/>
                <w:kern w:val="0"/>
                <w:sz w:val="24"/>
                <w:szCs w:val="24"/>
              </w:rPr>
              <w:t>型号</w:t>
            </w:r>
          </w:p>
        </w:tc>
        <w:tc>
          <w:tcPr>
            <w:tcW w:w="4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sz w:val="24"/>
                <w:szCs w:val="24"/>
              </w:rPr>
            </w:pPr>
            <w:r>
              <w:rPr>
                <w:rFonts w:hint="eastAsia" w:ascii="宋体" w:hAnsi="宋体" w:eastAsia="宋体" w:cs="宋体"/>
                <w:b/>
                <w:kern w:val="0"/>
                <w:sz w:val="24"/>
                <w:szCs w:val="24"/>
              </w:rPr>
              <w:t>速度</w:t>
            </w:r>
          </w:p>
        </w:tc>
        <w:tc>
          <w:tcPr>
            <w:tcW w:w="61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sz w:val="24"/>
                <w:szCs w:val="24"/>
              </w:rPr>
            </w:pPr>
            <w:r>
              <w:rPr>
                <w:rFonts w:hint="eastAsia" w:ascii="宋体" w:hAnsi="宋体" w:eastAsia="宋体" w:cs="宋体"/>
                <w:b/>
                <w:kern w:val="0"/>
                <w:sz w:val="24"/>
                <w:szCs w:val="24"/>
              </w:rPr>
              <w:t>层站</w:t>
            </w:r>
          </w:p>
        </w:tc>
        <w:tc>
          <w:tcPr>
            <w:tcW w:w="3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sz w:val="24"/>
                <w:szCs w:val="24"/>
              </w:rPr>
            </w:pPr>
            <w:r>
              <w:rPr>
                <w:rFonts w:hint="eastAsia" w:ascii="宋体" w:hAnsi="宋体" w:eastAsia="宋体" w:cs="宋体"/>
                <w:b/>
                <w:kern w:val="0"/>
                <w:sz w:val="24"/>
                <w:szCs w:val="24"/>
              </w:rPr>
              <w:t>数量</w:t>
            </w:r>
          </w:p>
        </w:tc>
      </w:tr>
      <w:tr>
        <w:tblPrEx>
          <w:tblCellMar>
            <w:top w:w="0" w:type="dxa"/>
            <w:left w:w="0" w:type="dxa"/>
            <w:bottom w:w="0" w:type="dxa"/>
            <w:right w:w="0" w:type="dxa"/>
          </w:tblCellMar>
        </w:tblPrEx>
        <w:trPr>
          <w:trHeight w:val="345" w:hRule="atLeast"/>
          <w:jc w:val="center"/>
        </w:trPr>
        <w:tc>
          <w:tcPr>
            <w:tcW w:w="1730"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eastAsia="宋体" w:cs="宋体"/>
                <w:b/>
                <w:sz w:val="24"/>
                <w:szCs w:val="24"/>
              </w:rPr>
            </w:pPr>
          </w:p>
        </w:tc>
        <w:tc>
          <w:tcPr>
            <w:tcW w:w="449"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eastAsia="宋体" w:cs="宋体"/>
                <w:b/>
                <w:sz w:val="24"/>
                <w:szCs w:val="24"/>
              </w:rPr>
            </w:pPr>
          </w:p>
        </w:tc>
        <w:tc>
          <w:tcPr>
            <w:tcW w:w="1387" w:type="pct"/>
            <w:vMerge w:val="continue"/>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eastAsia="宋体" w:cs="宋体"/>
                <w:b/>
                <w:sz w:val="24"/>
                <w:szCs w:val="24"/>
              </w:rPr>
            </w:pPr>
          </w:p>
        </w:tc>
        <w:tc>
          <w:tcPr>
            <w:tcW w:w="4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sz w:val="24"/>
                <w:szCs w:val="24"/>
              </w:rPr>
            </w:pPr>
            <w:r>
              <w:rPr>
                <w:rFonts w:hint="eastAsia" w:ascii="宋体" w:hAnsi="宋体" w:eastAsia="宋体" w:cs="宋体"/>
                <w:kern w:val="0"/>
                <w:sz w:val="24"/>
                <w:szCs w:val="24"/>
              </w:rPr>
              <w:t>(m/s)</w:t>
            </w:r>
          </w:p>
        </w:tc>
        <w:tc>
          <w:tcPr>
            <w:tcW w:w="61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sz w:val="24"/>
                <w:szCs w:val="24"/>
              </w:rPr>
            </w:pPr>
            <w:r>
              <w:rPr>
                <w:rFonts w:hint="eastAsia" w:ascii="宋体" w:hAnsi="宋体" w:eastAsia="宋体" w:cs="宋体"/>
                <w:kern w:val="0"/>
                <w:sz w:val="24"/>
                <w:szCs w:val="24"/>
              </w:rPr>
              <w:t>(站/门)</w:t>
            </w:r>
          </w:p>
        </w:tc>
        <w:tc>
          <w:tcPr>
            <w:tcW w:w="3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sz w:val="24"/>
                <w:szCs w:val="24"/>
              </w:rPr>
            </w:pPr>
            <w:r>
              <w:rPr>
                <w:rFonts w:hint="eastAsia" w:ascii="宋体" w:hAnsi="宋体" w:eastAsia="宋体" w:cs="宋体"/>
                <w:kern w:val="0"/>
                <w:sz w:val="24"/>
                <w:szCs w:val="24"/>
              </w:rPr>
              <w:t>(台)</w:t>
            </w:r>
          </w:p>
        </w:tc>
      </w:tr>
      <w:tr>
        <w:tblPrEx>
          <w:tblCellMar>
            <w:top w:w="0" w:type="dxa"/>
            <w:left w:w="0" w:type="dxa"/>
            <w:bottom w:w="0" w:type="dxa"/>
            <w:right w:w="0" w:type="dxa"/>
          </w:tblCellMar>
        </w:tblPrEx>
        <w:trPr>
          <w:trHeight w:val="613" w:hRule="atLeast"/>
          <w:jc w:val="center"/>
        </w:trPr>
        <w:tc>
          <w:tcPr>
            <w:tcW w:w="173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31104401832013110083</w:t>
            </w:r>
          </w:p>
        </w:tc>
        <w:tc>
          <w:tcPr>
            <w:tcW w:w="4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w:t>
            </w:r>
          </w:p>
        </w:tc>
        <w:tc>
          <w:tcPr>
            <w:tcW w:w="138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HGP-1050-C0105</w:t>
            </w:r>
          </w:p>
        </w:tc>
        <w:tc>
          <w:tcPr>
            <w:tcW w:w="4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1.5</w:t>
            </w:r>
          </w:p>
        </w:tc>
        <w:tc>
          <w:tcPr>
            <w:tcW w:w="61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kern w:val="0"/>
                <w:sz w:val="21"/>
                <w:szCs w:val="21"/>
                <w:lang w:val="en-US" w:eastAsia="zh-CN"/>
              </w:rPr>
              <w:t>9</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9</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9</w:t>
            </w:r>
          </w:p>
        </w:tc>
        <w:tc>
          <w:tcPr>
            <w:tcW w:w="3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w:t>
            </w:r>
          </w:p>
        </w:tc>
      </w:tr>
      <w:tr>
        <w:tblPrEx>
          <w:tblCellMar>
            <w:top w:w="0" w:type="dxa"/>
            <w:left w:w="0" w:type="dxa"/>
            <w:bottom w:w="0" w:type="dxa"/>
            <w:right w:w="0" w:type="dxa"/>
          </w:tblCellMar>
        </w:tblPrEx>
        <w:trPr>
          <w:trHeight w:val="480" w:hRule="atLeast"/>
          <w:jc w:val="center"/>
        </w:trPr>
        <w:tc>
          <w:tcPr>
            <w:tcW w:w="173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rPr>
            </w:pPr>
            <w:r>
              <w:rPr>
                <w:rFonts w:hint="eastAsia" w:ascii="宋体" w:hAnsi="宋体" w:eastAsia="宋体" w:cs="宋体"/>
                <w:b w:val="0"/>
                <w:bCs w:val="0"/>
                <w:color w:val="auto"/>
                <w:sz w:val="21"/>
                <w:szCs w:val="21"/>
                <w:lang w:val="en-US" w:eastAsia="zh-CN"/>
              </w:rPr>
              <w:t>31104401832013110084</w:t>
            </w:r>
          </w:p>
        </w:tc>
        <w:tc>
          <w:tcPr>
            <w:tcW w:w="4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2#</w:t>
            </w:r>
          </w:p>
        </w:tc>
        <w:tc>
          <w:tcPr>
            <w:tcW w:w="138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HGP-1050-C0105</w:t>
            </w:r>
          </w:p>
        </w:tc>
        <w:tc>
          <w:tcPr>
            <w:tcW w:w="4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sz w:val="21"/>
                <w:szCs w:val="21"/>
                <w:lang w:val="en-US" w:eastAsia="zh-CN"/>
              </w:rPr>
              <w:t>1.5</w:t>
            </w:r>
          </w:p>
        </w:tc>
        <w:tc>
          <w:tcPr>
            <w:tcW w:w="61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r>
              <w:rPr>
                <w:rFonts w:hint="eastAsia" w:ascii="宋体" w:hAnsi="宋体" w:eastAsia="宋体" w:cs="宋体"/>
                <w:b w:val="0"/>
                <w:bCs w:val="0"/>
                <w:color w:val="auto"/>
                <w:kern w:val="0"/>
                <w:sz w:val="21"/>
                <w:szCs w:val="21"/>
                <w:lang w:val="en-US" w:eastAsia="zh-CN"/>
              </w:rPr>
              <w:t>9</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9</w:t>
            </w:r>
            <w:r>
              <w:rPr>
                <w:rFonts w:hint="eastAsia" w:ascii="宋体" w:hAnsi="宋体" w:eastAsia="宋体" w:cs="宋体"/>
                <w:b w:val="0"/>
                <w:bCs w:val="0"/>
                <w:color w:val="auto"/>
                <w:kern w:val="0"/>
                <w:sz w:val="21"/>
                <w:szCs w:val="21"/>
              </w:rPr>
              <w:t>/</w:t>
            </w:r>
            <w:r>
              <w:rPr>
                <w:rFonts w:hint="eastAsia" w:ascii="宋体" w:hAnsi="宋体" w:eastAsia="宋体" w:cs="宋体"/>
                <w:b w:val="0"/>
                <w:bCs w:val="0"/>
                <w:color w:val="auto"/>
                <w:kern w:val="0"/>
                <w:sz w:val="21"/>
                <w:szCs w:val="21"/>
                <w:lang w:val="en-US" w:eastAsia="zh-CN"/>
              </w:rPr>
              <w:t>9</w:t>
            </w:r>
          </w:p>
        </w:tc>
        <w:tc>
          <w:tcPr>
            <w:tcW w:w="3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sz w:val="21"/>
                <w:szCs w:val="21"/>
              </w:rPr>
            </w:pPr>
            <w:r>
              <w:rPr>
                <w:rFonts w:hint="eastAsia" w:ascii="宋体" w:hAnsi="宋体" w:eastAsia="宋体" w:cs="宋体"/>
                <w:b w:val="0"/>
                <w:bCs w:val="0"/>
                <w:kern w:val="0"/>
                <w:sz w:val="21"/>
                <w:szCs w:val="21"/>
              </w:rPr>
              <w:t>1</w:t>
            </w:r>
          </w:p>
        </w:tc>
      </w:tr>
      <w:tr>
        <w:tblPrEx>
          <w:tblCellMar>
            <w:top w:w="0" w:type="dxa"/>
            <w:left w:w="0" w:type="dxa"/>
            <w:bottom w:w="0" w:type="dxa"/>
            <w:right w:w="0" w:type="dxa"/>
          </w:tblCellMar>
        </w:tblPrEx>
        <w:trPr>
          <w:trHeight w:val="480" w:hRule="atLeast"/>
          <w:jc w:val="center"/>
        </w:trPr>
        <w:tc>
          <w:tcPr>
            <w:tcW w:w="173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31104401832012110009</w:t>
            </w:r>
          </w:p>
        </w:tc>
        <w:tc>
          <w:tcPr>
            <w:tcW w:w="4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0"/>
                <w:sz w:val="21"/>
                <w:szCs w:val="21"/>
              </w:rPr>
              <w:t>1#</w:t>
            </w:r>
          </w:p>
        </w:tc>
        <w:tc>
          <w:tcPr>
            <w:tcW w:w="138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HGP-825-C060</w:t>
            </w:r>
          </w:p>
        </w:tc>
        <w:tc>
          <w:tcPr>
            <w:tcW w:w="4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61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6/6/6</w:t>
            </w:r>
          </w:p>
        </w:tc>
        <w:tc>
          <w:tcPr>
            <w:tcW w:w="3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w:t>
            </w:r>
          </w:p>
        </w:tc>
      </w:tr>
      <w:tr>
        <w:tblPrEx>
          <w:tblCellMar>
            <w:top w:w="0" w:type="dxa"/>
            <w:left w:w="0" w:type="dxa"/>
            <w:bottom w:w="0" w:type="dxa"/>
            <w:right w:w="0" w:type="dxa"/>
          </w:tblCellMar>
        </w:tblPrEx>
        <w:trPr>
          <w:trHeight w:val="480" w:hRule="atLeast"/>
          <w:jc w:val="center"/>
        </w:trPr>
        <w:tc>
          <w:tcPr>
            <w:tcW w:w="173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31104401832012110010</w:t>
            </w:r>
          </w:p>
        </w:tc>
        <w:tc>
          <w:tcPr>
            <w:tcW w:w="4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kern w:val="2"/>
                <w:sz w:val="21"/>
                <w:szCs w:val="21"/>
                <w:lang w:val="en-US" w:eastAsia="zh-CN" w:bidi="ar-SA"/>
              </w:rPr>
            </w:pPr>
            <w:r>
              <w:rPr>
                <w:rFonts w:hint="eastAsia" w:ascii="宋体" w:hAnsi="宋体" w:eastAsia="宋体" w:cs="宋体"/>
                <w:b w:val="0"/>
                <w:bCs w:val="0"/>
                <w:color w:val="auto"/>
                <w:kern w:val="0"/>
                <w:sz w:val="21"/>
                <w:szCs w:val="21"/>
              </w:rPr>
              <w:t>2#</w:t>
            </w:r>
          </w:p>
        </w:tc>
        <w:tc>
          <w:tcPr>
            <w:tcW w:w="138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r>
              <w:rPr>
                <w:rFonts w:hint="eastAsia" w:ascii="宋体" w:hAnsi="宋体" w:eastAsia="宋体" w:cs="宋体"/>
                <w:b w:val="0"/>
                <w:bCs w:val="0"/>
                <w:color w:val="auto"/>
                <w:sz w:val="21"/>
                <w:szCs w:val="21"/>
                <w:lang w:val="en-US" w:eastAsia="zh-CN"/>
              </w:rPr>
              <w:t>HGP-825-C060</w:t>
            </w:r>
          </w:p>
        </w:tc>
        <w:tc>
          <w:tcPr>
            <w:tcW w:w="4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61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6/6/6</w:t>
            </w:r>
          </w:p>
        </w:tc>
        <w:tc>
          <w:tcPr>
            <w:tcW w:w="3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w:t>
            </w:r>
          </w:p>
        </w:tc>
      </w:tr>
      <w:tr>
        <w:tblPrEx>
          <w:tblCellMar>
            <w:top w:w="0" w:type="dxa"/>
            <w:left w:w="0" w:type="dxa"/>
            <w:bottom w:w="0" w:type="dxa"/>
            <w:right w:w="0" w:type="dxa"/>
          </w:tblCellMar>
        </w:tblPrEx>
        <w:trPr>
          <w:trHeight w:val="480" w:hRule="atLeast"/>
          <w:jc w:val="center"/>
        </w:trPr>
        <w:tc>
          <w:tcPr>
            <w:tcW w:w="173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31304401832015010001</w:t>
            </w:r>
          </w:p>
        </w:tc>
        <w:tc>
          <w:tcPr>
            <w:tcW w:w="4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p>
        </w:tc>
        <w:tc>
          <w:tcPr>
            <w:tcW w:w="138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KLW/VF</w:t>
            </w:r>
          </w:p>
        </w:tc>
        <w:tc>
          <w:tcPr>
            <w:tcW w:w="4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1.6</w:t>
            </w:r>
          </w:p>
        </w:tc>
        <w:tc>
          <w:tcPr>
            <w:tcW w:w="61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9/9/10</w:t>
            </w:r>
          </w:p>
        </w:tc>
        <w:tc>
          <w:tcPr>
            <w:tcW w:w="3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sz w:val="21"/>
                <w:szCs w:val="21"/>
              </w:rPr>
            </w:pPr>
            <w:r>
              <w:rPr>
                <w:rFonts w:hint="eastAsia" w:ascii="宋体" w:hAnsi="宋体" w:eastAsia="宋体" w:cs="宋体"/>
                <w:b w:val="0"/>
                <w:bCs w:val="0"/>
                <w:kern w:val="0"/>
                <w:sz w:val="21"/>
                <w:szCs w:val="21"/>
              </w:rPr>
              <w:t>1</w:t>
            </w:r>
          </w:p>
        </w:tc>
      </w:tr>
      <w:tr>
        <w:tblPrEx>
          <w:tblCellMar>
            <w:top w:w="0" w:type="dxa"/>
            <w:left w:w="0" w:type="dxa"/>
            <w:bottom w:w="0" w:type="dxa"/>
            <w:right w:w="0" w:type="dxa"/>
          </w:tblCellMar>
        </w:tblPrEx>
        <w:trPr>
          <w:trHeight w:val="480" w:hRule="atLeast"/>
          <w:jc w:val="center"/>
        </w:trPr>
        <w:tc>
          <w:tcPr>
            <w:tcW w:w="173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34004401832012120002</w:t>
            </w:r>
          </w:p>
        </w:tc>
        <w:tc>
          <w:tcPr>
            <w:tcW w:w="4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p>
        </w:tc>
        <w:tc>
          <w:tcPr>
            <w:tcW w:w="138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TWJ-200-0.28-ASP</w:t>
            </w:r>
          </w:p>
        </w:tc>
        <w:tc>
          <w:tcPr>
            <w:tcW w:w="4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0.28</w:t>
            </w:r>
          </w:p>
        </w:tc>
        <w:tc>
          <w:tcPr>
            <w:tcW w:w="61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2/2/2</w:t>
            </w:r>
          </w:p>
        </w:tc>
        <w:tc>
          <w:tcPr>
            <w:tcW w:w="3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w:t>
            </w:r>
          </w:p>
        </w:tc>
      </w:tr>
      <w:tr>
        <w:tblPrEx>
          <w:tblCellMar>
            <w:top w:w="0" w:type="dxa"/>
            <w:left w:w="0" w:type="dxa"/>
            <w:bottom w:w="0" w:type="dxa"/>
            <w:right w:w="0" w:type="dxa"/>
          </w:tblCellMar>
        </w:tblPrEx>
        <w:trPr>
          <w:trHeight w:val="480" w:hRule="atLeast"/>
          <w:jc w:val="center"/>
        </w:trPr>
        <w:tc>
          <w:tcPr>
            <w:tcW w:w="1730"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32104401832015100005</w:t>
            </w:r>
          </w:p>
        </w:tc>
        <w:tc>
          <w:tcPr>
            <w:tcW w:w="44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p>
        </w:tc>
        <w:tc>
          <w:tcPr>
            <w:tcW w:w="1387"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TE-E</w:t>
            </w:r>
          </w:p>
        </w:tc>
        <w:tc>
          <w:tcPr>
            <w:tcW w:w="448"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eastAsia"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1</w:t>
            </w:r>
          </w:p>
        </w:tc>
        <w:tc>
          <w:tcPr>
            <w:tcW w:w="619"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hint="default" w:ascii="宋体" w:hAnsi="宋体" w:eastAsia="宋体" w:cs="宋体"/>
                <w:b w:val="0"/>
                <w:bCs w:val="0"/>
                <w:color w:val="auto"/>
                <w:sz w:val="21"/>
                <w:szCs w:val="21"/>
                <w:lang w:val="en-US" w:eastAsia="zh-CN"/>
              </w:rPr>
            </w:pPr>
            <w:r>
              <w:rPr>
                <w:rFonts w:hint="eastAsia" w:ascii="宋体" w:hAnsi="宋体" w:eastAsia="宋体" w:cs="宋体"/>
                <w:b w:val="0"/>
                <w:bCs w:val="0"/>
                <w:color w:val="auto"/>
                <w:sz w:val="21"/>
                <w:szCs w:val="21"/>
                <w:lang w:val="en-US" w:eastAsia="zh-CN"/>
              </w:rPr>
              <w:t>3/3/3</w:t>
            </w:r>
          </w:p>
        </w:tc>
        <w:tc>
          <w:tcPr>
            <w:tcW w:w="364" w:type="pct"/>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val="0"/>
                <w:bCs w:val="0"/>
                <w:color w:val="auto"/>
                <w:sz w:val="21"/>
                <w:szCs w:val="21"/>
              </w:rPr>
            </w:pPr>
            <w:r>
              <w:rPr>
                <w:rFonts w:hint="eastAsia" w:ascii="宋体" w:hAnsi="宋体" w:eastAsia="宋体" w:cs="宋体"/>
                <w:b w:val="0"/>
                <w:bCs w:val="0"/>
                <w:color w:val="auto"/>
                <w:kern w:val="0"/>
                <w:sz w:val="21"/>
                <w:szCs w:val="21"/>
              </w:rPr>
              <w:t>1</w:t>
            </w:r>
          </w:p>
        </w:tc>
      </w:tr>
      <w:tr>
        <w:tblPrEx>
          <w:tblCellMar>
            <w:top w:w="0" w:type="dxa"/>
            <w:left w:w="0" w:type="dxa"/>
            <w:bottom w:w="0" w:type="dxa"/>
            <w:right w:w="0" w:type="dxa"/>
          </w:tblCellMar>
        </w:tblPrEx>
        <w:trPr>
          <w:trHeight w:val="480" w:hRule="atLeast"/>
          <w:jc w:val="center"/>
        </w:trPr>
        <w:tc>
          <w:tcPr>
            <w:tcW w:w="1730" w:type="pc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widowControl/>
              <w:jc w:val="center"/>
              <w:textAlignment w:val="center"/>
              <w:rPr>
                <w:rFonts w:ascii="宋体" w:hAnsi="宋体" w:eastAsia="宋体" w:cs="宋体"/>
                <w:b/>
                <w:sz w:val="24"/>
              </w:rPr>
            </w:pPr>
            <w:r>
              <w:rPr>
                <w:rFonts w:hint="eastAsia" w:ascii="宋体" w:hAnsi="宋体" w:eastAsia="宋体" w:cs="宋体"/>
                <w:b/>
                <w:kern w:val="0"/>
                <w:sz w:val="24"/>
              </w:rPr>
              <w:t>合计</w:t>
            </w:r>
          </w:p>
        </w:tc>
        <w:tc>
          <w:tcPr>
            <w:tcW w:w="449" w:type="pc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eastAsia="宋体" w:cs="宋体"/>
                <w:sz w:val="24"/>
              </w:rPr>
            </w:pPr>
          </w:p>
        </w:tc>
        <w:tc>
          <w:tcPr>
            <w:tcW w:w="1387" w:type="pc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eastAsia="宋体" w:cs="宋体"/>
                <w:sz w:val="24"/>
              </w:rPr>
            </w:pPr>
          </w:p>
        </w:tc>
        <w:tc>
          <w:tcPr>
            <w:tcW w:w="448" w:type="pc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eastAsia="宋体" w:cs="宋体"/>
                <w:sz w:val="24"/>
              </w:rPr>
            </w:pPr>
          </w:p>
        </w:tc>
        <w:tc>
          <w:tcPr>
            <w:tcW w:w="619" w:type="pc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eastAsia="宋体" w:cs="宋体"/>
                <w:sz w:val="24"/>
              </w:rPr>
            </w:pPr>
          </w:p>
        </w:tc>
        <w:tc>
          <w:tcPr>
            <w:tcW w:w="364" w:type="pct"/>
            <w:tcBorders>
              <w:top w:val="nil"/>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jc w:val="center"/>
              <w:rPr>
                <w:rFonts w:ascii="宋体" w:hAnsi="宋体" w:eastAsia="宋体" w:cs="宋体"/>
                <w:sz w:val="24"/>
              </w:rPr>
            </w:pPr>
          </w:p>
        </w:tc>
      </w:tr>
    </w:tbl>
    <w:p>
      <w:pPr>
        <w:keepNext/>
        <w:keepLines/>
        <w:pageBreakBefore w:val="0"/>
        <w:widowControl w:val="0"/>
        <w:kinsoku/>
        <w:wordWrap/>
        <w:overflowPunct/>
        <w:topLinePunct w:val="0"/>
        <w:autoSpaceDE/>
        <w:autoSpaceDN/>
        <w:bidi w:val="0"/>
        <w:adjustRightInd/>
        <w:snapToGrid/>
        <w:spacing w:before="260" w:beforeLines="0" w:beforeAutospacing="0" w:after="260" w:afterLines="0" w:afterAutospacing="0" w:line="240" w:lineRule="auto"/>
        <w:ind w:firstLine="562" w:firstLineChars="200"/>
        <w:jc w:val="both"/>
        <w:textAlignment w:val="auto"/>
        <w:outlineLvl w:val="9"/>
        <w:rPr>
          <w:rFonts w:hint="eastAsia" w:asciiTheme="minorEastAsia" w:hAnsiTheme="minorEastAsia" w:eastAsiaTheme="minorEastAsia" w:cstheme="minorEastAsia"/>
          <w:b/>
          <w:color w:val="auto"/>
          <w:kern w:val="2"/>
          <w:sz w:val="28"/>
          <w:szCs w:val="28"/>
          <w:highlight w:val="none"/>
          <w:lang w:val="en-US" w:eastAsia="zh-CN" w:bidi="ar-SA"/>
        </w:rPr>
      </w:pPr>
      <w:r>
        <w:rPr>
          <w:rFonts w:hint="eastAsia" w:asciiTheme="minorEastAsia" w:hAnsiTheme="minorEastAsia" w:eastAsiaTheme="minorEastAsia" w:cstheme="minorEastAsia"/>
          <w:b/>
          <w:color w:val="auto"/>
          <w:kern w:val="2"/>
          <w:sz w:val="28"/>
          <w:szCs w:val="28"/>
          <w:highlight w:val="none"/>
          <w:lang w:val="en-US" w:eastAsia="zh-CN" w:bidi="ar-SA"/>
        </w:rPr>
        <w:t>三、维修保养内容及要求</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1.例行保养工作分为：半月保、季度、半年、年度保养。</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2.保养时间安排在非工作日，具体时间以保养计划或通知为准。</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default"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3.保养内容按照国家法规和产品使用维护说明等相关规定实施。</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4.故障紧急维修：保养单位提供24小时应急处理服务，电梯设备在使用过程中发生故障，乙方接到报修电话后即安排人员到场进行维修处理，一般故障在接到甲方报修通知后60分钟内到达现场，困人、电梯重大安全故障为30分钟内到达。</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default"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5.如遇公司重大会议、接待等活动，维保单位需安排专业人员到场维护和保障，以确保电梯安全运行。</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6.年检工作：乙方按质量技术监督局有关规定协助甲方办理设备年检工作并取得合格证件。</w:t>
      </w:r>
    </w:p>
    <w:p>
      <w:pPr>
        <w:pageBreakBefore w:val="0"/>
        <w:tabs>
          <w:tab w:val="left" w:pos="7920"/>
        </w:tabs>
        <w:kinsoku/>
        <w:wordWrap/>
        <w:topLinePunct w:val="0"/>
        <w:autoSpaceDE/>
        <w:autoSpaceDN/>
        <w:bidi w:val="0"/>
        <w:adjustRightInd w:val="0"/>
        <w:snapToGrid w:val="0"/>
        <w:spacing w:line="360" w:lineRule="auto"/>
        <w:ind w:firstLine="562" w:firstLineChars="200"/>
        <w:jc w:val="both"/>
        <w:outlineLvl w:val="9"/>
        <w:rPr>
          <w:rFonts w:hint="eastAsia" w:asciiTheme="minorEastAsia" w:hAnsiTheme="minorEastAsia" w:eastAsiaTheme="minorEastAsia" w:cstheme="minorEastAsia"/>
          <w:b/>
          <w:color w:val="auto"/>
          <w:kern w:val="2"/>
          <w:sz w:val="28"/>
          <w:szCs w:val="28"/>
          <w:highlight w:val="none"/>
          <w:lang w:val="en-US" w:eastAsia="zh-CN" w:bidi="ar-SA"/>
        </w:rPr>
      </w:pPr>
      <w:r>
        <w:rPr>
          <w:rFonts w:hint="eastAsia" w:ascii="宋体" w:hAnsi="宋体" w:eastAsia="宋体" w:cs="仿宋"/>
          <w:b/>
          <w:bCs/>
          <w:color w:val="auto"/>
          <w:sz w:val="28"/>
          <w:szCs w:val="28"/>
          <w:highlight w:val="none"/>
          <w:lang w:val="en-US" w:eastAsia="zh-CN"/>
        </w:rPr>
        <w:t>四、</w:t>
      </w:r>
      <w:r>
        <w:rPr>
          <w:rFonts w:hint="eastAsia" w:asciiTheme="minorEastAsia" w:hAnsiTheme="minorEastAsia" w:cstheme="minorEastAsia"/>
          <w:b/>
          <w:color w:val="auto"/>
          <w:kern w:val="2"/>
          <w:sz w:val="28"/>
          <w:szCs w:val="28"/>
          <w:highlight w:val="none"/>
          <w:lang w:val="en-US" w:eastAsia="zh-CN" w:bidi="ar-SA"/>
        </w:rPr>
        <w:t>配件</w:t>
      </w:r>
      <w:r>
        <w:rPr>
          <w:rFonts w:hint="eastAsia" w:asciiTheme="minorEastAsia" w:hAnsiTheme="minorEastAsia" w:eastAsiaTheme="minorEastAsia" w:cstheme="minorEastAsia"/>
          <w:b/>
          <w:color w:val="auto"/>
          <w:kern w:val="2"/>
          <w:sz w:val="28"/>
          <w:szCs w:val="28"/>
          <w:highlight w:val="none"/>
          <w:lang w:val="en-US" w:eastAsia="zh-CN" w:bidi="ar-SA"/>
        </w:rPr>
        <w:t>更换要求</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1.配件更换及服务项目：</w:t>
      </w:r>
    </w:p>
    <w:p>
      <w:pPr>
        <w:ind w:firstLine="560" w:firstLineChars="200"/>
        <w:outlineLvl w:val="0"/>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1.1乙方在维保过程中发现故障问题确认后立即填写联系单（维修单），写明故障情况和维修处理意见，需要更换的配件费用报价不得高于厂家售后维修报价，经甲方审核批准后，开展维修工作。</w:t>
      </w:r>
    </w:p>
    <w:p>
      <w:pPr>
        <w:ind w:firstLine="560" w:firstLineChars="200"/>
        <w:outlineLvl w:val="0"/>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1.2若出现停产情形，按同等产品质量提供可替换配件，但事前必须征得委托方同意，报价不得高于厂家售后维修报价。</w:t>
      </w:r>
    </w:p>
    <w:p>
      <w:pPr>
        <w:ind w:firstLine="560" w:firstLineChars="200"/>
        <w:outlineLvl w:val="0"/>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1.3个别配件因现场型号模糊无法查清，报价按机组使用说明书或同类产品质量报价，报价不得高于厂家售后维修报价。</w:t>
      </w:r>
    </w:p>
    <w:p>
      <w:pPr>
        <w:ind w:firstLine="560" w:firstLineChars="200"/>
        <w:outlineLvl w:val="0"/>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1.4产品或配件型号因涉及品牌保密事宜，需按提供的梯型型号自主查找型号并合理提供报价，报价不得高于厂家售后维修报价。</w:t>
      </w:r>
    </w:p>
    <w:p>
      <w:pPr>
        <w:ind w:firstLine="560" w:firstLineChars="200"/>
        <w:outlineLvl w:val="0"/>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1.5.本清单综合单价包含：产品购置价格、人工费用（安装及调试）、安全措施费用、专用增值税费用。</w:t>
      </w:r>
    </w:p>
    <w:p>
      <w:pPr>
        <w:pStyle w:val="2"/>
        <w:rPr>
          <w:rFonts w:hint="eastAsia"/>
          <w:lang w:val="en-US" w:eastAsia="zh-CN"/>
        </w:rPr>
      </w:pPr>
    </w:p>
    <w:p>
      <w:pPr>
        <w:pageBreakBefore w:val="0"/>
        <w:numPr>
          <w:ilvl w:val="0"/>
          <w:numId w:val="0"/>
        </w:numPr>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1.6配件更换及服务时间要求：上述故障或维修费用一经确认，乙方需要立即调配或购买材料，一般故障在8小时内，重大故障在48小时范围内完成故障维修，恢复电梯运行。</w:t>
      </w:r>
    </w:p>
    <w:p>
      <w:pPr>
        <w:pageBreakBefore w:val="0"/>
        <w:tabs>
          <w:tab w:val="left" w:pos="7920"/>
        </w:tabs>
        <w:kinsoku/>
        <w:wordWrap/>
        <w:topLinePunct w:val="0"/>
        <w:autoSpaceDE/>
        <w:autoSpaceDN/>
        <w:bidi w:val="0"/>
        <w:adjustRightInd w:val="0"/>
        <w:snapToGrid w:val="0"/>
        <w:spacing w:line="360" w:lineRule="auto"/>
        <w:ind w:firstLine="562" w:firstLineChars="200"/>
        <w:jc w:val="both"/>
        <w:outlineLvl w:val="9"/>
        <w:rPr>
          <w:rFonts w:hint="eastAsia" w:asciiTheme="minorEastAsia" w:hAnsiTheme="minorEastAsia" w:eastAsiaTheme="minorEastAsia" w:cstheme="minorEastAsia"/>
          <w:b/>
          <w:color w:val="auto"/>
          <w:kern w:val="2"/>
          <w:sz w:val="28"/>
          <w:szCs w:val="28"/>
          <w:highlight w:val="none"/>
          <w:lang w:val="en-US" w:eastAsia="zh-CN" w:bidi="ar-SA"/>
        </w:rPr>
      </w:pPr>
      <w:r>
        <w:rPr>
          <w:rFonts w:hint="eastAsia" w:asciiTheme="minorEastAsia" w:hAnsiTheme="minorEastAsia" w:cstheme="minorEastAsia"/>
          <w:b/>
          <w:color w:val="auto"/>
          <w:kern w:val="2"/>
          <w:sz w:val="28"/>
          <w:szCs w:val="28"/>
          <w:highlight w:val="none"/>
          <w:lang w:val="en-US" w:eastAsia="zh-CN" w:bidi="ar-SA"/>
        </w:rPr>
        <w:t>五、</w:t>
      </w:r>
      <w:r>
        <w:rPr>
          <w:rFonts w:hint="eastAsia" w:asciiTheme="minorEastAsia" w:hAnsiTheme="minorEastAsia" w:eastAsiaTheme="minorEastAsia" w:cstheme="minorEastAsia"/>
          <w:b/>
          <w:color w:val="auto"/>
          <w:kern w:val="2"/>
          <w:sz w:val="28"/>
          <w:szCs w:val="28"/>
          <w:highlight w:val="none"/>
          <w:lang w:val="en-US" w:eastAsia="zh-CN" w:bidi="ar-SA"/>
        </w:rPr>
        <w:t>保养服务要求</w:t>
      </w:r>
    </w:p>
    <w:p>
      <w:pPr>
        <w:pageBreakBefore w:val="0"/>
        <w:tabs>
          <w:tab w:val="left" w:pos="7920"/>
        </w:tabs>
        <w:kinsoku/>
        <w:wordWrap/>
        <w:topLinePunct w:val="0"/>
        <w:autoSpaceDE/>
        <w:autoSpaceDN/>
        <w:bidi w:val="0"/>
        <w:adjustRightInd w:val="0"/>
        <w:snapToGrid w:val="0"/>
        <w:spacing w:line="360" w:lineRule="auto"/>
        <w:ind w:firstLine="560" w:firstLineChars="200"/>
        <w:jc w:val="both"/>
        <w:outlineLvl w:val="9"/>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1.规范要求</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1.1《中华人民共和国特种设备安全法》</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1.2《中华人民共和国安全生产法》</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1.3《广东省电梯使用安全条例》</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1.4《广州市电梯安全管理办法》</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1.5《特种设备使用管理规则》TSG 08-2017</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 xml:space="preserve">1.6《电梯使用管理与维护保养规则》TSG T5001-2009 </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1.7《电梯监督检验和定期检验规则-曳引与强制驱动电梯》（TSG T7001-2009）</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 xml:space="preserve">1.8《电梯监督检验和定期检验规则—杂物电梯》（TSG </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T7006-2012）</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1.9国家或省市相关部门颁布的其它技术标准或规范</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1.10设备制造厂家的设备使用说明书及其它技术资料</w:t>
      </w:r>
    </w:p>
    <w:p>
      <w:pPr>
        <w:pageBreakBefore w:val="0"/>
        <w:tabs>
          <w:tab w:val="left" w:pos="7920"/>
        </w:tabs>
        <w:kinsoku/>
        <w:wordWrap/>
        <w:topLinePunct w:val="0"/>
        <w:autoSpaceDE/>
        <w:autoSpaceDN/>
        <w:bidi w:val="0"/>
        <w:adjustRightInd w:val="0"/>
        <w:snapToGrid w:val="0"/>
        <w:spacing w:line="360" w:lineRule="auto"/>
        <w:ind w:firstLine="560" w:firstLineChars="200"/>
        <w:jc w:val="both"/>
        <w:outlineLvl w:val="9"/>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2.质量要求</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2.1依据《中华人民共和国特种设备安全法》规定：电梯属于特种设备，使用、维修、保养及日常管理按照特种设备相关规定实施。</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2.2按照规范要求对特种设备进行检查维护工作，填写维护保养记录，资料符合特种设备检验要求。</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2.3维护保养工作按规范要求认真组织实施，确保维护质量,保证设备安全运行。</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2.4执行安全规程，确保维保作业安全。</w:t>
      </w:r>
    </w:p>
    <w:p>
      <w:pPr>
        <w:pageBreakBefore w:val="0"/>
        <w:tabs>
          <w:tab w:val="left" w:pos="7920"/>
        </w:tabs>
        <w:kinsoku/>
        <w:wordWrap/>
        <w:topLinePunct w:val="0"/>
        <w:autoSpaceDE/>
        <w:autoSpaceDN/>
        <w:bidi w:val="0"/>
        <w:adjustRightInd w:val="0"/>
        <w:snapToGrid w:val="0"/>
        <w:spacing w:line="360" w:lineRule="auto"/>
        <w:ind w:firstLine="560" w:firstLineChars="200"/>
        <w:jc w:val="both"/>
        <w:outlineLvl w:val="9"/>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3.技术要求</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3.1维护单位必须具备三菱电梯的系统结构和核心技术（含软件升级能力）维保电梯的全部维修能力，保证电梯正常运行。</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3.2维护单位必须具备三菱电梯配件购货及运输能力，确保零配件符合原厂正品（提供合格证查验）。</w:t>
      </w:r>
    </w:p>
    <w:p>
      <w:pPr>
        <w:pageBreakBefore w:val="0"/>
        <w:tabs>
          <w:tab w:val="left" w:pos="7920"/>
        </w:tabs>
        <w:kinsoku/>
        <w:wordWrap/>
        <w:topLinePunct w:val="0"/>
        <w:autoSpaceDE/>
        <w:autoSpaceDN/>
        <w:bidi w:val="0"/>
        <w:adjustRightInd w:val="0"/>
        <w:snapToGrid w:val="0"/>
        <w:spacing w:line="360" w:lineRule="auto"/>
        <w:ind w:firstLine="562" w:firstLineChars="200"/>
        <w:jc w:val="both"/>
        <w:outlineLvl w:val="9"/>
        <w:rPr>
          <w:rFonts w:hint="eastAsia" w:asciiTheme="minorEastAsia" w:hAnsiTheme="minorEastAsia" w:eastAsiaTheme="minorEastAsia" w:cstheme="minorEastAsia"/>
          <w:b/>
          <w:color w:val="auto"/>
          <w:kern w:val="2"/>
          <w:sz w:val="28"/>
          <w:szCs w:val="28"/>
          <w:highlight w:val="none"/>
          <w:lang w:val="en-US" w:eastAsia="zh-CN" w:bidi="ar-SA"/>
        </w:rPr>
      </w:pPr>
      <w:r>
        <w:rPr>
          <w:rFonts w:hint="eastAsia" w:ascii="宋体" w:hAnsi="宋体" w:eastAsia="宋体" w:cs="仿宋"/>
          <w:b/>
          <w:bCs/>
          <w:color w:val="auto"/>
          <w:sz w:val="28"/>
          <w:szCs w:val="28"/>
          <w:highlight w:val="none"/>
          <w:lang w:val="en-US" w:eastAsia="zh-CN"/>
        </w:rPr>
        <w:t>六、</w:t>
      </w:r>
      <w:r>
        <w:rPr>
          <w:rFonts w:hint="eastAsia" w:asciiTheme="minorEastAsia" w:hAnsiTheme="minorEastAsia" w:eastAsiaTheme="minorEastAsia" w:cstheme="minorEastAsia"/>
          <w:b/>
          <w:color w:val="auto"/>
          <w:kern w:val="2"/>
          <w:sz w:val="28"/>
          <w:szCs w:val="28"/>
          <w:highlight w:val="none"/>
          <w:lang w:val="en-US" w:eastAsia="zh-CN" w:bidi="ar-SA"/>
        </w:rPr>
        <w:t>维修与保养工作要求</w:t>
      </w:r>
    </w:p>
    <w:p>
      <w:pPr>
        <w:pageBreakBefore w:val="0"/>
        <w:kinsoku/>
        <w:wordWrap/>
        <w:topLinePunct w:val="0"/>
        <w:bidi w:val="0"/>
        <w:spacing w:line="360" w:lineRule="auto"/>
        <w:ind w:firstLine="560" w:firstLineChars="200"/>
        <w:rPr>
          <w:rFonts w:hint="eastAsia" w:ascii="宋体" w:hAnsi="宋体" w:eastAsia="宋体" w:cs="仿宋"/>
          <w:color w:val="auto"/>
          <w:sz w:val="28"/>
          <w:szCs w:val="28"/>
          <w:highlight w:val="none"/>
        </w:rPr>
      </w:pPr>
      <w:r>
        <w:rPr>
          <w:rFonts w:hint="eastAsia" w:ascii="宋体" w:hAnsi="宋体" w:eastAsia="宋体" w:cs="仿宋"/>
          <w:color w:val="auto"/>
          <w:sz w:val="28"/>
          <w:szCs w:val="28"/>
          <w:highlight w:val="none"/>
          <w:lang w:val="en-US" w:eastAsia="zh-CN"/>
        </w:rPr>
        <w:t>1.</w:t>
      </w:r>
      <w:r>
        <w:rPr>
          <w:rFonts w:hint="eastAsia" w:ascii="宋体" w:hAnsi="宋体" w:eastAsia="宋体" w:cs="仿宋"/>
          <w:color w:val="auto"/>
          <w:sz w:val="28"/>
          <w:szCs w:val="28"/>
          <w:highlight w:val="none"/>
        </w:rPr>
        <w:t>维修与保养作业应严格执行国家劳动安全、卫生的有关规定，配备好必要的安全、卫生防护措施方可开展工作，严禁违章作业，防止作业过程出现安全生产事故，避免意外发生。</w:t>
      </w:r>
    </w:p>
    <w:p>
      <w:pPr>
        <w:pageBreakBefore w:val="0"/>
        <w:kinsoku/>
        <w:wordWrap/>
        <w:topLinePunct w:val="0"/>
        <w:bidi w:val="0"/>
        <w:spacing w:line="360" w:lineRule="auto"/>
        <w:ind w:firstLine="560" w:firstLineChars="200"/>
        <w:rPr>
          <w:rFonts w:hint="eastAsia" w:ascii="宋体" w:hAnsi="宋体" w:eastAsia="宋体" w:cs="仿宋"/>
          <w:color w:val="auto"/>
          <w:sz w:val="28"/>
          <w:szCs w:val="28"/>
          <w:highlight w:val="none"/>
        </w:rPr>
      </w:pPr>
      <w:r>
        <w:rPr>
          <w:rFonts w:hint="eastAsia" w:ascii="宋体" w:hAnsi="宋体" w:eastAsia="宋体" w:cs="仿宋"/>
          <w:color w:val="auto"/>
          <w:sz w:val="28"/>
          <w:szCs w:val="28"/>
          <w:highlight w:val="none"/>
          <w:lang w:val="en-US" w:eastAsia="zh-CN"/>
        </w:rPr>
        <w:t>2.</w:t>
      </w:r>
      <w:r>
        <w:rPr>
          <w:rFonts w:hint="eastAsia" w:ascii="宋体" w:hAnsi="宋体" w:eastAsia="宋体" w:cs="仿宋"/>
          <w:color w:val="auto"/>
          <w:sz w:val="28"/>
          <w:szCs w:val="28"/>
          <w:highlight w:val="none"/>
        </w:rPr>
        <w:t>作业人员必须持有与其作业内容一致的专业资格证书，资格证书应在有效期内。</w:t>
      </w:r>
    </w:p>
    <w:p>
      <w:pPr>
        <w:pageBreakBefore w:val="0"/>
        <w:kinsoku/>
        <w:wordWrap/>
        <w:topLinePunct w:val="0"/>
        <w:bidi w:val="0"/>
        <w:spacing w:line="360" w:lineRule="auto"/>
        <w:ind w:firstLine="560" w:firstLineChars="200"/>
        <w:rPr>
          <w:rFonts w:hint="eastAsia" w:ascii="宋体" w:hAnsi="宋体" w:eastAsia="宋体" w:cs="仿宋"/>
          <w:color w:val="auto"/>
          <w:sz w:val="28"/>
          <w:szCs w:val="28"/>
          <w:highlight w:val="none"/>
        </w:rPr>
      </w:pPr>
      <w:r>
        <w:rPr>
          <w:rFonts w:hint="eastAsia" w:ascii="宋体" w:hAnsi="宋体" w:eastAsia="宋体" w:cs="仿宋"/>
          <w:color w:val="auto"/>
          <w:sz w:val="28"/>
          <w:szCs w:val="28"/>
          <w:highlight w:val="none"/>
          <w:lang w:val="en-US" w:eastAsia="zh-CN"/>
        </w:rPr>
        <w:t>3.</w:t>
      </w:r>
      <w:r>
        <w:rPr>
          <w:rFonts w:hint="eastAsia" w:ascii="宋体" w:hAnsi="宋体" w:eastAsia="宋体" w:cs="仿宋"/>
          <w:color w:val="auto"/>
          <w:sz w:val="28"/>
          <w:szCs w:val="28"/>
          <w:highlight w:val="none"/>
        </w:rPr>
        <w:t>一般情况下不</w:t>
      </w:r>
      <w:r>
        <w:rPr>
          <w:rFonts w:hint="eastAsia" w:ascii="宋体" w:hAnsi="宋体" w:eastAsia="宋体" w:cs="仿宋"/>
          <w:color w:val="auto"/>
          <w:sz w:val="28"/>
          <w:szCs w:val="28"/>
          <w:highlight w:val="none"/>
          <w:lang w:eastAsia="zh-CN"/>
        </w:rPr>
        <w:t>允许</w:t>
      </w:r>
      <w:r>
        <w:rPr>
          <w:rFonts w:hint="eastAsia" w:ascii="宋体" w:hAnsi="宋体" w:eastAsia="宋体" w:cs="仿宋"/>
          <w:color w:val="auto"/>
          <w:sz w:val="28"/>
          <w:szCs w:val="28"/>
          <w:highlight w:val="none"/>
        </w:rPr>
        <w:t>带电作业，如必须带电进行的维修及故障排查，必须严格按照</w:t>
      </w:r>
      <w:r>
        <w:rPr>
          <w:rFonts w:hint="eastAsia" w:ascii="宋体" w:hAnsi="宋体" w:eastAsia="宋体" w:cs="仿宋"/>
          <w:color w:val="auto"/>
          <w:sz w:val="28"/>
          <w:szCs w:val="28"/>
          <w:highlight w:val="none"/>
          <w:lang w:eastAsia="zh-CN"/>
        </w:rPr>
        <w:t>作业</w:t>
      </w:r>
      <w:r>
        <w:rPr>
          <w:rFonts w:hint="eastAsia" w:ascii="宋体" w:hAnsi="宋体" w:eastAsia="宋体" w:cs="仿宋"/>
          <w:color w:val="auto"/>
          <w:sz w:val="28"/>
          <w:szCs w:val="28"/>
          <w:highlight w:val="none"/>
        </w:rPr>
        <w:t>规程进行作业，并按规定设置监护人，作好安全防护，禁止野蛮操作。</w:t>
      </w:r>
    </w:p>
    <w:p>
      <w:pPr>
        <w:pageBreakBefore w:val="0"/>
        <w:kinsoku/>
        <w:wordWrap/>
        <w:topLinePunct w:val="0"/>
        <w:bidi w:val="0"/>
        <w:spacing w:line="360" w:lineRule="auto"/>
        <w:ind w:firstLine="560" w:firstLineChars="200"/>
        <w:rPr>
          <w:rFonts w:hint="eastAsia" w:ascii="宋体" w:hAnsi="宋体" w:eastAsia="宋体" w:cs="仿宋"/>
          <w:color w:val="auto"/>
          <w:sz w:val="28"/>
          <w:szCs w:val="28"/>
          <w:highlight w:val="none"/>
          <w:lang w:eastAsia="zh-CN"/>
        </w:rPr>
      </w:pPr>
      <w:r>
        <w:rPr>
          <w:rFonts w:hint="eastAsia" w:ascii="宋体" w:hAnsi="宋体" w:eastAsia="宋体" w:cs="仿宋"/>
          <w:color w:val="auto"/>
          <w:sz w:val="28"/>
          <w:szCs w:val="28"/>
          <w:highlight w:val="none"/>
          <w:lang w:val="en-US" w:eastAsia="zh-CN"/>
        </w:rPr>
        <w:t>4.</w:t>
      </w:r>
      <w:r>
        <w:rPr>
          <w:rFonts w:hint="eastAsia" w:ascii="宋体" w:hAnsi="宋体" w:eastAsia="宋体" w:cs="仿宋"/>
          <w:color w:val="auto"/>
          <w:sz w:val="28"/>
          <w:szCs w:val="28"/>
          <w:highlight w:val="none"/>
        </w:rPr>
        <w:t>高处作业，作业前应认真检查好登高器具的可靠性，并有可靠的防滑措施。2米或以上高处作业应佩带好安全带，安全带应挂在安全可靠处，经检查确认措施可靠时才能开展工作。</w:t>
      </w:r>
      <w:r>
        <w:rPr>
          <w:rFonts w:hint="eastAsia" w:ascii="宋体" w:hAnsi="宋体" w:eastAsia="宋体" w:cs="仿宋"/>
          <w:color w:val="auto"/>
          <w:sz w:val="28"/>
          <w:szCs w:val="28"/>
          <w:highlight w:val="none"/>
          <w:lang w:eastAsia="zh-CN"/>
        </w:rPr>
        <w:t>作业时要有必要的人员防护。</w:t>
      </w:r>
    </w:p>
    <w:p>
      <w:pPr>
        <w:pageBreakBefore w:val="0"/>
        <w:kinsoku/>
        <w:wordWrap/>
        <w:topLinePunct w:val="0"/>
        <w:bidi w:val="0"/>
        <w:spacing w:line="360" w:lineRule="auto"/>
        <w:ind w:firstLine="560" w:firstLineChars="200"/>
        <w:rPr>
          <w:rFonts w:hint="eastAsia" w:ascii="宋体" w:hAnsi="宋体" w:eastAsia="宋体" w:cs="仿宋"/>
          <w:color w:val="auto"/>
          <w:sz w:val="28"/>
          <w:szCs w:val="28"/>
          <w:highlight w:val="none"/>
        </w:rPr>
      </w:pPr>
      <w:r>
        <w:rPr>
          <w:rFonts w:hint="eastAsia" w:ascii="宋体" w:hAnsi="宋体" w:eastAsia="宋体" w:cs="仿宋"/>
          <w:color w:val="auto"/>
          <w:sz w:val="28"/>
          <w:szCs w:val="28"/>
          <w:highlight w:val="none"/>
          <w:lang w:val="en-US" w:eastAsia="zh-CN"/>
        </w:rPr>
        <w:t>5.</w:t>
      </w:r>
      <w:r>
        <w:rPr>
          <w:rFonts w:hint="eastAsia" w:ascii="宋体" w:hAnsi="宋体" w:eastAsia="宋体" w:cs="仿宋"/>
          <w:color w:val="auto"/>
          <w:sz w:val="28"/>
          <w:szCs w:val="28"/>
          <w:highlight w:val="none"/>
        </w:rPr>
        <w:t>动火作业应在作业开始之前办理动火审批手续，并按审批表要求落实防火措施，措施落实后方可进行作业。</w:t>
      </w:r>
    </w:p>
    <w:p>
      <w:pPr>
        <w:pageBreakBefore w:val="0"/>
        <w:kinsoku/>
        <w:wordWrap/>
        <w:topLinePunct w:val="0"/>
        <w:bidi w:val="0"/>
        <w:spacing w:line="360" w:lineRule="auto"/>
        <w:ind w:firstLine="560" w:firstLineChars="200"/>
        <w:rPr>
          <w:rFonts w:hint="eastAsia" w:ascii="宋体" w:hAnsi="宋体" w:eastAsia="宋体" w:cs="仿宋"/>
          <w:color w:val="auto"/>
          <w:sz w:val="28"/>
          <w:szCs w:val="28"/>
          <w:highlight w:val="none"/>
        </w:rPr>
      </w:pPr>
      <w:r>
        <w:rPr>
          <w:rFonts w:hint="eastAsia" w:ascii="宋体" w:hAnsi="宋体" w:eastAsia="宋体" w:cs="仿宋"/>
          <w:color w:val="auto"/>
          <w:sz w:val="28"/>
          <w:szCs w:val="28"/>
          <w:highlight w:val="none"/>
          <w:lang w:val="en-US" w:eastAsia="zh-CN"/>
        </w:rPr>
        <w:t>6.</w:t>
      </w:r>
      <w:r>
        <w:rPr>
          <w:rFonts w:hint="eastAsia" w:ascii="宋体" w:hAnsi="宋体" w:eastAsia="宋体" w:cs="仿宋"/>
          <w:color w:val="auto"/>
          <w:sz w:val="28"/>
          <w:szCs w:val="28"/>
          <w:highlight w:val="none"/>
        </w:rPr>
        <w:t>维修过程要注意场地、环境、设施设备的安全保护，不得野蛮拆装，不得损坏周边设施。</w:t>
      </w:r>
    </w:p>
    <w:p>
      <w:pPr>
        <w:spacing w:line="360" w:lineRule="auto"/>
        <w:ind w:firstLine="560" w:firstLineChars="200"/>
        <w:rPr>
          <w:rFonts w:hint="eastAsia" w:ascii="宋体" w:hAnsi="宋体" w:eastAsia="宋体" w:cs="仿宋"/>
          <w:color w:val="auto"/>
          <w:sz w:val="28"/>
          <w:szCs w:val="28"/>
          <w:highlight w:val="none"/>
        </w:rPr>
      </w:pPr>
      <w:r>
        <w:rPr>
          <w:rFonts w:hint="eastAsia" w:ascii="宋体" w:hAnsi="宋体" w:eastAsia="宋体" w:cs="仿宋"/>
          <w:color w:val="auto"/>
          <w:sz w:val="28"/>
          <w:szCs w:val="28"/>
          <w:highlight w:val="none"/>
          <w:lang w:val="en-US" w:eastAsia="zh-CN"/>
        </w:rPr>
        <w:t>7.</w:t>
      </w:r>
      <w:r>
        <w:rPr>
          <w:rFonts w:hint="eastAsia" w:ascii="宋体" w:hAnsi="宋体" w:eastAsia="宋体" w:cs="仿宋"/>
          <w:color w:val="auto"/>
          <w:sz w:val="28"/>
          <w:szCs w:val="28"/>
          <w:highlight w:val="none"/>
        </w:rPr>
        <w:t>严格按照合同规定及保养工艺要求的内容提供清洁、润滑、调整和检查等保养服务，承担本合同项下电梯保养质量责任。对甲方指出的未达到保养或修理标准和规定的项目乙方必须无条件进行返工。</w:t>
      </w:r>
    </w:p>
    <w:p>
      <w:pPr>
        <w:pageBreakBefore w:val="0"/>
        <w:kinsoku/>
        <w:wordWrap/>
        <w:topLinePunct w:val="0"/>
        <w:bidi w:val="0"/>
        <w:spacing w:line="360" w:lineRule="auto"/>
        <w:ind w:firstLine="562" w:firstLineChars="200"/>
        <w:outlineLvl w:val="9"/>
        <w:rPr>
          <w:rFonts w:hint="eastAsia" w:asciiTheme="minorEastAsia" w:hAnsiTheme="minorEastAsia" w:eastAsiaTheme="minorEastAsia" w:cstheme="minorEastAsia"/>
          <w:b/>
          <w:color w:val="auto"/>
          <w:kern w:val="2"/>
          <w:sz w:val="28"/>
          <w:szCs w:val="28"/>
          <w:highlight w:val="none"/>
          <w:lang w:val="en-US" w:eastAsia="zh-CN" w:bidi="ar-SA"/>
        </w:rPr>
      </w:pPr>
      <w:r>
        <w:rPr>
          <w:rFonts w:hint="eastAsia" w:ascii="宋体" w:hAnsi="宋体" w:eastAsia="宋体" w:cs="仿宋"/>
          <w:b/>
          <w:bCs/>
          <w:color w:val="auto"/>
          <w:sz w:val="28"/>
          <w:szCs w:val="28"/>
          <w:highlight w:val="none"/>
          <w:lang w:val="en-US" w:eastAsia="zh-CN"/>
        </w:rPr>
        <w:t>七、</w:t>
      </w:r>
      <w:r>
        <w:rPr>
          <w:rFonts w:hint="eastAsia" w:asciiTheme="minorEastAsia" w:hAnsiTheme="minorEastAsia" w:eastAsiaTheme="minorEastAsia" w:cstheme="minorEastAsia"/>
          <w:b/>
          <w:color w:val="auto"/>
          <w:kern w:val="2"/>
          <w:sz w:val="28"/>
          <w:szCs w:val="28"/>
          <w:highlight w:val="none"/>
          <w:lang w:val="en-US" w:eastAsia="zh-CN" w:bidi="ar-SA"/>
        </w:rPr>
        <w:t>维保人员配置要求</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1.乙方负责维护保养的人员为本公司员工，向甲方提供员工名册，社保证明在甲方处存档备案；现场从事维保作业人员需购买意外险，提供复印件在甲方处存档备案。</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2.所有到项目从事维保作业的人员必须按国家有关规定持有相关上岗证件，委托的项目负责人持有特种设备安全管理和作业人员证件(作业项目为电梯作业），具有三年以上维修资格；技术人员持有特种设备安全管理和作业人员证件(作业项目为电梯作业）；均提供证件复印件在甲方处存档备案。严格按照投标文件中的人员名单及资质履行合同，若确需要调整更换，需提供同等资质人员，提交变更申请。</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3.每次例行维护保养均由项目负责人组织实施并在保养单上签字，日常故障维修处理除外。</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4.现场维保人员必须着工装，保持着装整洁，遵守甲方现场相关管理规定。</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5.专业设备必须由设备原厂、本单位技术人员、或有厂家授权的公司安排的专业工程技术人员提供服务，不得临时聘用不具备专业技能的人员提供服务，否则造成不良后果由维保单位负责。</w:t>
      </w:r>
    </w:p>
    <w:p>
      <w:pPr>
        <w:pageBreakBefore w:val="0"/>
        <w:tabs>
          <w:tab w:val="left" w:pos="7920"/>
        </w:tabs>
        <w:kinsoku/>
        <w:wordWrap/>
        <w:topLinePunct w:val="0"/>
        <w:autoSpaceDE/>
        <w:autoSpaceDN/>
        <w:bidi w:val="0"/>
        <w:adjustRightInd w:val="0"/>
        <w:snapToGrid w:val="0"/>
        <w:spacing w:line="360" w:lineRule="auto"/>
        <w:ind w:firstLine="562" w:firstLineChars="200"/>
        <w:jc w:val="both"/>
        <w:outlineLvl w:val="9"/>
        <w:rPr>
          <w:rFonts w:hint="eastAsia" w:asciiTheme="minorEastAsia" w:hAnsiTheme="minorEastAsia" w:eastAsiaTheme="minorEastAsia" w:cstheme="minorEastAsia"/>
          <w:b/>
          <w:color w:val="auto"/>
          <w:kern w:val="2"/>
          <w:sz w:val="28"/>
          <w:szCs w:val="28"/>
          <w:highlight w:val="none"/>
          <w:lang w:val="en-US" w:eastAsia="zh-CN" w:bidi="ar-SA"/>
        </w:rPr>
      </w:pPr>
      <w:r>
        <w:rPr>
          <w:rFonts w:hint="eastAsia" w:ascii="宋体" w:hAnsi="宋体" w:eastAsia="宋体" w:cs="仿宋"/>
          <w:b/>
          <w:bCs/>
          <w:color w:val="auto"/>
          <w:sz w:val="28"/>
          <w:szCs w:val="28"/>
          <w:highlight w:val="none"/>
          <w:lang w:val="en-US" w:eastAsia="zh-CN"/>
        </w:rPr>
        <w:t>八、</w:t>
      </w:r>
      <w:r>
        <w:rPr>
          <w:rFonts w:hint="eastAsia" w:asciiTheme="minorEastAsia" w:hAnsiTheme="minorEastAsia" w:eastAsiaTheme="minorEastAsia" w:cstheme="minorEastAsia"/>
          <w:b/>
          <w:color w:val="auto"/>
          <w:kern w:val="2"/>
          <w:sz w:val="28"/>
          <w:szCs w:val="28"/>
          <w:highlight w:val="none"/>
          <w:lang w:val="en-US" w:eastAsia="zh-CN" w:bidi="ar-SA"/>
        </w:rPr>
        <w:t>资料管理要求</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乙方应于合同签订7日内提交月度保养计划；乙方应于每月末25日前提交下月保养计划经甲方审批后实施；乙方应于每月5日前提供上</w:t>
      </w:r>
      <w:bookmarkStart w:id="0" w:name="_GoBack"/>
      <w:bookmarkEnd w:id="0"/>
      <w:r>
        <w:rPr>
          <w:rFonts w:hint="eastAsia" w:ascii="宋体" w:hAnsi="宋体" w:eastAsia="宋体" w:cs="仿宋"/>
          <w:color w:val="auto"/>
          <w:sz w:val="28"/>
          <w:szCs w:val="28"/>
          <w:highlight w:val="none"/>
          <w:lang w:val="en-US" w:eastAsia="zh-CN"/>
        </w:rPr>
        <w:t>月保养总结，包含对设备设施的关键性数据及关键节点作出真实记录等（现场拍照需留有水印时间）；乙方应结合技术规范书与设备数量与使用说明的相关要求对应编制各类表单形成过程保养记录并作为保养总结附表；乙方委托设备厂家或检测单位的出具的运行评估报告和检测报告应提供原件；甲方因管理需要编制的表单，乙方应按要求填写及签收。</w:t>
      </w:r>
    </w:p>
    <w:p>
      <w:pPr>
        <w:pageBreakBefore w:val="0"/>
        <w:tabs>
          <w:tab w:val="left" w:pos="7920"/>
        </w:tabs>
        <w:kinsoku/>
        <w:wordWrap/>
        <w:topLinePunct w:val="0"/>
        <w:autoSpaceDE/>
        <w:autoSpaceDN/>
        <w:bidi w:val="0"/>
        <w:adjustRightInd w:val="0"/>
        <w:snapToGrid w:val="0"/>
        <w:spacing w:line="360" w:lineRule="auto"/>
        <w:ind w:firstLine="562" w:firstLineChars="200"/>
        <w:jc w:val="both"/>
        <w:outlineLvl w:val="9"/>
        <w:rPr>
          <w:rFonts w:hint="eastAsia" w:asciiTheme="minorEastAsia" w:hAnsiTheme="minorEastAsia" w:eastAsiaTheme="minorEastAsia" w:cstheme="minorEastAsia"/>
          <w:b/>
          <w:color w:val="auto"/>
          <w:kern w:val="2"/>
          <w:sz w:val="28"/>
          <w:szCs w:val="28"/>
          <w:highlight w:val="none"/>
          <w:lang w:val="en-US" w:eastAsia="zh-CN" w:bidi="ar-SA"/>
        </w:rPr>
      </w:pPr>
      <w:r>
        <w:rPr>
          <w:rFonts w:hint="eastAsia" w:asciiTheme="minorEastAsia" w:hAnsiTheme="minorEastAsia" w:cstheme="minorEastAsia"/>
          <w:b/>
          <w:color w:val="auto"/>
          <w:kern w:val="2"/>
          <w:sz w:val="28"/>
          <w:szCs w:val="28"/>
          <w:highlight w:val="none"/>
          <w:lang w:val="en-US" w:eastAsia="zh-CN" w:bidi="ar-SA"/>
        </w:rPr>
        <w:t>九、</w:t>
      </w:r>
      <w:r>
        <w:rPr>
          <w:rFonts w:hint="eastAsia" w:asciiTheme="minorEastAsia" w:hAnsiTheme="minorEastAsia" w:eastAsiaTheme="minorEastAsia" w:cstheme="minorEastAsia"/>
          <w:b/>
          <w:color w:val="auto"/>
          <w:kern w:val="2"/>
          <w:sz w:val="28"/>
          <w:szCs w:val="28"/>
          <w:highlight w:val="none"/>
          <w:lang w:val="en-US" w:eastAsia="zh-CN" w:bidi="ar-SA"/>
        </w:rPr>
        <w:t>考核与评价</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仿宋"/>
          <w:color w:val="auto"/>
          <w:sz w:val="28"/>
          <w:szCs w:val="28"/>
          <w:highlight w:val="none"/>
          <w:lang w:val="en-US" w:eastAsia="zh-CN"/>
        </w:rPr>
      </w:pPr>
      <w:r>
        <w:rPr>
          <w:rFonts w:hint="eastAsia" w:ascii="宋体" w:hAnsi="宋体" w:eastAsia="宋体" w:cs="仿宋"/>
          <w:color w:val="auto"/>
          <w:sz w:val="28"/>
          <w:szCs w:val="28"/>
          <w:highlight w:val="none"/>
          <w:lang w:val="en-US" w:eastAsia="zh-CN"/>
        </w:rPr>
        <w:t>1.在合同期到期前一个结款周期内，甲方组织乙方对委托管理设备状况进行履约检查，如发现问题，甲方书面告知乙方进行限期整改，限期内如乙方未完成整改，甲方委托第三方进行询价维修，维修费从乙方最后一个结算周期的结算款中扣除。</w:t>
      </w:r>
    </w:p>
    <w:p>
      <w:pPr>
        <w:pageBreakBefore w:val="0"/>
        <w:tabs>
          <w:tab w:val="left" w:pos="7920"/>
        </w:tabs>
        <w:kinsoku/>
        <w:wordWrap/>
        <w:topLinePunct w:val="0"/>
        <w:autoSpaceDE/>
        <w:autoSpaceDN/>
        <w:bidi w:val="0"/>
        <w:adjustRightInd w:val="0"/>
        <w:snapToGrid w:val="0"/>
        <w:spacing w:line="360" w:lineRule="auto"/>
        <w:ind w:firstLine="560" w:firstLineChars="200"/>
        <w:jc w:val="both"/>
        <w:rPr>
          <w:rFonts w:hint="eastAsia" w:ascii="宋体" w:hAnsi="宋体" w:eastAsia="宋体" w:cs="宋体"/>
          <w:b w:val="0"/>
          <w:bCs w:val="0"/>
          <w:color w:val="auto"/>
          <w:sz w:val="28"/>
          <w:szCs w:val="28"/>
          <w:highlight w:val="none"/>
          <w:lang w:eastAsia="zh-CN"/>
        </w:rPr>
      </w:pPr>
      <w:r>
        <w:rPr>
          <w:rFonts w:hint="eastAsia" w:ascii="宋体" w:hAnsi="宋体" w:eastAsia="宋体" w:cs="仿宋"/>
          <w:color w:val="auto"/>
          <w:sz w:val="28"/>
          <w:szCs w:val="28"/>
          <w:highlight w:val="none"/>
          <w:lang w:val="en-US" w:eastAsia="zh-CN"/>
        </w:rPr>
        <w:t>2.质量考评：甲方按照约定内容每月对乙方服务质量进行考评，具体考评内容详见《电梯设备维护保养服务项目质量考核表》。</w:t>
      </w:r>
    </w:p>
    <w:p>
      <w:pPr>
        <w:pageBreakBefore w:val="0"/>
        <w:widowControl w:val="0"/>
        <w:tabs>
          <w:tab w:val="left" w:pos="2373"/>
        </w:tabs>
        <w:kinsoku/>
        <w:wordWrap/>
        <w:overflowPunct/>
        <w:topLinePunct w:val="0"/>
        <w:autoSpaceDE/>
        <w:autoSpaceDN/>
        <w:bidi w:val="0"/>
        <w:adjustRightInd w:val="0"/>
        <w:snapToGrid w:val="0"/>
        <w:spacing w:line="29" w:lineRule="atLeast"/>
        <w:jc w:val="center"/>
        <w:textAlignment w:val="auto"/>
        <w:outlineLvl w:val="9"/>
        <w:rPr>
          <w:rFonts w:hint="eastAsia" w:ascii="仿宋" w:hAnsi="仿宋" w:eastAsia="仿宋" w:cs="仿宋"/>
          <w:color w:val="auto"/>
          <w:sz w:val="28"/>
          <w:szCs w:val="28"/>
          <w:highlight w:val="none"/>
        </w:rPr>
      </w:pPr>
      <w:r>
        <w:rPr>
          <w:rFonts w:hint="eastAsia" w:ascii="仿宋" w:hAnsi="仿宋" w:eastAsia="仿宋" w:cs="仿宋"/>
          <w:b/>
          <w:bCs/>
          <w:color w:val="auto"/>
          <w:sz w:val="28"/>
          <w:szCs w:val="28"/>
          <w:highlight w:val="none"/>
          <w:lang w:val="en-US" w:eastAsia="zh-CN"/>
        </w:rPr>
        <w:t>电梯</w:t>
      </w:r>
      <w:r>
        <w:rPr>
          <w:rFonts w:hint="eastAsia" w:ascii="仿宋" w:hAnsi="仿宋" w:eastAsia="仿宋" w:cs="仿宋"/>
          <w:b/>
          <w:bCs/>
          <w:color w:val="auto"/>
          <w:sz w:val="28"/>
          <w:szCs w:val="28"/>
          <w:highlight w:val="none"/>
        </w:rPr>
        <w:t>设备维护保养服务项目质量考核表</w:t>
      </w:r>
    </w:p>
    <w:p>
      <w:pPr>
        <w:pageBreakBefore w:val="0"/>
        <w:widowControl w:val="0"/>
        <w:kinsoku/>
        <w:wordWrap/>
        <w:overflowPunct/>
        <w:topLinePunct w:val="0"/>
        <w:autoSpaceDE/>
        <w:autoSpaceDN/>
        <w:bidi w:val="0"/>
        <w:spacing w:line="29" w:lineRule="atLeast"/>
        <w:textAlignment w:val="auto"/>
        <w:outlineLvl w:val="9"/>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维护保养单位：</w:t>
      </w:r>
      <w:r>
        <w:rPr>
          <w:rFonts w:hint="eastAsia" w:ascii="仿宋" w:hAnsi="仿宋" w:eastAsia="仿宋" w:cs="仿宋"/>
          <w:color w:val="auto"/>
          <w:sz w:val="24"/>
          <w:szCs w:val="24"/>
          <w:highlight w:val="none"/>
          <w:lang w:eastAsia="zh-CN"/>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考核时间：      年第   月</w:t>
      </w:r>
    </w:p>
    <w:tbl>
      <w:tblPr>
        <w:tblStyle w:val="6"/>
        <w:tblW w:w="866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34"/>
        <w:gridCol w:w="3585"/>
        <w:gridCol w:w="2670"/>
        <w:gridCol w:w="810"/>
        <w:gridCol w:w="7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1" w:hRule="atLeast"/>
        </w:trPr>
        <w:tc>
          <w:tcPr>
            <w:tcW w:w="834"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考核项目</w:t>
            </w:r>
          </w:p>
        </w:tc>
        <w:tc>
          <w:tcPr>
            <w:tcW w:w="3585" w:type="dxa"/>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考核内容</w:t>
            </w:r>
          </w:p>
        </w:tc>
        <w:tc>
          <w:tcPr>
            <w:tcW w:w="2670" w:type="dxa"/>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评分标准</w:t>
            </w:r>
          </w:p>
        </w:tc>
        <w:tc>
          <w:tcPr>
            <w:tcW w:w="810" w:type="dxa"/>
            <w:noWrap w:val="0"/>
            <w:vAlign w:val="center"/>
          </w:tcPr>
          <w:p>
            <w:pPr>
              <w:pageBreakBefore w:val="0"/>
              <w:widowControl w:val="0"/>
              <w:kinsoku/>
              <w:wordWrap/>
              <w:overflowPunct/>
              <w:topLinePunct w:val="0"/>
              <w:autoSpaceDE/>
              <w:autoSpaceDN/>
              <w:bidi w:val="0"/>
              <w:spacing w:line="29" w:lineRule="atLeas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考评得分</w:t>
            </w:r>
          </w:p>
        </w:tc>
        <w:tc>
          <w:tcPr>
            <w:tcW w:w="765" w:type="dxa"/>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34" w:type="dxa"/>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应急20%</w:t>
            </w: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电梯出现故障停止运行</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小时内</w:t>
            </w:r>
            <w:r>
              <w:rPr>
                <w:rFonts w:hint="eastAsia" w:ascii="仿宋" w:hAnsi="仿宋" w:eastAsia="仿宋" w:cs="仿宋"/>
                <w:color w:val="auto"/>
                <w:sz w:val="24"/>
                <w:szCs w:val="24"/>
                <w:highlight w:val="none"/>
                <w:lang w:val="en-US" w:eastAsia="zh-CN"/>
              </w:rPr>
              <w:t>未</w:t>
            </w:r>
            <w:r>
              <w:rPr>
                <w:rFonts w:hint="eastAsia" w:ascii="仿宋" w:hAnsi="仿宋" w:eastAsia="仿宋" w:cs="仿宋"/>
                <w:color w:val="auto"/>
                <w:sz w:val="24"/>
                <w:szCs w:val="24"/>
                <w:highlight w:val="none"/>
              </w:rPr>
              <w:t>到达现场</w:t>
            </w:r>
            <w:r>
              <w:rPr>
                <w:rFonts w:hint="eastAsia" w:ascii="仿宋" w:hAnsi="仿宋" w:eastAsia="仿宋" w:cs="仿宋"/>
                <w:color w:val="auto"/>
                <w:sz w:val="24"/>
                <w:szCs w:val="24"/>
                <w:highlight w:val="none"/>
                <w:lang w:val="en-US" w:eastAsia="zh-CN"/>
              </w:rPr>
              <w:t>处理</w:t>
            </w:r>
            <w:r>
              <w:rPr>
                <w:rFonts w:hint="eastAsia" w:ascii="仿宋" w:hAnsi="仿宋" w:eastAsia="仿宋" w:cs="仿宋"/>
                <w:color w:val="auto"/>
                <w:sz w:val="24"/>
                <w:szCs w:val="24"/>
                <w:highlight w:val="none"/>
              </w:rPr>
              <w:t>故障。</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单项单次扣2分。本项满分</w:t>
            </w:r>
            <w:r>
              <w:rPr>
                <w:rFonts w:hint="eastAsia" w:ascii="仿宋" w:hAnsi="仿宋" w:eastAsia="仿宋" w:cs="仿宋"/>
                <w:color w:val="auto"/>
                <w:sz w:val="24"/>
                <w:szCs w:val="24"/>
                <w:highlight w:val="none"/>
                <w:lang w:val="en-US" w:eastAsia="zh-CN"/>
              </w:rPr>
              <w:t>20</w:t>
            </w:r>
            <w:r>
              <w:rPr>
                <w:rFonts w:hint="eastAsia" w:ascii="仿宋" w:hAnsi="仿宋" w:eastAsia="仿宋" w:cs="仿宋"/>
                <w:color w:val="auto"/>
                <w:sz w:val="24"/>
                <w:szCs w:val="24"/>
                <w:highlight w:val="none"/>
              </w:rPr>
              <w:t>分。</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834" w:type="dxa"/>
            <w:vMerge w:val="restart"/>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维保 质量60%</w:t>
            </w: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1.每月在约定时间内提交计划</w:t>
            </w:r>
            <w:r>
              <w:rPr>
                <w:rFonts w:hint="eastAsia" w:ascii="仿宋" w:hAnsi="仿宋" w:eastAsia="仿宋" w:cs="仿宋"/>
                <w:color w:val="auto"/>
                <w:sz w:val="24"/>
                <w:szCs w:val="24"/>
                <w:highlight w:val="none"/>
                <w:lang w:val="en-US" w:eastAsia="zh-CN"/>
              </w:rPr>
              <w:t>或总结</w:t>
            </w:r>
            <w:r>
              <w:rPr>
                <w:rFonts w:hint="eastAsia" w:ascii="仿宋" w:hAnsi="仿宋" w:eastAsia="仿宋" w:cs="仿宋"/>
                <w:color w:val="auto"/>
                <w:sz w:val="24"/>
                <w:szCs w:val="24"/>
                <w:highlight w:val="none"/>
              </w:rPr>
              <w:t>。</w:t>
            </w:r>
          </w:p>
        </w:tc>
        <w:tc>
          <w:tcPr>
            <w:tcW w:w="2670" w:type="dxa"/>
            <w:noWrap w:val="0"/>
            <w:vAlign w:val="top"/>
          </w:tcPr>
          <w:p>
            <w:pPr>
              <w:pageBreakBefore w:val="0"/>
              <w:widowControl w:val="0"/>
              <w:kinsoku/>
              <w:wordWrap/>
              <w:overflowPunct/>
              <w:topLinePunct w:val="0"/>
              <w:autoSpaceDE/>
              <w:autoSpaceDN/>
              <w:bidi w:val="0"/>
              <w:spacing w:line="29" w:lineRule="atLeas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检查资料，单项单次扣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分。本项满分</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4" w:type="dxa"/>
            <w:vMerge w:val="continue"/>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2.例行维护保养记录资料不全或不符合要求。</w:t>
            </w:r>
          </w:p>
        </w:tc>
        <w:tc>
          <w:tcPr>
            <w:tcW w:w="2670" w:type="dxa"/>
            <w:noWrap w:val="0"/>
            <w:vAlign w:val="top"/>
          </w:tcPr>
          <w:p>
            <w:pPr>
              <w:pageBreakBefore w:val="0"/>
              <w:widowControl w:val="0"/>
              <w:kinsoku/>
              <w:wordWrap/>
              <w:overflowPunct/>
              <w:topLinePunct w:val="0"/>
              <w:autoSpaceDE/>
              <w:autoSpaceDN/>
              <w:bidi w:val="0"/>
              <w:spacing w:line="29" w:lineRule="atLeas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检查资料，单项单次扣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分。本项满分</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4" w:type="dxa"/>
            <w:vMerge w:val="continue"/>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rPr>
              <w:t>.例行维护保养质量不符合技术规范书相关要求。</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资料与现场核对，单项单次扣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分。本项满分</w:t>
            </w:r>
            <w:r>
              <w:rPr>
                <w:rFonts w:hint="eastAsia" w:ascii="仿宋" w:hAnsi="仿宋" w:eastAsia="仿宋" w:cs="仿宋"/>
                <w:color w:val="auto"/>
                <w:sz w:val="24"/>
                <w:szCs w:val="24"/>
                <w:highlight w:val="none"/>
                <w:lang w:val="en-US" w:eastAsia="zh-CN"/>
              </w:rPr>
              <w:t>30</w:t>
            </w:r>
            <w:r>
              <w:rPr>
                <w:rFonts w:hint="eastAsia" w:ascii="仿宋" w:hAnsi="仿宋" w:eastAsia="仿宋" w:cs="仿宋"/>
                <w:color w:val="auto"/>
                <w:sz w:val="24"/>
                <w:szCs w:val="24"/>
                <w:highlight w:val="none"/>
              </w:rPr>
              <w:t>分。</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4" w:type="dxa"/>
            <w:vMerge w:val="continue"/>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.现场维护作业不遵守安全管理规定，存在现场作业安全隐患。</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现场抽查，单项单次扣5分。本项满分5分。</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4" w:type="dxa"/>
            <w:vMerge w:val="continue"/>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.现场作业人员技术及经验不足造成系统故障或保养后系统未复位。</w:t>
            </w:r>
          </w:p>
        </w:tc>
        <w:tc>
          <w:tcPr>
            <w:tcW w:w="2670" w:type="dxa"/>
            <w:noWrap w:val="0"/>
            <w:vAlign w:val="top"/>
          </w:tcPr>
          <w:p>
            <w:pPr>
              <w:pageBreakBefore w:val="0"/>
              <w:widowControl w:val="0"/>
              <w:kinsoku/>
              <w:wordWrap/>
              <w:overflowPunct/>
              <w:topLinePunct w:val="0"/>
              <w:autoSpaceDE/>
              <w:autoSpaceDN/>
              <w:bidi w:val="0"/>
              <w:spacing w:line="29" w:lineRule="atLeas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现场或事后分析，单项单次扣5分。本项满分5分。</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4" w:type="dxa"/>
            <w:vMerge w:val="continue"/>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6</w:t>
            </w:r>
            <w:r>
              <w:rPr>
                <w:rFonts w:hint="eastAsia" w:ascii="仿宋" w:hAnsi="仿宋" w:eastAsia="仿宋" w:cs="仿宋"/>
                <w:color w:val="auto"/>
                <w:sz w:val="24"/>
                <w:szCs w:val="24"/>
                <w:highlight w:val="none"/>
              </w:rPr>
              <w:t>.对隐患现场未采取处理措施，影响系统其它设施运行。</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现场或事后分析，单项单次扣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分。本项满分</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4" w:type="dxa"/>
            <w:vMerge w:val="continue"/>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7</w:t>
            </w:r>
            <w:r>
              <w:rPr>
                <w:rFonts w:hint="eastAsia" w:ascii="仿宋" w:hAnsi="仿宋" w:eastAsia="仿宋" w:cs="仿宋"/>
                <w:color w:val="auto"/>
                <w:sz w:val="24"/>
                <w:szCs w:val="24"/>
                <w:highlight w:val="none"/>
              </w:rPr>
              <w:t>.对隐患未及时提交工作联系单交于甲方进行审核。</w:t>
            </w:r>
          </w:p>
        </w:tc>
        <w:tc>
          <w:tcPr>
            <w:tcW w:w="2670" w:type="dxa"/>
            <w:noWrap w:val="0"/>
            <w:vAlign w:val="top"/>
          </w:tcPr>
          <w:p>
            <w:pPr>
              <w:pageBreakBefore w:val="0"/>
              <w:widowControl w:val="0"/>
              <w:kinsoku/>
              <w:wordWrap/>
              <w:overflowPunct/>
              <w:topLinePunct w:val="0"/>
              <w:autoSpaceDE/>
              <w:autoSpaceDN/>
              <w:bidi w:val="0"/>
              <w:spacing w:line="29" w:lineRule="atLeas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检查资料，单项单次扣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分。本项满分</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834" w:type="dxa"/>
            <w:vMerge w:val="continue"/>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.隐患方案或报价确认后，未及时进行整改。(确认单发出后≦7天)</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检查资料，单项单次扣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分。本项满分</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34" w:type="dxa"/>
            <w:vMerge w:val="restart"/>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其它20%</w:t>
            </w: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1.现场维护作业人员未按规定着工装。</w:t>
            </w:r>
          </w:p>
        </w:tc>
        <w:tc>
          <w:tcPr>
            <w:tcW w:w="2670" w:type="dxa"/>
            <w:noWrap w:val="0"/>
            <w:vAlign w:val="top"/>
          </w:tcPr>
          <w:p>
            <w:pPr>
              <w:pageBreakBefore w:val="0"/>
              <w:widowControl w:val="0"/>
              <w:kinsoku/>
              <w:wordWrap/>
              <w:overflowPunct/>
              <w:topLinePunct w:val="0"/>
              <w:autoSpaceDE/>
              <w:autoSpaceDN/>
              <w:bidi w:val="0"/>
              <w:spacing w:line="29" w:lineRule="atLeast"/>
              <w:jc w:val="lef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现场检查，单项单次扣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分。本项满分</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34" w:type="dxa"/>
            <w:vMerge w:val="continue"/>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2.不严格遵守甲方管理、不服从甲方合理工作安排。</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资料与现场检查，单项单次扣</w:t>
            </w:r>
            <w:r>
              <w:rPr>
                <w:rFonts w:hint="eastAsia" w:ascii="仿宋" w:hAnsi="仿宋" w:eastAsia="仿宋" w:cs="仿宋"/>
                <w:color w:val="auto"/>
                <w:sz w:val="24"/>
                <w:szCs w:val="24"/>
                <w:highlight w:val="none"/>
                <w:lang w:val="en-US" w:eastAsia="zh-CN"/>
              </w:rPr>
              <w:t>2</w:t>
            </w:r>
            <w:r>
              <w:rPr>
                <w:rFonts w:hint="eastAsia" w:ascii="仿宋" w:hAnsi="仿宋" w:eastAsia="仿宋" w:cs="仿宋"/>
                <w:color w:val="auto"/>
                <w:sz w:val="24"/>
                <w:szCs w:val="24"/>
                <w:highlight w:val="none"/>
              </w:rPr>
              <w:t>分。本项满分</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c>
          <w:tcPr>
            <w:tcW w:w="81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34" w:type="dxa"/>
            <w:vMerge w:val="continue"/>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3.现场维保作业发生客户有效投诉。</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核查属实，单项单次扣</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分。本项满分</w:t>
            </w:r>
            <w:r>
              <w:rPr>
                <w:rFonts w:hint="eastAsia" w:ascii="仿宋" w:hAnsi="仿宋" w:eastAsia="仿宋" w:cs="仿宋"/>
                <w:color w:val="auto"/>
                <w:sz w:val="24"/>
                <w:szCs w:val="24"/>
                <w:highlight w:val="none"/>
                <w:lang w:val="en-US" w:eastAsia="zh-CN"/>
              </w:rPr>
              <w:t>4</w:t>
            </w:r>
            <w:r>
              <w:rPr>
                <w:rFonts w:hint="eastAsia" w:ascii="仿宋" w:hAnsi="仿宋" w:eastAsia="仿宋" w:cs="仿宋"/>
                <w:color w:val="auto"/>
                <w:sz w:val="24"/>
                <w:szCs w:val="24"/>
                <w:highlight w:val="none"/>
              </w:rPr>
              <w:t>分。</w:t>
            </w:r>
          </w:p>
        </w:tc>
        <w:tc>
          <w:tcPr>
            <w:tcW w:w="81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c>
          <w:tcPr>
            <w:tcW w:w="76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34" w:type="dxa"/>
            <w:vMerge w:val="continue"/>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kern w:val="2"/>
                <w:sz w:val="24"/>
                <w:szCs w:val="24"/>
                <w:highlight w:val="none"/>
                <w:lang w:val="en-US" w:eastAsia="zh-CN" w:bidi="ar-SA"/>
              </w:rPr>
              <w:t>4.每月至少定期开展2次例行保养，每次相隔不超过15日。现场作业人员不得少于两人，且所有到项目从事维保作业的人员必须按国家有关规定及技术规范书要求持有相应上岗证件资质，维修保养完成后如实记录本次维修保养内容并签名。</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核查属实，单项</w:t>
            </w:r>
            <w:r>
              <w:rPr>
                <w:rFonts w:hint="eastAsia" w:ascii="仿宋" w:hAnsi="仿宋" w:eastAsia="仿宋" w:cs="仿宋"/>
                <w:color w:val="auto"/>
                <w:sz w:val="24"/>
                <w:szCs w:val="24"/>
                <w:highlight w:val="none"/>
                <w:lang w:val="en-US" w:eastAsia="zh-CN"/>
              </w:rPr>
              <w:t>单次扣4分。</w:t>
            </w:r>
            <w:r>
              <w:rPr>
                <w:rFonts w:hint="eastAsia" w:ascii="仿宋" w:hAnsi="仿宋" w:eastAsia="仿宋" w:cs="仿宋"/>
                <w:color w:val="auto"/>
                <w:sz w:val="24"/>
                <w:szCs w:val="24"/>
                <w:highlight w:val="none"/>
              </w:rPr>
              <w:t>本项满分</w:t>
            </w:r>
            <w:r>
              <w:rPr>
                <w:rFonts w:hint="eastAsia" w:ascii="仿宋" w:hAnsi="仿宋" w:eastAsia="仿宋" w:cs="仿宋"/>
                <w:color w:val="auto"/>
                <w:sz w:val="24"/>
                <w:szCs w:val="24"/>
                <w:highlight w:val="none"/>
                <w:lang w:val="en-US" w:eastAsia="zh-CN"/>
              </w:rPr>
              <w:t>8</w:t>
            </w:r>
            <w:r>
              <w:rPr>
                <w:rFonts w:hint="eastAsia" w:ascii="仿宋" w:hAnsi="仿宋" w:eastAsia="仿宋" w:cs="仿宋"/>
                <w:color w:val="auto"/>
                <w:sz w:val="24"/>
                <w:szCs w:val="24"/>
                <w:highlight w:val="none"/>
              </w:rPr>
              <w:t>分</w:t>
            </w:r>
            <w:r>
              <w:rPr>
                <w:rFonts w:hint="eastAsia" w:ascii="仿宋" w:hAnsi="仿宋" w:eastAsia="仿宋" w:cs="仿宋"/>
                <w:color w:val="auto"/>
                <w:sz w:val="24"/>
                <w:szCs w:val="24"/>
                <w:highlight w:val="none"/>
                <w:lang w:eastAsia="zh-CN"/>
              </w:rPr>
              <w:t>。</w:t>
            </w:r>
          </w:p>
        </w:tc>
        <w:tc>
          <w:tcPr>
            <w:tcW w:w="81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34" w:type="dxa"/>
            <w:vMerge w:val="restart"/>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直接扣款项</w:t>
            </w:r>
          </w:p>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b/>
                <w:bCs/>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1.</w:t>
            </w:r>
            <w:r>
              <w:rPr>
                <w:rFonts w:hint="eastAsia" w:ascii="仿宋" w:hAnsi="仿宋" w:eastAsia="仿宋" w:cs="仿宋"/>
                <w:color w:val="auto"/>
                <w:sz w:val="24"/>
                <w:szCs w:val="24"/>
                <w:highlight w:val="none"/>
              </w:rPr>
              <w:t>在合同期内未按规定完成保养，质检未通过质检验收及未协助甲方取得合格证。</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合同总价扣款3%比例。</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34" w:type="dxa"/>
            <w:vMerge w:val="continue"/>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2.电梯出现困人情形，30分钟内未到达现场并安全解救人员。</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扣款1000-5000元/次。</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34" w:type="dxa"/>
            <w:vMerge w:val="continue"/>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358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3.</w:t>
            </w:r>
            <w:r>
              <w:rPr>
                <w:rFonts w:hint="eastAsia" w:ascii="仿宋" w:hAnsi="仿宋" w:eastAsia="仿宋" w:cs="仿宋"/>
                <w:color w:val="auto"/>
                <w:sz w:val="24"/>
                <w:szCs w:val="24"/>
                <w:highlight w:val="none"/>
                <w:lang w:eastAsia="zh-CN"/>
              </w:rPr>
              <w:t>严格按照投标文件中的人员名单及资质履行合同或提交变更申请。</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lang w:val="en-US" w:eastAsia="zh-CN"/>
              </w:rPr>
              <w:t>未经允许更换</w:t>
            </w:r>
            <w:r>
              <w:rPr>
                <w:rFonts w:hint="eastAsia" w:ascii="仿宋" w:hAnsi="仿宋" w:eastAsia="仿宋" w:cs="仿宋"/>
                <w:color w:val="auto"/>
                <w:sz w:val="24"/>
                <w:szCs w:val="24"/>
                <w:highlight w:val="none"/>
                <w:lang w:eastAsia="zh-CN"/>
              </w:rPr>
              <w:t>项目负责人，</w:t>
            </w:r>
            <w:r>
              <w:rPr>
                <w:rFonts w:hint="eastAsia" w:ascii="仿宋" w:hAnsi="仿宋" w:eastAsia="仿宋" w:cs="仿宋"/>
                <w:color w:val="auto"/>
                <w:sz w:val="24"/>
                <w:szCs w:val="24"/>
                <w:highlight w:val="none"/>
                <w:lang w:val="en-US" w:eastAsia="zh-CN"/>
              </w:rPr>
              <w:t>扣款500元/月；未经允许更换技术人员，扣款200元/月。</w:t>
            </w:r>
          </w:p>
        </w:tc>
        <w:tc>
          <w:tcPr>
            <w:tcW w:w="810"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34" w:type="dxa"/>
            <w:vMerge w:val="continue"/>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b/>
                <w:bCs/>
                <w:color w:val="auto"/>
                <w:sz w:val="24"/>
                <w:szCs w:val="24"/>
                <w:highlight w:val="none"/>
              </w:rPr>
            </w:pPr>
          </w:p>
        </w:tc>
        <w:tc>
          <w:tcPr>
            <w:tcW w:w="3585" w:type="dxa"/>
            <w:noWrap w:val="0"/>
            <w:vAlign w:val="center"/>
          </w:tcPr>
          <w:p>
            <w:pPr>
              <w:pageBreakBefore w:val="0"/>
              <w:widowControl w:val="0"/>
              <w:kinsoku/>
              <w:wordWrap/>
              <w:overflowPunct/>
              <w:topLinePunct w:val="0"/>
              <w:autoSpaceDE/>
              <w:autoSpaceDN/>
              <w:bidi w:val="0"/>
              <w:spacing w:line="29" w:lineRule="atLeast"/>
              <w:jc w:val="both"/>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4.严格按照合同要求进行维保工作，严禁出现漏保缺次等情况。</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default" w:ascii="仿宋" w:hAnsi="仿宋" w:eastAsia="仿宋" w:cs="仿宋"/>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若出现漏保缺次情况</w:t>
            </w:r>
            <w:r>
              <w:rPr>
                <w:rFonts w:hint="eastAsia" w:ascii="仿宋" w:hAnsi="仿宋" w:eastAsia="仿宋" w:cs="仿宋"/>
                <w:color w:val="auto"/>
                <w:sz w:val="24"/>
                <w:szCs w:val="24"/>
                <w:highlight w:val="none"/>
              </w:rPr>
              <w:t>，</w:t>
            </w:r>
            <w:r>
              <w:rPr>
                <w:rFonts w:hint="eastAsia" w:ascii="仿宋" w:hAnsi="仿宋" w:eastAsia="仿宋" w:cs="仿宋"/>
                <w:color w:val="auto"/>
                <w:sz w:val="24"/>
                <w:szCs w:val="24"/>
                <w:highlight w:val="none"/>
                <w:lang w:val="en-US" w:eastAsia="zh-CN"/>
              </w:rPr>
              <w:t>不予支付当项费用，且月度扣款500元/台；未按要求进行季度检查，扣款1000元/次；未按要求进行半年/年度检查，扣款3000元/次。</w:t>
            </w:r>
          </w:p>
        </w:tc>
        <w:tc>
          <w:tcPr>
            <w:tcW w:w="81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34" w:type="dxa"/>
            <w:vMerge w:val="continue"/>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b/>
                <w:bCs/>
                <w:color w:val="auto"/>
                <w:sz w:val="24"/>
                <w:szCs w:val="24"/>
                <w:highlight w:val="none"/>
                <w:lang w:val="en-US" w:eastAsia="zh-CN"/>
              </w:rPr>
            </w:pPr>
          </w:p>
        </w:tc>
        <w:tc>
          <w:tcPr>
            <w:tcW w:w="3585" w:type="dxa"/>
            <w:noWrap w:val="0"/>
            <w:vAlign w:val="center"/>
          </w:tcPr>
          <w:p>
            <w:pPr>
              <w:pageBreakBefore w:val="0"/>
              <w:widowControl w:val="0"/>
              <w:kinsoku/>
              <w:wordWrap/>
              <w:overflowPunct/>
              <w:topLinePunct w:val="0"/>
              <w:autoSpaceDE/>
              <w:autoSpaceDN/>
              <w:bidi w:val="0"/>
              <w:spacing w:line="29" w:lineRule="atLeast"/>
              <w:jc w:val="both"/>
              <w:textAlignment w:val="auto"/>
              <w:rPr>
                <w:rFonts w:hint="eastAsia" w:ascii="仿宋" w:hAnsi="仿宋" w:eastAsia="仿宋" w:cs="仿宋"/>
                <w:b/>
                <w:bCs/>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5.</w:t>
            </w:r>
            <w:r>
              <w:rPr>
                <w:rFonts w:hint="eastAsia" w:ascii="仿宋" w:hAnsi="仿宋" w:eastAsia="仿宋" w:cs="仿宋"/>
                <w:color w:val="auto"/>
                <w:sz w:val="24"/>
                <w:szCs w:val="24"/>
                <w:highlight w:val="none"/>
              </w:rPr>
              <w:t>多次维保出现问题，设备故障多发频发</w:t>
            </w:r>
            <w:r>
              <w:rPr>
                <w:rFonts w:hint="eastAsia" w:ascii="仿宋" w:hAnsi="仿宋" w:eastAsia="仿宋" w:cs="仿宋"/>
                <w:color w:val="auto"/>
                <w:sz w:val="24"/>
                <w:szCs w:val="24"/>
                <w:highlight w:val="none"/>
                <w:lang w:eastAsia="zh-CN"/>
              </w:rPr>
              <w:t>，</w:t>
            </w:r>
            <w:r>
              <w:rPr>
                <w:rFonts w:hint="eastAsia" w:ascii="仿宋" w:hAnsi="仿宋" w:eastAsia="仿宋" w:cs="仿宋"/>
                <w:color w:val="auto"/>
                <w:sz w:val="24"/>
                <w:szCs w:val="24"/>
                <w:highlight w:val="none"/>
              </w:rPr>
              <w:t>经甲方要求整改后改善效果不佳</w:t>
            </w:r>
            <w:r>
              <w:rPr>
                <w:rFonts w:hint="eastAsia" w:ascii="仿宋" w:hAnsi="仿宋" w:eastAsia="仿宋" w:cs="仿宋"/>
                <w:color w:val="auto"/>
                <w:sz w:val="24"/>
                <w:szCs w:val="24"/>
                <w:highlight w:val="none"/>
                <w:lang w:eastAsia="zh-CN"/>
              </w:rPr>
              <w:t>。</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rPr>
              <w:t>视情况扣除当月服务费</w:t>
            </w:r>
            <w:r>
              <w:rPr>
                <w:rFonts w:hint="eastAsia" w:ascii="仿宋" w:hAnsi="仿宋" w:eastAsia="仿宋" w:cs="仿宋"/>
                <w:color w:val="auto"/>
                <w:sz w:val="24"/>
                <w:szCs w:val="24"/>
                <w:highlight w:val="none"/>
                <w:lang w:val="en-US" w:eastAsia="zh-CN"/>
              </w:rPr>
              <w:t>5</w:t>
            </w:r>
            <w:r>
              <w:rPr>
                <w:rFonts w:hint="eastAsia" w:ascii="仿宋" w:hAnsi="仿宋" w:eastAsia="仿宋" w:cs="仿宋"/>
                <w:color w:val="auto"/>
                <w:sz w:val="24"/>
                <w:szCs w:val="24"/>
                <w:highlight w:val="none"/>
              </w:rPr>
              <w:t>00-</w:t>
            </w:r>
            <w:r>
              <w:rPr>
                <w:rFonts w:hint="eastAsia" w:ascii="仿宋" w:hAnsi="仿宋" w:eastAsia="仿宋" w:cs="仿宋"/>
                <w:color w:val="auto"/>
                <w:sz w:val="24"/>
                <w:szCs w:val="24"/>
                <w:highlight w:val="none"/>
                <w:lang w:val="en-US" w:eastAsia="zh-CN"/>
              </w:rPr>
              <w:t>10</w:t>
            </w:r>
            <w:r>
              <w:rPr>
                <w:rFonts w:hint="eastAsia" w:ascii="仿宋" w:hAnsi="仿宋" w:eastAsia="仿宋" w:cs="仿宋"/>
                <w:color w:val="auto"/>
                <w:sz w:val="24"/>
                <w:szCs w:val="24"/>
                <w:highlight w:val="none"/>
              </w:rPr>
              <w:t>00元</w:t>
            </w:r>
            <w:r>
              <w:rPr>
                <w:rFonts w:hint="eastAsia" w:ascii="仿宋" w:hAnsi="仿宋" w:eastAsia="仿宋" w:cs="仿宋"/>
                <w:color w:val="auto"/>
                <w:sz w:val="24"/>
                <w:szCs w:val="24"/>
                <w:highlight w:val="none"/>
                <w:lang w:eastAsia="zh-CN"/>
              </w:rPr>
              <w:t>。</w:t>
            </w:r>
          </w:p>
        </w:tc>
        <w:tc>
          <w:tcPr>
            <w:tcW w:w="81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834" w:type="dxa"/>
            <w:vMerge w:val="continue"/>
            <w:noWrap w:val="0"/>
            <w:vAlign w:val="center"/>
          </w:tcPr>
          <w:p>
            <w:pPr>
              <w:pageBreakBefore w:val="0"/>
              <w:widowControl w:val="0"/>
              <w:kinsoku/>
              <w:wordWrap/>
              <w:overflowPunct/>
              <w:topLinePunct w:val="0"/>
              <w:autoSpaceDE/>
              <w:autoSpaceDN/>
              <w:bidi w:val="0"/>
              <w:spacing w:line="29" w:lineRule="atLeast"/>
              <w:jc w:val="center"/>
              <w:textAlignment w:val="auto"/>
              <w:rPr>
                <w:rFonts w:hint="eastAsia" w:ascii="仿宋" w:hAnsi="仿宋" w:eastAsia="仿宋" w:cs="仿宋"/>
                <w:b/>
                <w:bCs/>
                <w:color w:val="auto"/>
                <w:sz w:val="24"/>
                <w:szCs w:val="24"/>
                <w:highlight w:val="none"/>
                <w:lang w:val="en-US" w:eastAsia="zh-CN"/>
              </w:rPr>
            </w:pPr>
          </w:p>
        </w:tc>
        <w:tc>
          <w:tcPr>
            <w:tcW w:w="3585" w:type="dxa"/>
            <w:noWrap w:val="0"/>
            <w:vAlign w:val="center"/>
          </w:tcPr>
          <w:p>
            <w:pPr>
              <w:pageBreakBefore w:val="0"/>
              <w:widowControl w:val="0"/>
              <w:kinsoku/>
              <w:wordWrap/>
              <w:overflowPunct/>
              <w:topLinePunct w:val="0"/>
              <w:autoSpaceDE/>
              <w:autoSpaceDN/>
              <w:bidi w:val="0"/>
              <w:spacing w:line="29" w:lineRule="atLeast"/>
              <w:jc w:val="both"/>
              <w:textAlignment w:val="auto"/>
              <w:rPr>
                <w:rFonts w:hint="default" w:ascii="仿宋" w:hAnsi="仿宋" w:eastAsia="仿宋" w:cs="仿宋"/>
                <w:b w:val="0"/>
                <w:bCs w:val="0"/>
                <w:color w:val="auto"/>
                <w:sz w:val="24"/>
                <w:szCs w:val="24"/>
                <w:highlight w:val="none"/>
                <w:lang w:val="en-US" w:eastAsia="zh-CN"/>
              </w:rPr>
            </w:pPr>
            <w:r>
              <w:rPr>
                <w:rFonts w:hint="eastAsia" w:ascii="仿宋" w:hAnsi="仿宋" w:eastAsia="仿宋" w:cs="仿宋"/>
                <w:b w:val="0"/>
                <w:bCs w:val="0"/>
                <w:color w:val="auto"/>
                <w:sz w:val="24"/>
                <w:szCs w:val="24"/>
                <w:highlight w:val="none"/>
                <w:lang w:val="en-US" w:eastAsia="zh-CN"/>
              </w:rPr>
              <w:t>6.维修保养、应急抢险作业中未落实现场安全防护措施（作业前在维修保养的电梯主要入口处未设置围栏并张贴温馨提示“检修停用”、“例行检查保养”，维修检查电梯时载客载货）。</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lang w:eastAsia="zh-CN"/>
              </w:rPr>
            </w:pPr>
            <w:r>
              <w:rPr>
                <w:rFonts w:hint="eastAsia" w:ascii="仿宋" w:hAnsi="仿宋" w:eastAsia="仿宋" w:cs="仿宋"/>
                <w:color w:val="auto"/>
                <w:sz w:val="24"/>
                <w:szCs w:val="24"/>
                <w:highlight w:val="none"/>
              </w:rPr>
              <w:t>视情况扣除当月服务费500-1000元</w:t>
            </w:r>
            <w:r>
              <w:rPr>
                <w:rFonts w:hint="eastAsia" w:ascii="仿宋" w:hAnsi="仿宋" w:eastAsia="仿宋" w:cs="仿宋"/>
                <w:color w:val="auto"/>
                <w:sz w:val="24"/>
                <w:szCs w:val="24"/>
                <w:highlight w:val="none"/>
                <w:lang w:eastAsia="zh-CN"/>
              </w:rPr>
              <w:t>。</w:t>
            </w:r>
          </w:p>
        </w:tc>
        <w:tc>
          <w:tcPr>
            <w:tcW w:w="81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9" w:hRule="atLeast"/>
        </w:trPr>
        <w:tc>
          <w:tcPr>
            <w:tcW w:w="4419" w:type="dxa"/>
            <w:gridSpan w:val="2"/>
            <w:noWrap w:val="0"/>
            <w:vAlign w:val="center"/>
          </w:tcPr>
          <w:p>
            <w:pPr>
              <w:pageBreakBefore w:val="0"/>
              <w:widowControl w:val="0"/>
              <w:kinsoku/>
              <w:wordWrap/>
              <w:overflowPunct/>
              <w:topLinePunct w:val="0"/>
              <w:autoSpaceDE/>
              <w:autoSpaceDN/>
              <w:bidi w:val="0"/>
              <w:spacing w:line="29" w:lineRule="atLeast"/>
              <w:jc w:val="center"/>
              <w:textAlignment w:val="auto"/>
              <w:rPr>
                <w:rFonts w:hint="default" w:ascii="仿宋" w:hAnsi="仿宋" w:eastAsia="仿宋" w:cs="仿宋"/>
                <w:b/>
                <w:bCs/>
                <w:color w:val="auto"/>
                <w:sz w:val="24"/>
                <w:szCs w:val="24"/>
                <w:highlight w:val="none"/>
                <w:lang w:val="en-US" w:eastAsia="zh-CN"/>
              </w:rPr>
            </w:pPr>
            <w:r>
              <w:rPr>
                <w:rFonts w:hint="eastAsia" w:ascii="仿宋" w:hAnsi="仿宋" w:eastAsia="仿宋" w:cs="仿宋"/>
                <w:b/>
                <w:bCs/>
                <w:color w:val="auto"/>
                <w:sz w:val="24"/>
                <w:szCs w:val="24"/>
                <w:highlight w:val="none"/>
                <w:lang w:val="en-US" w:eastAsia="zh-CN"/>
              </w:rPr>
              <w:t>合计</w:t>
            </w:r>
          </w:p>
        </w:tc>
        <w:tc>
          <w:tcPr>
            <w:tcW w:w="267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810"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c>
          <w:tcPr>
            <w:tcW w:w="765" w:type="dxa"/>
            <w:noWrap w:val="0"/>
            <w:vAlign w:val="top"/>
          </w:tcPr>
          <w:p>
            <w:pPr>
              <w:pageBreakBefore w:val="0"/>
              <w:widowControl w:val="0"/>
              <w:kinsoku/>
              <w:wordWrap/>
              <w:overflowPunct/>
              <w:topLinePunct w:val="0"/>
              <w:autoSpaceDE/>
              <w:autoSpaceDN/>
              <w:bidi w:val="0"/>
              <w:spacing w:line="29" w:lineRule="atLeast"/>
              <w:textAlignment w:val="auto"/>
              <w:rPr>
                <w:rFonts w:hint="eastAsia" w:ascii="仿宋" w:hAnsi="仿宋" w:eastAsia="仿宋" w:cs="仿宋"/>
                <w:color w:val="auto"/>
                <w:sz w:val="24"/>
                <w:szCs w:val="24"/>
                <w:highlight w:val="none"/>
              </w:rPr>
            </w:pPr>
          </w:p>
        </w:tc>
      </w:tr>
    </w:tbl>
    <w:p>
      <w:pPr>
        <w:keepNext w:val="0"/>
        <w:keepLines w:val="0"/>
        <w:pageBreakBefore w:val="0"/>
        <w:widowControl w:val="0"/>
        <w:kinsoku/>
        <w:wordWrap/>
        <w:overflowPunct/>
        <w:topLinePunct w:val="0"/>
        <w:autoSpaceDE/>
        <w:autoSpaceDN/>
        <w:bidi w:val="0"/>
        <w:adjustRightInd/>
        <w:snapToGrid/>
        <w:spacing w:line="29" w:lineRule="atLeast"/>
        <w:ind w:firstLine="480" w:firstLineChars="200"/>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考核说明：</w:t>
      </w:r>
    </w:p>
    <w:p>
      <w:pPr>
        <w:keepNext w:val="0"/>
        <w:keepLines w:val="0"/>
        <w:pageBreakBefore w:val="0"/>
        <w:widowControl w:val="0"/>
        <w:kinsoku/>
        <w:wordWrap/>
        <w:overflowPunct/>
        <w:topLinePunct w:val="0"/>
        <w:autoSpaceDE/>
        <w:autoSpaceDN/>
        <w:bidi w:val="0"/>
        <w:adjustRightInd/>
        <w:snapToGrid/>
        <w:spacing w:line="29" w:lineRule="atLeas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1.此表考核内容作为合同付款依据之一。</w:t>
      </w:r>
    </w:p>
    <w:p>
      <w:pPr>
        <w:keepNext w:val="0"/>
        <w:keepLines w:val="0"/>
        <w:pageBreakBefore w:val="0"/>
        <w:widowControl w:val="0"/>
        <w:kinsoku/>
        <w:wordWrap/>
        <w:overflowPunct/>
        <w:topLinePunct w:val="0"/>
        <w:autoSpaceDE/>
        <w:autoSpaceDN/>
        <w:bidi w:val="0"/>
        <w:adjustRightInd/>
        <w:snapToGrid/>
        <w:spacing w:line="29" w:lineRule="atLeas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2.每月考核分为90分为合格（含），不予折合扣款；在80（含）-90分区间内，每分折合扣款100元；在</w:t>
      </w:r>
      <w:r>
        <w:rPr>
          <w:rFonts w:hint="eastAsia" w:asciiTheme="minorEastAsia" w:hAnsiTheme="minorEastAsia" w:cstheme="minorEastAsia"/>
          <w:color w:val="auto"/>
          <w:sz w:val="24"/>
          <w:szCs w:val="24"/>
          <w:highlight w:val="none"/>
          <w:lang w:val="en-US" w:eastAsia="zh-CN"/>
        </w:rPr>
        <w:t>80分以下</w:t>
      </w:r>
      <w:r>
        <w:rPr>
          <w:rFonts w:hint="eastAsia" w:asciiTheme="minorEastAsia" w:hAnsiTheme="minorEastAsia" w:eastAsiaTheme="minorEastAsia" w:cstheme="minorEastAsia"/>
          <w:color w:val="auto"/>
          <w:sz w:val="24"/>
          <w:szCs w:val="24"/>
          <w:highlight w:val="none"/>
        </w:rPr>
        <w:t>区间内，每分折合扣款200元。每</w:t>
      </w:r>
      <w:r>
        <w:rPr>
          <w:rFonts w:hint="eastAsia" w:asciiTheme="minorEastAsia" w:hAnsiTheme="minorEastAsia" w:eastAsiaTheme="minorEastAsia" w:cstheme="minorEastAsia"/>
          <w:color w:val="auto"/>
          <w:sz w:val="24"/>
          <w:szCs w:val="24"/>
          <w:highlight w:val="none"/>
          <w:lang w:eastAsia="zh-CN"/>
        </w:rPr>
        <w:t>个支付周期</w:t>
      </w:r>
      <w:r>
        <w:rPr>
          <w:rFonts w:hint="eastAsia" w:asciiTheme="minorEastAsia" w:hAnsiTheme="minorEastAsia" w:eastAsiaTheme="minorEastAsia" w:cstheme="minorEastAsia"/>
          <w:color w:val="auto"/>
          <w:sz w:val="24"/>
          <w:szCs w:val="24"/>
          <w:highlight w:val="none"/>
        </w:rPr>
        <w:t>进行汇总，不计算平均分。</w:t>
      </w:r>
    </w:p>
    <w:p>
      <w:pPr>
        <w:pageBreakBefore w:val="0"/>
        <w:widowControl w:val="0"/>
        <w:kinsoku/>
        <w:wordWrap/>
        <w:overflowPunct/>
        <w:topLinePunct w:val="0"/>
        <w:autoSpaceDE/>
        <w:autoSpaceDN/>
        <w:bidi w:val="0"/>
        <w:spacing w:line="29" w:lineRule="atLeast"/>
        <w:ind w:firstLine="480" w:firstLineChars="200"/>
        <w:rPr>
          <w:rFonts w:hint="eastAsia" w:ascii="仿宋" w:hAnsi="仿宋" w:eastAsia="仿宋" w:cs="仿宋"/>
          <w:color w:val="auto"/>
          <w:sz w:val="28"/>
          <w:szCs w:val="21"/>
          <w:highlight w:val="none"/>
        </w:rPr>
      </w:pPr>
      <w:r>
        <w:rPr>
          <w:rFonts w:hint="eastAsia" w:asciiTheme="minorEastAsia" w:hAnsiTheme="minorEastAsia" w:eastAsiaTheme="minorEastAsia" w:cstheme="minorEastAsia"/>
          <w:color w:val="auto"/>
          <w:sz w:val="24"/>
          <w:szCs w:val="24"/>
          <w:highlight w:val="none"/>
        </w:rPr>
        <w:t>3.此表由甲方依据合同约定与考核项目对乙方进行考核，单项扣分不设上限。</w:t>
      </w:r>
    </w:p>
    <w:p>
      <w:pPr>
        <w:rPr>
          <w:color w:val="auto"/>
          <w:highlight w:val="none"/>
        </w:rPr>
      </w:pPr>
    </w:p>
    <w:p>
      <w:pPr>
        <w:rPr>
          <w:color w:val="auto"/>
          <w:highlight w:val="none"/>
        </w:rPr>
      </w:pPr>
    </w:p>
    <w:p>
      <w:pPr>
        <w:rPr>
          <w:color w:val="auto"/>
          <w:highlight w:val="none"/>
        </w:rPr>
      </w:pPr>
    </w:p>
    <w:p>
      <w:pPr>
        <w:rPr>
          <w:color w:val="auto"/>
          <w:highlight w:val="none"/>
        </w:rPr>
      </w:pPr>
    </w:p>
    <w:p>
      <w:pPr>
        <w:rPr>
          <w:rFonts w:hint="eastAsia" w:ascii="黑体" w:hAnsi="黑体" w:eastAsia="黑体" w:cs="黑体"/>
          <w:color w:val="auto"/>
          <w:kern w:val="0"/>
          <w:sz w:val="28"/>
          <w:szCs w:val="28"/>
          <w:highlight w:val="none"/>
        </w:rPr>
      </w:pPr>
      <w:r>
        <w:rPr>
          <w:rFonts w:hint="eastAsia" w:ascii="黑体" w:hAnsi="黑体" w:eastAsia="黑体" w:cs="黑体"/>
          <w:color w:val="auto"/>
          <w:kern w:val="0"/>
          <w:sz w:val="28"/>
          <w:szCs w:val="28"/>
          <w:highlight w:val="none"/>
        </w:rPr>
        <w:br w:type="page"/>
      </w:r>
    </w:p>
    <w:p>
      <w:pPr>
        <w:snapToGrid w:val="0"/>
        <w:spacing w:line="360" w:lineRule="auto"/>
        <w:outlineLvl w:val="0"/>
        <w:rPr>
          <w:rFonts w:hint="default" w:ascii="黑体" w:hAnsi="黑体" w:eastAsia="黑体" w:cs="黑体"/>
          <w:color w:val="auto"/>
          <w:kern w:val="0"/>
          <w:sz w:val="32"/>
          <w:szCs w:val="32"/>
          <w:highlight w:val="none"/>
          <w:lang w:val="en-US" w:eastAsia="zh-CN"/>
        </w:rPr>
      </w:pPr>
      <w:r>
        <w:rPr>
          <w:rFonts w:hint="eastAsia" w:ascii="黑体" w:hAnsi="黑体" w:eastAsia="黑体" w:cs="黑体"/>
          <w:color w:val="auto"/>
          <w:kern w:val="0"/>
          <w:sz w:val="32"/>
          <w:szCs w:val="32"/>
          <w:highlight w:val="none"/>
        </w:rPr>
        <w:t>附件</w:t>
      </w:r>
      <w:r>
        <w:rPr>
          <w:rFonts w:hint="eastAsia" w:ascii="黑体" w:hAnsi="黑体" w:eastAsia="黑体" w:cs="黑体"/>
          <w:color w:val="auto"/>
          <w:kern w:val="0"/>
          <w:sz w:val="32"/>
          <w:szCs w:val="32"/>
          <w:highlight w:val="none"/>
          <w:lang w:val="en-US" w:eastAsia="zh-CN"/>
        </w:rPr>
        <w:t>5</w:t>
      </w:r>
      <w:r>
        <w:rPr>
          <w:rFonts w:hint="eastAsia" w:ascii="黑体" w:hAnsi="黑体" w:eastAsia="黑体" w:cs="黑体"/>
          <w:color w:val="auto"/>
          <w:kern w:val="0"/>
          <w:sz w:val="32"/>
          <w:szCs w:val="32"/>
          <w:highlight w:val="none"/>
        </w:rPr>
        <w:t>：</w:t>
      </w:r>
      <w:r>
        <w:rPr>
          <w:rFonts w:hint="eastAsia" w:ascii="黑体" w:hAnsi="黑体" w:eastAsia="黑体" w:cs="黑体"/>
          <w:color w:val="auto"/>
          <w:kern w:val="0"/>
          <w:sz w:val="32"/>
          <w:szCs w:val="32"/>
          <w:highlight w:val="none"/>
          <w:lang w:val="en-US" w:eastAsia="zh-CN"/>
        </w:rPr>
        <w:t>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9"/>
        <w:rPr>
          <w:rFonts w:hint="eastAsia" w:ascii="黑体" w:hAnsi="黑体" w:eastAsia="黑体" w:cs="黑体"/>
          <w:color w:val="auto"/>
          <w:kern w:val="0"/>
          <w:sz w:val="32"/>
          <w:szCs w:val="32"/>
          <w:highlight w:val="none"/>
        </w:rPr>
      </w:pPr>
      <w:r>
        <w:rPr>
          <w:rFonts w:hint="eastAsia" w:ascii="黑体" w:hAnsi="黑体" w:eastAsia="黑体" w:cs="黑体"/>
          <w:color w:val="auto"/>
          <w:kern w:val="0"/>
          <w:sz w:val="32"/>
          <w:szCs w:val="32"/>
          <w:highlight w:val="none"/>
        </w:rPr>
        <w:t>广东美居物业管理有限公司保密协议</w:t>
      </w:r>
    </w:p>
    <w:p>
      <w:pPr>
        <w:keepNext w:val="0"/>
        <w:keepLines w:val="0"/>
        <w:pageBreakBefore w:val="0"/>
        <w:widowControl w:val="0"/>
        <w:kinsoku/>
        <w:wordWrap/>
        <w:overflowPunct/>
        <w:topLinePunct w:val="0"/>
        <w:autoSpaceDE/>
        <w:autoSpaceDN/>
        <w:bidi w:val="0"/>
        <w:adjustRightInd/>
        <w:snapToGrid w:val="0"/>
        <w:spacing w:beforeAutospacing="0" w:afterAutospacing="0" w:line="240" w:lineRule="auto"/>
        <w:ind w:left="0" w:leftChars="0" w:firstLine="0" w:firstLineChars="0"/>
        <w:jc w:val="center"/>
        <w:textAlignment w:val="auto"/>
        <w:outlineLvl w:val="9"/>
        <w:rPr>
          <w:rFonts w:hint="eastAsia" w:ascii="黑体" w:hAnsi="黑体" w:eastAsia="黑体" w:cs="黑体"/>
          <w:color w:val="auto"/>
          <w:kern w:val="0"/>
          <w:sz w:val="32"/>
          <w:szCs w:val="32"/>
          <w:highlight w:val="none"/>
        </w:rPr>
      </w:pPr>
    </w:p>
    <w:p>
      <w:pPr>
        <w:snapToGrid w:val="0"/>
        <w:spacing w:line="360" w:lineRule="auto"/>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甲方：</w:t>
      </w:r>
      <w:r>
        <w:rPr>
          <w:rFonts w:hint="eastAsia" w:ascii="宋体" w:hAnsi="宋体" w:eastAsia="宋体" w:cs="Times New Roman"/>
          <w:color w:val="auto"/>
          <w:sz w:val="28"/>
          <w:szCs w:val="28"/>
          <w:highlight w:val="none"/>
          <w:u w:val="single"/>
        </w:rPr>
        <w:t xml:space="preserve">广东美居物业管理有限公司 </w:t>
      </w:r>
    </w:p>
    <w:p>
      <w:pPr>
        <w:snapToGrid w:val="0"/>
        <w:spacing w:line="360" w:lineRule="auto"/>
        <w:ind w:firstLine="560" w:firstLineChars="200"/>
        <w:rPr>
          <w:rFonts w:hint="eastAsia" w:ascii="宋体" w:hAnsi="宋体" w:eastAsia="宋体" w:cs="Times New Roman"/>
          <w:color w:val="auto"/>
          <w:sz w:val="28"/>
          <w:szCs w:val="28"/>
          <w:highlight w:val="none"/>
          <w:u w:val="single"/>
          <w:lang w:eastAsia="zh-CN"/>
        </w:rPr>
      </w:pPr>
      <w:r>
        <w:rPr>
          <w:rFonts w:hint="eastAsia" w:ascii="宋体" w:hAnsi="宋体" w:eastAsia="宋体" w:cs="Times New Roman"/>
          <w:color w:val="auto"/>
          <w:sz w:val="28"/>
          <w:szCs w:val="28"/>
          <w:highlight w:val="none"/>
        </w:rPr>
        <w:t>乙方：</w:t>
      </w:r>
      <w:r>
        <w:rPr>
          <w:rFonts w:hint="eastAsia" w:ascii="宋体" w:hAnsi="宋体" w:eastAsia="宋体" w:cs="Times New Roman"/>
          <w:color w:val="auto"/>
          <w:sz w:val="28"/>
          <w:szCs w:val="28"/>
          <w:highlight w:val="none"/>
          <w:u w:val="single"/>
          <w:lang w:eastAsia="zh-CN"/>
        </w:rPr>
        <w:t xml:space="preserve">                         </w:t>
      </w:r>
    </w:p>
    <w:p>
      <w:pPr>
        <w:snapToGrid w:val="0"/>
        <w:spacing w:line="360" w:lineRule="auto"/>
        <w:ind w:firstLine="560" w:firstLineChars="200"/>
        <w:rPr>
          <w:rFonts w:hint="eastAsia" w:ascii="宋体" w:hAnsi="宋体" w:eastAsia="宋体" w:cs="Times New Roman"/>
          <w:color w:val="auto"/>
          <w:sz w:val="28"/>
          <w:szCs w:val="28"/>
          <w:highlight w:val="none"/>
        </w:rPr>
      </w:pPr>
    </w:p>
    <w:p>
      <w:pPr>
        <w:snapToGrid w:val="0"/>
        <w:spacing w:line="360" w:lineRule="auto"/>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本协议签约双方就广东美居物业管理有限公司</w:t>
      </w:r>
      <w:r>
        <w:rPr>
          <w:rFonts w:hint="eastAsia" w:ascii="宋体" w:hAnsi="宋体" w:eastAsia="宋体" w:cs="Times New Roman"/>
          <w:color w:val="auto"/>
          <w:sz w:val="28"/>
          <w:szCs w:val="28"/>
          <w:highlight w:val="none"/>
          <w:u w:val="single"/>
        </w:rPr>
        <w:t xml:space="preserve"> </w:t>
      </w:r>
      <w:r>
        <w:rPr>
          <w:rFonts w:hint="eastAsia" w:ascii="宋体" w:hAnsi="宋体" w:eastAsia="宋体" w:cs="Times New Roman"/>
          <w:color w:val="auto"/>
          <w:sz w:val="28"/>
          <w:szCs w:val="28"/>
          <w:highlight w:val="none"/>
          <w:u w:val="single"/>
          <w:lang w:val="en-US" w:eastAsia="zh-CN"/>
        </w:rPr>
        <w:t>特高压检修试验基地电梯维修</w:t>
      </w:r>
      <w:r>
        <w:rPr>
          <w:rFonts w:hint="eastAsia" w:ascii="宋体" w:hAnsi="宋体" w:eastAsia="宋体" w:cs="Times New Roman"/>
          <w:color w:val="auto"/>
          <w:sz w:val="28"/>
          <w:szCs w:val="28"/>
          <w:highlight w:val="none"/>
          <w:u w:val="single"/>
        </w:rPr>
        <w:t>保养</w:t>
      </w:r>
      <w:r>
        <w:rPr>
          <w:rFonts w:hint="eastAsia" w:ascii="宋体" w:hAnsi="宋体" w:eastAsia="宋体" w:cs="Times New Roman"/>
          <w:color w:val="auto"/>
          <w:sz w:val="28"/>
          <w:szCs w:val="28"/>
          <w:highlight w:val="none"/>
          <w:u w:val="single"/>
          <w:lang w:val="en-US" w:eastAsia="zh-CN"/>
        </w:rPr>
        <w:t>服务项目</w:t>
      </w:r>
      <w:r>
        <w:rPr>
          <w:rFonts w:hint="eastAsia" w:ascii="宋体" w:hAnsi="宋体" w:eastAsia="宋体" w:cs="Times New Roman"/>
          <w:color w:val="auto"/>
          <w:sz w:val="28"/>
          <w:szCs w:val="28"/>
          <w:highlight w:val="none"/>
          <w:u w:val="single"/>
        </w:rPr>
        <w:t xml:space="preserve"> </w:t>
      </w:r>
      <w:r>
        <w:rPr>
          <w:rFonts w:hint="eastAsia" w:ascii="宋体" w:hAnsi="宋体" w:eastAsia="宋体" w:cs="Times New Roman"/>
          <w:color w:val="auto"/>
          <w:sz w:val="28"/>
          <w:szCs w:val="28"/>
          <w:highlight w:val="none"/>
        </w:rPr>
        <w:t>项目实施过程中涉及双方保密信息，在真实、充分地表达各自意愿的基础上，达成如下协议，由签约双方共同恪守。</w:t>
      </w:r>
    </w:p>
    <w:p>
      <w:pPr>
        <w:snapToGrid w:val="0"/>
        <w:spacing w:line="360" w:lineRule="auto"/>
        <w:ind w:firstLine="562" w:firstLineChars="200"/>
        <w:outlineLvl w:val="9"/>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 xml:space="preserve">1 </w:t>
      </w:r>
      <w:r>
        <w:rPr>
          <w:rFonts w:hint="eastAsia" w:ascii="宋体" w:hAnsi="宋体" w:eastAsia="宋体" w:cs="Times New Roman"/>
          <w:b/>
          <w:color w:val="auto"/>
          <w:sz w:val="28"/>
          <w:szCs w:val="28"/>
          <w:highlight w:val="none"/>
        </w:rPr>
        <w:t>保密信息</w:t>
      </w:r>
    </w:p>
    <w:p>
      <w:pPr>
        <w:snapToGrid w:val="0"/>
        <w:spacing w:line="360" w:lineRule="auto"/>
        <w:ind w:firstLine="560" w:firstLineChars="200"/>
        <w:jc w:val="lef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本协议中的“保密信息”指</w:t>
      </w:r>
      <w:r>
        <w:rPr>
          <w:rFonts w:hint="eastAsia" w:ascii="宋体" w:hAnsi="宋体" w:eastAsia="宋体" w:cs="Times New Roman"/>
          <w:color w:val="auto"/>
          <w:sz w:val="28"/>
          <w:szCs w:val="28"/>
          <w:highlight w:val="none"/>
          <w:u w:val="single"/>
        </w:rPr>
        <w:t xml:space="preserve">  因履行本合同而知悉甲方的商业秘密及其他非公开的技术和经营信息  。</w:t>
      </w:r>
    </w:p>
    <w:p>
      <w:pPr>
        <w:snapToGrid w:val="0"/>
        <w:spacing w:line="360" w:lineRule="auto"/>
        <w:ind w:firstLine="562" w:firstLineChars="200"/>
        <w:outlineLvl w:val="9"/>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 xml:space="preserve">2 </w:t>
      </w:r>
      <w:r>
        <w:rPr>
          <w:rFonts w:hint="eastAsia" w:ascii="宋体" w:hAnsi="宋体" w:eastAsia="宋体" w:cs="Times New Roman"/>
          <w:b/>
          <w:color w:val="auto"/>
          <w:sz w:val="28"/>
          <w:szCs w:val="28"/>
          <w:highlight w:val="none"/>
        </w:rPr>
        <w:t>保密人员</w:t>
      </w:r>
    </w:p>
    <w:p>
      <w:pPr>
        <w:snapToGrid w:val="0"/>
        <w:spacing w:line="360" w:lineRule="auto"/>
        <w:ind w:firstLine="560" w:firstLineChars="200"/>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2.1</w:t>
      </w:r>
      <w:r>
        <w:rPr>
          <w:rFonts w:hint="eastAsia" w:ascii="宋体" w:hAnsi="宋体" w:eastAsia="宋体" w:cs="Times New Roman"/>
          <w:color w:val="auto"/>
          <w:sz w:val="28"/>
          <w:szCs w:val="28"/>
          <w:highlight w:val="none"/>
        </w:rPr>
        <w:t>乙方的管理人员、一般员工以及其他受乙方委托、聘用等直接或间接接触保密信息的人员均应恪尽保密义务，不因人员的流动而免责。</w:t>
      </w:r>
    </w:p>
    <w:p>
      <w:pPr>
        <w:snapToGrid w:val="0"/>
        <w:spacing w:line="360" w:lineRule="auto"/>
        <w:ind w:firstLine="560" w:firstLineChars="200"/>
        <w:rPr>
          <w:rFonts w:ascii="宋体" w:hAnsi="宋体" w:eastAsia="宋体" w:cs="Times New Roman"/>
          <w:color w:val="auto"/>
          <w:sz w:val="28"/>
          <w:szCs w:val="28"/>
          <w:highlight w:val="none"/>
        </w:rPr>
      </w:pPr>
      <w:r>
        <w:rPr>
          <w:rFonts w:ascii="宋体" w:hAnsi="宋体" w:eastAsia="宋体" w:cs="Times New Roman"/>
          <w:color w:val="auto"/>
          <w:sz w:val="28"/>
          <w:szCs w:val="28"/>
          <w:highlight w:val="none"/>
        </w:rPr>
        <w:t>2.2</w:t>
      </w:r>
      <w:r>
        <w:rPr>
          <w:rFonts w:hint="eastAsia" w:ascii="宋体" w:hAnsi="宋体" w:eastAsia="宋体" w:cs="Times New Roman"/>
          <w:color w:val="auto"/>
          <w:sz w:val="28"/>
          <w:szCs w:val="28"/>
          <w:highlight w:val="none"/>
        </w:rPr>
        <w:t>乙方参加本项目的所有人员必须与乙方签有正式的保密协议，并且该人员在知晓保密信息之前应经充分了解本协议的内容。保密安全性不得低于本协议要求。甲方有检查、验证乙方与乙方人员遵守保密协议的权利，乙方在甲方提出需求后，必须提交相关资料。</w:t>
      </w:r>
    </w:p>
    <w:p>
      <w:pPr>
        <w:snapToGrid w:val="0"/>
        <w:spacing w:line="360" w:lineRule="auto"/>
        <w:ind w:firstLine="562" w:firstLineChars="200"/>
        <w:outlineLvl w:val="9"/>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 xml:space="preserve">3 </w:t>
      </w:r>
      <w:r>
        <w:rPr>
          <w:rFonts w:hint="eastAsia" w:ascii="宋体" w:hAnsi="宋体" w:eastAsia="宋体" w:cs="Times New Roman"/>
          <w:b/>
          <w:color w:val="auto"/>
          <w:sz w:val="28"/>
          <w:szCs w:val="28"/>
          <w:highlight w:val="none"/>
        </w:rPr>
        <w:t>保密义务</w:t>
      </w:r>
    </w:p>
    <w:p>
      <w:pPr>
        <w:snapToGrid w:val="0"/>
        <w:spacing w:line="360" w:lineRule="auto"/>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3.1乙方有义务妥善保管保密信息，乙方对于从甲方得到的保密信息，应当按要求确保保密信息的安全，如乙方内部已有保密制度的，应将从甲方得到的保密信息视同乙方内部的保密信息进行安全管理。对于从甲方获得的保密信息，安全管理要求不得低于国家、行业和甲方相关的安全管理要求。</w:t>
      </w:r>
    </w:p>
    <w:p>
      <w:pPr>
        <w:snapToGrid w:val="0"/>
        <w:spacing w:line="360" w:lineRule="auto"/>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3.2乙方所获知的保密信息须在本单位内部谨慎的使用，只能透露给本单位直接参与项目的人员，透露的内容只能是与其工作相关的信息。</w:t>
      </w:r>
    </w:p>
    <w:p>
      <w:pPr>
        <w:snapToGrid w:val="0"/>
        <w:spacing w:line="360" w:lineRule="auto"/>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3.3乙方应当采取必要的措施防止复制、泄漏或遗失。乙方亦不得依据保密信息，就任何问题，向第三方做出任何建议。</w:t>
      </w:r>
    </w:p>
    <w:p>
      <w:pPr>
        <w:snapToGrid w:val="0"/>
        <w:spacing w:line="360" w:lineRule="auto"/>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3.4保密信息及利用保密信息所形成的工作成果非经甲方书面同意，乙方及其相关人员应负保密责任，不得以任何方式就保密信息及工作成果之全部或部分泄漏、告知、复制、传播、或对外发表、或为自己及第三人使用。</w:t>
      </w:r>
    </w:p>
    <w:p>
      <w:pPr>
        <w:snapToGrid w:val="0"/>
        <w:spacing w:line="360" w:lineRule="auto"/>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3.5在现场实施过程中，甲方有权要求乙方在指定地点办公，并遵守甲方关于第三方人员管理规定要求。未经许可不得将保密信息带离办公场所。</w:t>
      </w:r>
    </w:p>
    <w:p>
      <w:pPr>
        <w:snapToGrid w:val="0"/>
        <w:spacing w:line="360" w:lineRule="auto"/>
        <w:ind w:firstLine="562" w:firstLineChars="200"/>
        <w:outlineLvl w:val="9"/>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 xml:space="preserve">4 </w:t>
      </w:r>
      <w:r>
        <w:rPr>
          <w:rFonts w:hint="eastAsia" w:ascii="宋体" w:hAnsi="宋体" w:eastAsia="宋体" w:cs="Times New Roman"/>
          <w:b/>
          <w:color w:val="auto"/>
          <w:sz w:val="28"/>
          <w:szCs w:val="28"/>
          <w:highlight w:val="none"/>
        </w:rPr>
        <w:t>违约责任</w:t>
      </w:r>
    </w:p>
    <w:p>
      <w:pPr>
        <w:snapToGrid w:val="0"/>
        <w:spacing w:line="360" w:lineRule="auto"/>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乙方必须遵照本保密协议，承担保密责任；如果乙方违反上述保密条款，应承担相应的法律责任,并负责赔偿因违反上述保密条款而为甲方带来的直接和间接损失。</w:t>
      </w:r>
    </w:p>
    <w:p>
      <w:pPr>
        <w:snapToGrid w:val="0"/>
        <w:spacing w:line="360" w:lineRule="auto"/>
        <w:ind w:firstLine="562" w:firstLineChars="200"/>
        <w:outlineLvl w:val="9"/>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 xml:space="preserve">5 </w:t>
      </w:r>
      <w:r>
        <w:rPr>
          <w:rFonts w:hint="eastAsia" w:ascii="宋体" w:hAnsi="宋体" w:eastAsia="宋体" w:cs="Times New Roman"/>
          <w:b/>
          <w:color w:val="auto"/>
          <w:sz w:val="28"/>
          <w:szCs w:val="28"/>
          <w:highlight w:val="none"/>
        </w:rPr>
        <w:t>有效期限</w:t>
      </w:r>
    </w:p>
    <w:p>
      <w:pPr>
        <w:snapToGrid w:val="0"/>
        <w:spacing w:line="360" w:lineRule="auto"/>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本协议是《 </w:t>
      </w:r>
      <w:r>
        <w:rPr>
          <w:rFonts w:hint="eastAsia" w:ascii="宋体" w:hAnsi="宋体" w:eastAsia="宋体" w:cs="Times New Roman"/>
          <w:color w:val="auto"/>
          <w:sz w:val="28"/>
          <w:szCs w:val="28"/>
          <w:highlight w:val="none"/>
          <w:u w:val="single"/>
        </w:rPr>
        <w:t xml:space="preserve"> </w:t>
      </w:r>
      <w:r>
        <w:rPr>
          <w:rFonts w:hint="eastAsia" w:ascii="宋体" w:hAnsi="宋体" w:eastAsia="宋体" w:cs="Times New Roman"/>
          <w:color w:val="auto"/>
          <w:sz w:val="28"/>
          <w:szCs w:val="28"/>
          <w:highlight w:val="none"/>
          <w:u w:val="single"/>
          <w:lang w:val="en-US" w:eastAsia="zh-CN"/>
        </w:rPr>
        <w:t>电梯维护保养服务合同（项目名称：特高压检修试验基地电梯维修保养服务项目）</w:t>
      </w:r>
      <w:r>
        <w:rPr>
          <w:rFonts w:hint="eastAsia" w:ascii="宋体" w:hAnsi="宋体" w:eastAsia="宋体" w:cs="Times New Roman"/>
          <w:color w:val="auto"/>
          <w:sz w:val="28"/>
          <w:szCs w:val="28"/>
          <w:highlight w:val="none"/>
        </w:rPr>
        <w:t>》的附件，与《</w:t>
      </w:r>
      <w:r>
        <w:rPr>
          <w:rFonts w:hint="eastAsia" w:ascii="宋体" w:hAnsi="宋体" w:eastAsia="宋体" w:cs="Times New Roman"/>
          <w:color w:val="auto"/>
          <w:sz w:val="28"/>
          <w:szCs w:val="28"/>
          <w:highlight w:val="none"/>
          <w:u w:val="single"/>
        </w:rPr>
        <w:t xml:space="preserve"> </w:t>
      </w:r>
      <w:r>
        <w:rPr>
          <w:rFonts w:hint="eastAsia" w:ascii="宋体" w:hAnsi="宋体" w:eastAsia="宋体" w:cs="Times New Roman"/>
          <w:color w:val="auto"/>
          <w:sz w:val="28"/>
          <w:szCs w:val="28"/>
          <w:highlight w:val="none"/>
          <w:u w:val="single"/>
          <w:lang w:val="en-US" w:eastAsia="zh-CN"/>
        </w:rPr>
        <w:t>电梯维护保养服务合同（项目名称：特高压检修试验基地电梯维修保养服务项目）</w:t>
      </w:r>
      <w:r>
        <w:rPr>
          <w:rFonts w:hint="eastAsia" w:ascii="宋体" w:hAnsi="宋体" w:eastAsia="宋体" w:cs="Times New Roman"/>
          <w:color w:val="auto"/>
          <w:sz w:val="28"/>
          <w:szCs w:val="28"/>
          <w:highlight w:val="none"/>
          <w:u w:val="single"/>
        </w:rPr>
        <w:t xml:space="preserve"> </w:t>
      </w:r>
      <w:r>
        <w:rPr>
          <w:rFonts w:hint="eastAsia" w:ascii="宋体" w:hAnsi="宋体" w:eastAsia="宋体" w:cs="Times New Roman"/>
          <w:color w:val="auto"/>
          <w:sz w:val="28"/>
          <w:szCs w:val="28"/>
          <w:highlight w:val="none"/>
        </w:rPr>
        <w:t>》同时生效，保密期限为：</w:t>
      </w:r>
      <w:r>
        <w:rPr>
          <w:rFonts w:hint="eastAsia" w:ascii="宋体" w:hAnsi="宋体" w:eastAsia="宋体" w:cs="Times New Roman"/>
          <w:color w:val="auto"/>
          <w:sz w:val="28"/>
          <w:szCs w:val="28"/>
          <w:highlight w:val="none"/>
          <w:u w:val="single"/>
        </w:rPr>
        <w:t xml:space="preserve"> 合同签订后至甲方书面声明放弃该保密权利之日止</w:t>
      </w:r>
      <w:r>
        <w:rPr>
          <w:rFonts w:hint="eastAsia" w:ascii="宋体" w:hAnsi="宋体" w:eastAsia="宋体" w:cs="Times New Roman"/>
          <w:color w:val="auto"/>
          <w:sz w:val="28"/>
          <w:szCs w:val="28"/>
          <w:highlight w:val="none"/>
        </w:rPr>
        <w:t>。</w:t>
      </w:r>
    </w:p>
    <w:p>
      <w:pPr>
        <w:snapToGrid w:val="0"/>
        <w:spacing w:line="360" w:lineRule="auto"/>
        <w:ind w:firstLine="562" w:firstLineChars="200"/>
        <w:outlineLvl w:val="9"/>
        <w:rPr>
          <w:rFonts w:ascii="宋体" w:hAnsi="宋体" w:eastAsia="宋体" w:cs="Times New Roman"/>
          <w:b/>
          <w:color w:val="auto"/>
          <w:sz w:val="28"/>
          <w:szCs w:val="28"/>
          <w:highlight w:val="none"/>
        </w:rPr>
      </w:pPr>
      <w:r>
        <w:rPr>
          <w:rFonts w:ascii="宋体" w:hAnsi="宋体" w:eastAsia="宋体" w:cs="Times New Roman"/>
          <w:b/>
          <w:color w:val="auto"/>
          <w:sz w:val="28"/>
          <w:szCs w:val="28"/>
          <w:highlight w:val="none"/>
        </w:rPr>
        <w:t xml:space="preserve">6 </w:t>
      </w:r>
      <w:r>
        <w:rPr>
          <w:rFonts w:hint="eastAsia" w:ascii="宋体" w:hAnsi="宋体" w:eastAsia="宋体" w:cs="Times New Roman"/>
          <w:b/>
          <w:color w:val="auto"/>
          <w:sz w:val="28"/>
          <w:szCs w:val="28"/>
          <w:highlight w:val="none"/>
        </w:rPr>
        <w:t>其他</w:t>
      </w:r>
    </w:p>
    <w:p>
      <w:pPr>
        <w:snapToGrid w:val="0"/>
        <w:spacing w:line="360" w:lineRule="auto"/>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6.1本协议书份数与主合同份数一致。</w:t>
      </w:r>
    </w:p>
    <w:p>
      <w:pPr>
        <w:snapToGrid w:val="0"/>
        <w:spacing w:line="360" w:lineRule="auto"/>
        <w:ind w:firstLine="560" w:firstLineChars="200"/>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6.2任何因本协议及本协议的履行发生的争议，应由双方协商解决；协商不成，任何一方均有权采用主合同约定的争议解决方式。</w:t>
      </w:r>
    </w:p>
    <w:p>
      <w:pPr>
        <w:rPr>
          <w:rFonts w:hint="eastAsia" w:ascii="方正小标宋简体" w:hAnsi="方正小标宋简体" w:eastAsia="方正小标宋简体" w:cs="方正小标宋简体"/>
          <w:bCs/>
          <w:color w:val="auto"/>
          <w:kern w:val="44"/>
          <w:sz w:val="28"/>
          <w:szCs w:val="28"/>
          <w:highlight w:val="none"/>
        </w:rPr>
      </w:pPr>
      <w:r>
        <w:rPr>
          <w:rFonts w:hint="eastAsia" w:ascii="方正小标宋简体" w:hAnsi="方正小标宋简体" w:eastAsia="方正小标宋简体" w:cs="方正小标宋简体"/>
          <w:bCs/>
          <w:color w:val="auto"/>
          <w:kern w:val="44"/>
          <w:sz w:val="28"/>
          <w:szCs w:val="28"/>
          <w:highlight w:val="none"/>
        </w:rPr>
        <w:br w:type="page"/>
      </w:r>
    </w:p>
    <w:p>
      <w:pPr>
        <w:outlineLvl w:val="0"/>
        <w:rPr>
          <w:rFonts w:hint="eastAsia" w:ascii="黑体" w:hAnsi="黑体" w:eastAsia="黑体" w:cs="黑体"/>
          <w:bCs/>
          <w:color w:val="auto"/>
          <w:kern w:val="44"/>
          <w:sz w:val="32"/>
          <w:szCs w:val="32"/>
          <w:highlight w:val="none"/>
          <w:lang w:val="en-US" w:eastAsia="zh-CN"/>
        </w:rPr>
      </w:pPr>
      <w:r>
        <w:rPr>
          <w:rFonts w:hint="eastAsia" w:ascii="黑体" w:hAnsi="黑体" w:eastAsia="黑体" w:cs="黑体"/>
          <w:bCs/>
          <w:color w:val="auto"/>
          <w:kern w:val="44"/>
          <w:sz w:val="32"/>
          <w:szCs w:val="32"/>
          <w:highlight w:val="none"/>
        </w:rPr>
        <w:t>附件</w:t>
      </w:r>
      <w:r>
        <w:rPr>
          <w:rFonts w:hint="eastAsia" w:ascii="黑体" w:hAnsi="黑体" w:eastAsia="黑体" w:cs="黑体"/>
          <w:bCs/>
          <w:color w:val="auto"/>
          <w:kern w:val="44"/>
          <w:sz w:val="32"/>
          <w:szCs w:val="32"/>
          <w:highlight w:val="none"/>
          <w:lang w:val="en-US" w:eastAsia="zh-CN"/>
        </w:rPr>
        <w:t>6</w:t>
      </w:r>
      <w:r>
        <w:rPr>
          <w:rFonts w:hint="eastAsia" w:ascii="黑体" w:hAnsi="黑体" w:eastAsia="黑体" w:cs="黑体"/>
          <w:bCs/>
          <w:color w:val="auto"/>
          <w:kern w:val="44"/>
          <w:sz w:val="32"/>
          <w:szCs w:val="32"/>
          <w:highlight w:val="none"/>
        </w:rPr>
        <w:t>：</w:t>
      </w:r>
      <w:r>
        <w:rPr>
          <w:rFonts w:hint="eastAsia" w:ascii="黑体" w:hAnsi="黑体" w:eastAsia="黑体" w:cs="黑体"/>
          <w:bCs/>
          <w:color w:val="auto"/>
          <w:kern w:val="44"/>
          <w:sz w:val="32"/>
          <w:szCs w:val="32"/>
          <w:highlight w:val="none"/>
          <w:lang w:val="en-US" w:eastAsia="zh-CN"/>
        </w:rPr>
        <w:t>廉洁协议书</w:t>
      </w:r>
    </w:p>
    <w:p>
      <w:pPr>
        <w:spacing w:line="500" w:lineRule="exact"/>
        <w:jc w:val="center"/>
        <w:outlineLvl w:val="9"/>
        <w:rPr>
          <w:rFonts w:hint="eastAsia" w:ascii="黑体" w:hAnsi="黑体" w:eastAsia="黑体" w:cs="黑体"/>
          <w:bCs/>
          <w:color w:val="auto"/>
          <w:kern w:val="44"/>
          <w:sz w:val="32"/>
          <w:szCs w:val="32"/>
          <w:highlight w:val="none"/>
        </w:rPr>
      </w:pPr>
      <w:r>
        <w:rPr>
          <w:rFonts w:hint="eastAsia" w:ascii="黑体" w:hAnsi="黑体" w:eastAsia="黑体" w:cs="黑体"/>
          <w:bCs/>
          <w:color w:val="auto"/>
          <w:kern w:val="44"/>
          <w:sz w:val="32"/>
          <w:szCs w:val="32"/>
          <w:highlight w:val="none"/>
        </w:rPr>
        <w:t>廉洁协议书</w:t>
      </w:r>
    </w:p>
    <w:p>
      <w:pPr>
        <w:spacing w:line="500" w:lineRule="exact"/>
        <w:ind w:firstLine="560" w:firstLineChars="200"/>
        <w:rPr>
          <w:rFonts w:ascii="华文楷体" w:hAnsi="华文楷体" w:eastAsia="华文楷体" w:cs="Times New Roman"/>
          <w:color w:val="auto"/>
          <w:sz w:val="28"/>
          <w:szCs w:val="28"/>
          <w:highlight w:val="none"/>
        </w:rPr>
      </w:pP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为了增强甲方</w:t>
      </w:r>
      <w:r>
        <w:rPr>
          <w:rFonts w:hint="eastAsia" w:asciiTheme="minorEastAsia" w:hAnsiTheme="minorEastAsia" w:eastAsiaTheme="minorEastAsia" w:cstheme="minorEastAsia"/>
          <w:bCs/>
          <w:color w:val="auto"/>
          <w:sz w:val="28"/>
          <w:szCs w:val="28"/>
          <w:highlight w:val="none"/>
        </w:rPr>
        <w:t>（买方或采购方，以下简称“甲方”）</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color w:val="auto"/>
          <w:sz w:val="28"/>
          <w:szCs w:val="28"/>
          <w:highlight w:val="none"/>
        </w:rPr>
        <w:t>乙方（卖方或合同相对方，以下简称“乙方”）各方依法经营、廉洁从业意识，完善自我约束、自我监督机制，营造守法、诚信、清正、廉洁的工作环境，防止发生违规违纪违法行为，保护国家、集体和当事人的合法权益，根据国家有关法律法规和廉洁自律有关规定，特订立本廉洁协议书：</w:t>
      </w:r>
    </w:p>
    <w:p>
      <w:pPr>
        <w:snapToGrid w:val="0"/>
        <w:spacing w:line="540" w:lineRule="exact"/>
        <w:ind w:firstLine="560" w:firstLineChars="200"/>
        <w:outlineLvl w:val="9"/>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第一条 甲、乙双方的义务</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（一）严格遵守国家关于市场准入、招标投标、工程建设、物资采购等市场经济活动的法律法规、政策及廉洁规定。</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（二）严格履行合同约定，自觉承担合同义务。</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（三）业务活动必须坚持公平、公正、公开和诚实守信的原则（除法律法规另有规定者外），不得为获取不正当利益，损害国家、集体和对方利益，不违反招标投标、工程建设、物资采购等规章制度。</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（四）建立健全自我约束和监督机制，开展廉洁教育和监督检查，公布举报方式，严肃查处违规违纪违法行为。</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（五）发现对方相关工作人员在业务活动中有违规行为的，应及时提醒、督促纠正，并通报对方单位；涉及违纪违法行为的，应向有关纪检监察部门（或合规机构）举报。</w:t>
      </w:r>
    </w:p>
    <w:p>
      <w:pPr>
        <w:snapToGrid w:val="0"/>
        <w:spacing w:line="540" w:lineRule="exact"/>
        <w:ind w:firstLine="560" w:firstLineChars="200"/>
        <w:outlineLvl w:val="9"/>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第二条  甲方的义务</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甲方相关工作人员，在本合同约定业务活动的事前、事中、事后，应遵守以下规定：</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（一）贯彻落实党中央、中国南方电网有限责任公司及超高压输电公司有关党风廉政建设、廉洁自律，以及供应商管理等相关规定； </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（二）按照公平、公正、公开和诚实守信的原则开展各项业务活动，为乙方提供公平的竞争环境与平台； </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（三）不准向乙方泄漏涉及有关业务活动的秘密； </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（四）不准向乙方及其相关单位索要或收受礼品、礼金、消费卡（券）、有价证券、股权、其他金融产品、贵重物品，以及名贵土特产等财物，或者借用钱款、住房、车辆等； </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（五）不准在乙方及其相关单位报销任何应由甲方或个人支付的费用；</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（六）不准要求、暗示或接受乙方及其相关单位为个人装修住房、婚丧嫁娶、配偶子女的工作安排以及境内外旅游等提供便利；</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（七）不准向乙方及其相关单位介绍配偶、子女及其配偶等亲属和其他特定关系人参与与甲方有关的经济活动；</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（八）不准参加由乙方及其相关单位安排的宴请、旅游、健身、娱乐，以及其他可能影响正常执行公务的活动安排。</w:t>
      </w:r>
    </w:p>
    <w:p>
      <w:pPr>
        <w:snapToGrid w:val="0"/>
        <w:spacing w:line="540" w:lineRule="exact"/>
        <w:ind w:firstLine="560" w:firstLineChars="200"/>
        <w:outlineLvl w:val="9"/>
        <w:rPr>
          <w:rFonts w:hint="eastAsia" w:asciiTheme="minorEastAsia" w:hAnsiTheme="minorEastAsia" w:eastAsiaTheme="minorEastAsia" w:cstheme="minorEastAsia"/>
          <w:bCs/>
          <w:color w:val="auto"/>
          <w:sz w:val="28"/>
          <w:szCs w:val="28"/>
          <w:highlight w:val="none"/>
        </w:rPr>
      </w:pPr>
      <w:r>
        <w:rPr>
          <w:rFonts w:hint="eastAsia" w:asciiTheme="minorEastAsia" w:hAnsiTheme="minorEastAsia" w:eastAsiaTheme="minorEastAsia" w:cstheme="minorEastAsia"/>
          <w:bCs/>
          <w:color w:val="auto"/>
          <w:sz w:val="28"/>
          <w:szCs w:val="28"/>
          <w:highlight w:val="none"/>
        </w:rPr>
        <w:t>第三条  乙方的义务</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乙方相关工作人员，在与甲方业务交往过程中，按照有关法律法规和程序开展工作，严格执行有关规章制度，并遵守以下规定：</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（一）不准以任何理由为甲方工作人员报销应由对方或个人支付的费用；</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（二）不准以回扣、红包、好处费和感谢费等任何理由向甲方工作人员赠送或者发放礼品、礼金、消费卡（券）、有价证券、股权、其他金融产品、贵重物品，以及名贵土特产等财物；</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（三）不准以任何理由为甲方工作人员提供宴请、旅游、健身、娱乐等活动安排；</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（四）不准以任何理由为甲方工作人员购置或提供通讯工具、交通工具和高档办公用品； </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（五）不准为甲方工作人员装修住房、婚丧嫁娶、配偶子女的工作安排以及境内外旅游等提供便利；</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（六）不准为甲方工作人员及其配偶、子女及其配偶等等亲属和其他特定关系人在本单位承接劳务等提供便利；</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（七）不准以谋取非正当利益为目的，擅自与甲方工作人员就业务问题进行私下商谈或者达成利益默契；</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八）发现甲方工作人员有违反本廉洁协议书规定的，应及时向甲方单位反映或举报。广东美居物业管理有限公司受理部门：办公室；举报地址：广东省广州市黄埔区科学城科学大道223号1号楼101室办公室；举报邮箱：cgymjgsjj@ehv.csg.cn;举报电话：020-37123154。</w:t>
      </w:r>
    </w:p>
    <w:p>
      <w:pPr>
        <w:snapToGrid w:val="0"/>
        <w:spacing w:line="540" w:lineRule="exact"/>
        <w:ind w:firstLine="560" w:firstLineChars="200"/>
        <w:outlineLvl w:val="9"/>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第四条  违约责任</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（一）甲方违反本廉洁协议书第一、二条规定的，按照管理权限，严格依规依纪依法给予纪律处分或组织处理；涉嫌犯罪的，移送司法机关依法追究刑事责任。</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乙方违反本廉洁协议书第一、三条规定的，根据国家和中国南方电网有限责任公司、超高压输电公司供应商管理等有关规定对乙方进行失信扣分、纳入“黑名单”等处理；涉嫌犯罪的，移送司法机关依法追究刑事责任。</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乙方违反本廉洁协议书第一、三条规定，发生行贿行为的，甲方根据《中国南方电网有限责任公司供应链监督管理办法》等规定，对乙方实施一定期限的市场禁入。乙方的委托人、代理人或与乙方有销售、劳务或服务关系的其他主体在参加南方电网公司系统的招投标活动或经济往来等过程中发生行贿行为的，视同乙方单位行为。</w:t>
      </w:r>
    </w:p>
    <w:p>
      <w:pPr>
        <w:snapToGrid w:val="0"/>
        <w:spacing w:line="540" w:lineRule="exact"/>
        <w:ind w:firstLine="560" w:firstLineChars="200"/>
        <w:outlineLvl w:val="9"/>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第五条  协议书生效及法律效力</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（一）本廉洁协议书作为合同的附件，与合同具有同等法律效力，经双方在合同正文上签字盖章后立即生效。</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（二）除非甲乙双方另行签订新的廉洁协议书，否则本廉洁协议书在甲方与乙方在合同存续期间均对双方产生约束力。</w:t>
      </w:r>
    </w:p>
    <w:p>
      <w:pPr>
        <w:snapToGrid w:val="0"/>
        <w:spacing w:line="540" w:lineRule="exact"/>
        <w:ind w:firstLine="560" w:firstLineChars="200"/>
        <w:outlineLvl w:val="9"/>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第六条  协议书份数</w:t>
      </w:r>
    </w:p>
    <w:p>
      <w:pPr>
        <w:snapToGrid w:val="0"/>
        <w:spacing w:line="540" w:lineRule="exact"/>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本廉洁协议书份数与主合同份数一致。</w:t>
      </w:r>
    </w:p>
    <w:p>
      <w:pPr>
        <w:rPr>
          <w:rFonts w:ascii="Calibri" w:hAnsi="Calibri" w:eastAsia="宋体" w:cs="Times New Roman"/>
          <w:color w:val="auto"/>
          <w:sz w:val="28"/>
          <w:szCs w:val="28"/>
          <w:highlight w:val="none"/>
        </w:rPr>
      </w:pPr>
    </w:p>
    <w:p>
      <w:pPr>
        <w:rPr>
          <w:rFonts w:asciiTheme="minorEastAsia" w:hAnsiTheme="minorEastAsia"/>
          <w:color w:val="auto"/>
          <w:sz w:val="28"/>
          <w:szCs w:val="28"/>
          <w:highlight w:val="none"/>
        </w:rPr>
      </w:pPr>
      <w:r>
        <w:rPr>
          <w:rFonts w:hint="eastAsia" w:asciiTheme="minorEastAsia" w:hAnsiTheme="minorEastAsia"/>
          <w:color w:val="auto"/>
          <w:sz w:val="28"/>
          <w:szCs w:val="28"/>
          <w:highlight w:val="none"/>
        </w:rPr>
        <w:br w:type="page"/>
      </w:r>
    </w:p>
    <w:p>
      <w:pPr>
        <w:widowControl/>
        <w:spacing w:line="360" w:lineRule="auto"/>
        <w:jc w:val="left"/>
        <w:outlineLvl w:val="0"/>
        <w:rPr>
          <w:rFonts w:hint="default" w:ascii="黑体" w:hAnsi="黑体" w:eastAsia="黑体" w:cs="黑体"/>
          <w:b w:val="0"/>
          <w:bCs w:val="0"/>
          <w:color w:val="auto"/>
          <w:sz w:val="32"/>
          <w:szCs w:val="32"/>
          <w:highlight w:val="none"/>
          <w:lang w:val="en-US" w:eastAsia="zh-CN"/>
        </w:rPr>
      </w:pPr>
      <w:r>
        <w:rPr>
          <w:rFonts w:hint="eastAsia" w:ascii="黑体" w:hAnsi="黑体" w:eastAsia="黑体" w:cs="黑体"/>
          <w:b w:val="0"/>
          <w:bCs w:val="0"/>
          <w:color w:val="auto"/>
          <w:sz w:val="32"/>
          <w:szCs w:val="32"/>
          <w:highlight w:val="none"/>
        </w:rPr>
        <w:t>附件</w:t>
      </w:r>
      <w:r>
        <w:rPr>
          <w:rFonts w:hint="eastAsia" w:ascii="黑体" w:hAnsi="黑体" w:eastAsia="黑体" w:cs="黑体"/>
          <w:b w:val="0"/>
          <w:bCs w:val="0"/>
          <w:color w:val="auto"/>
          <w:sz w:val="32"/>
          <w:szCs w:val="32"/>
          <w:highlight w:val="none"/>
          <w:lang w:val="en-US" w:eastAsia="zh-CN"/>
        </w:rPr>
        <w:t>7</w:t>
      </w:r>
      <w:r>
        <w:rPr>
          <w:rFonts w:hint="eastAsia" w:ascii="黑体" w:hAnsi="黑体" w:eastAsia="黑体" w:cs="黑体"/>
          <w:b w:val="0"/>
          <w:bCs w:val="0"/>
          <w:color w:val="auto"/>
          <w:sz w:val="32"/>
          <w:szCs w:val="32"/>
          <w:highlight w:val="none"/>
        </w:rPr>
        <w:t>：</w:t>
      </w:r>
      <w:r>
        <w:rPr>
          <w:rFonts w:hint="eastAsia" w:ascii="黑体" w:hAnsi="黑体" w:eastAsia="黑体" w:cs="黑体"/>
          <w:b w:val="0"/>
          <w:bCs w:val="0"/>
          <w:color w:val="auto"/>
          <w:sz w:val="32"/>
          <w:szCs w:val="32"/>
          <w:highlight w:val="none"/>
          <w:lang w:val="en-US" w:eastAsia="zh-CN"/>
        </w:rPr>
        <w:t>安全生产管理协议</w:t>
      </w:r>
    </w:p>
    <w:p>
      <w:pPr>
        <w:jc w:val="center"/>
        <w:outlineLvl w:val="9"/>
        <w:rPr>
          <w:rFonts w:hint="eastAsia" w:ascii="黑体" w:hAnsi="黑体" w:eastAsia="黑体" w:cs="黑体"/>
          <w:b w:val="0"/>
          <w:bCs w:val="0"/>
          <w:color w:val="auto"/>
          <w:sz w:val="32"/>
          <w:szCs w:val="32"/>
          <w:highlight w:val="none"/>
        </w:rPr>
      </w:pPr>
    </w:p>
    <w:p>
      <w:pPr>
        <w:jc w:val="center"/>
        <w:outlineLvl w:val="9"/>
        <w:rPr>
          <w:rFonts w:hint="eastAsia" w:ascii="宋体" w:hAnsi="宋体" w:eastAsia="黑体" w:cs="Times New Roman"/>
          <w:b/>
          <w:bCs/>
          <w:color w:val="auto"/>
          <w:sz w:val="28"/>
          <w:szCs w:val="28"/>
          <w:highlight w:val="none"/>
          <w:lang w:eastAsia="zh-CN"/>
        </w:rPr>
      </w:pPr>
      <w:r>
        <w:rPr>
          <w:rFonts w:hint="eastAsia" w:ascii="黑体" w:hAnsi="黑体" w:eastAsia="黑体" w:cs="黑体"/>
          <w:b w:val="0"/>
          <w:bCs w:val="0"/>
          <w:color w:val="auto"/>
          <w:sz w:val="32"/>
          <w:szCs w:val="32"/>
          <w:highlight w:val="none"/>
        </w:rPr>
        <w:t>安全生产</w:t>
      </w:r>
      <w:r>
        <w:rPr>
          <w:rFonts w:hint="eastAsia" w:ascii="黑体" w:hAnsi="黑体" w:eastAsia="黑体" w:cs="黑体"/>
          <w:b w:val="0"/>
          <w:bCs w:val="0"/>
          <w:color w:val="auto"/>
          <w:sz w:val="32"/>
          <w:szCs w:val="32"/>
          <w:highlight w:val="none"/>
          <w:lang w:val="en-US" w:eastAsia="zh-CN"/>
        </w:rPr>
        <w:t>管理协议</w:t>
      </w:r>
    </w:p>
    <w:p>
      <w:pPr>
        <w:jc w:val="left"/>
        <w:outlineLvl w:val="9"/>
        <w:rPr>
          <w:rFonts w:ascii="宋体" w:hAnsi="宋体" w:eastAsia="宋体" w:cs="Times New Roman"/>
          <w:bCs/>
          <w:color w:val="auto"/>
          <w:sz w:val="28"/>
          <w:szCs w:val="28"/>
          <w:highlight w:val="none"/>
        </w:rPr>
      </w:pPr>
      <w:r>
        <w:rPr>
          <w:rFonts w:hint="eastAsia" w:ascii="宋体" w:hAnsi="宋体" w:eastAsia="宋体" w:cs="Times New Roman"/>
          <w:bCs/>
          <w:color w:val="auto"/>
          <w:sz w:val="28"/>
          <w:szCs w:val="28"/>
          <w:highlight w:val="none"/>
        </w:rPr>
        <w:t xml:space="preserve">一、总则  </w:t>
      </w:r>
    </w:p>
    <w:p>
      <w:pPr>
        <w:ind w:firstLine="560" w:firstLineChars="200"/>
        <w:jc w:val="lef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为确保</w:t>
      </w:r>
      <w:r>
        <w:rPr>
          <w:rFonts w:hint="eastAsia" w:ascii="宋体" w:hAnsi="宋体" w:eastAsia="宋体" w:cs="Times New Roman"/>
          <w:color w:val="auto"/>
          <w:sz w:val="28"/>
          <w:szCs w:val="28"/>
          <w:highlight w:val="none"/>
          <w:u w:val="single"/>
          <w:lang w:val="en-US" w:eastAsia="zh-CN"/>
        </w:rPr>
        <w:t>特高压检修试验基地</w:t>
      </w:r>
      <w:r>
        <w:rPr>
          <w:rFonts w:hint="eastAsia" w:ascii="宋体" w:hAnsi="宋体" w:eastAsia="宋体" w:cs="Times New Roman"/>
          <w:color w:val="auto"/>
          <w:sz w:val="28"/>
          <w:szCs w:val="28"/>
          <w:highlight w:val="none"/>
          <w:u w:val="single"/>
        </w:rPr>
        <w:t>电梯维护保养服务</w:t>
      </w:r>
      <w:r>
        <w:rPr>
          <w:rFonts w:hint="eastAsia" w:ascii="宋体" w:hAnsi="宋体" w:eastAsia="宋体" w:cs="Times New Roman"/>
          <w:color w:val="auto"/>
          <w:sz w:val="28"/>
          <w:szCs w:val="28"/>
          <w:highlight w:val="none"/>
          <w:u w:val="single"/>
          <w:lang w:val="en-US" w:eastAsia="zh-CN"/>
        </w:rPr>
        <w:t>项目</w:t>
      </w:r>
      <w:r>
        <w:rPr>
          <w:rFonts w:hint="eastAsia" w:ascii="宋体" w:hAnsi="宋体" w:eastAsia="宋体" w:cs="Times New Roman"/>
          <w:color w:val="auto"/>
          <w:sz w:val="28"/>
          <w:szCs w:val="28"/>
          <w:highlight w:val="none"/>
        </w:rPr>
        <w:t>的安全生产，落实“安全第一，预防为主”的方针，确保安全生产工作顺利开展，避免伤亡或设备事故发生，保障国家和员工以及群众的生命财产安全，维护社会稳定，促进经济发展和社会进步，提高经济效益，以管理目标落实责任，在履行本项目合同的同时，签订本安全协议，履行各自的有关安全承诺，双方共同遵守。</w:t>
      </w:r>
    </w:p>
    <w:p>
      <w:pPr>
        <w:jc w:val="left"/>
        <w:outlineLvl w:val="9"/>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二、安全责任协议目标</w:t>
      </w:r>
    </w:p>
    <w:p>
      <w:pPr>
        <w:ind w:firstLine="560" w:firstLineChars="200"/>
        <w:jc w:val="lef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严格按照公司安全生产制度操作，实现责任区域范围内零事故、零伤亡、零损失、零投诉的目标。</w:t>
      </w:r>
    </w:p>
    <w:p>
      <w:pPr>
        <w:jc w:val="left"/>
        <w:outlineLvl w:val="9"/>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三、双方责任</w:t>
      </w:r>
    </w:p>
    <w:p>
      <w:pPr>
        <w:jc w:val="left"/>
        <w:outlineLvl w:val="9"/>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1、甲方责任</w:t>
      </w:r>
    </w:p>
    <w:p>
      <w:pPr>
        <w:ind w:firstLine="560" w:firstLineChars="200"/>
        <w:jc w:val="lef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1.1认真贯彻执行国家的安全方针、政策、法律法规及规程规范标准，严格组织安全生产工作。及时传达贯彻上级政府部门领导下达的各项安全生产工作指导意见和指示精神。</w:t>
      </w:r>
    </w:p>
    <w:p>
      <w:pPr>
        <w:ind w:firstLine="560" w:firstLineChars="200"/>
        <w:jc w:val="lef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1.2建立健全安全生产保证体系和安全管理机构。  </w:t>
      </w:r>
    </w:p>
    <w:p>
      <w:pPr>
        <w:ind w:firstLine="560" w:firstLineChars="200"/>
        <w:jc w:val="lef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1.3甲方负责定期、不定期组织安全生产检查工作，对检查发现的违章指挥、违章作业、违反操作规程、违反安全纪律，依据有关规定，有权责令乙方限期整改，给予乙方经济处罚。</w:t>
      </w:r>
    </w:p>
    <w:p>
      <w:pPr>
        <w:ind w:firstLine="560" w:firstLineChars="200"/>
        <w:jc w:val="lef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1.4甲方有权对乙方的安全生产管理工作进行检查，督促落实各项安全措施，完善有关安全管理制度，有权对乙方工伤事故调查处理。</w:t>
      </w:r>
    </w:p>
    <w:p>
      <w:pPr>
        <w:jc w:val="left"/>
        <w:outlineLvl w:val="9"/>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2、乙方责任</w:t>
      </w:r>
    </w:p>
    <w:p>
      <w:pPr>
        <w:ind w:firstLine="560" w:firstLineChars="200"/>
        <w:jc w:val="lef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2.1 坚持“安全第一、预防为主、综合治理”的工作方针，坚定不移的贯彻执行公司有关安全工作的各项规程、制度和精神。</w:t>
      </w:r>
    </w:p>
    <w:p>
      <w:pPr>
        <w:ind w:firstLine="560" w:firstLineChars="200"/>
        <w:jc w:val="lef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2.2 牢固树立“责任重于泰山，安全生产人人有责”的理念，坚持“保人身、保设备”的原则，开展各项安全生产工作。</w:t>
      </w:r>
    </w:p>
    <w:p>
      <w:pPr>
        <w:jc w:val="lef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    2.3 明确各岗位的安全生产职责，严格执行安全工作规程和公司的各项安全规章制度；在工作中认真履行安全生产职责。</w:t>
      </w:r>
    </w:p>
    <w:p>
      <w:pPr>
        <w:ind w:firstLine="560" w:firstLineChars="200"/>
        <w:jc w:val="left"/>
        <w:rPr>
          <w:rFonts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2.4 认真落实和执行甲方下达的安全生产任务，不打折扣，不推诿搪塞。</w:t>
      </w:r>
    </w:p>
    <w:p>
      <w:pPr>
        <w:ind w:firstLine="560" w:firstLineChars="2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2.5开工前提供作业组织方案、作业计划、安全管理制度、组织措施和技术措施，对复杂或危险性较大的工程必须订立单项措施。</w:t>
      </w:r>
    </w:p>
    <w:p>
      <w:pPr>
        <w:ind w:firstLine="560" w:firstLineChars="2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2.6开工前组织对全体现场作业人员进行安全、技术交底，明确工作任务，使全体现场各级人员掌握工程特点及安全操作规程、安全措施、安全注意事项。对作业人员定期进行安全活动和总结，并有记录，必要时请甲方派员参加。</w:t>
      </w:r>
    </w:p>
    <w:p>
      <w:pPr>
        <w:ind w:firstLine="560" w:firstLineChars="2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2.7作业时，乙方严格执行安全操作规程，并做好各种安全防范措施，指定专人负责安全工作，明确安全员。作业中一旦发现有安全隐患的，乙方应立即停工，并报告甲方及其他有关职能部门，采取措施整治后确保万无一失再作业。作业人员进行作业时必须正确穿戴好安全防护用品，切实保证作业中的人身、设备安全。</w:t>
      </w:r>
    </w:p>
    <w:p>
      <w:pPr>
        <w:ind w:firstLine="560" w:firstLineChars="2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2.8乙方应在作业现场的危险部位设置明显的安全警示标志。乙方对设备作业可能造成损害的毗邻建筑物、构筑物和地下管线、电力、通信线路等，应当采取专项防护措施。如没有防护，或防护不当而导致既有设施损坏，由乙方承担一切责任。</w:t>
      </w:r>
    </w:p>
    <w:p>
      <w:pPr>
        <w:ind w:firstLine="560" w:firstLineChars="2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2.9乙方作业人员应持有劳动部门颁发的上岗证方可参加作业。对从事垂直运输机械、安装拆卸、爆破等特种作业的，必须按照国家有关规定经过专门的安全作业培训，并取得特种作业操作资格证书后方可上岗作业。全体作业人员（包括民工）必须按甲方规定佩证上岗。</w:t>
      </w:r>
    </w:p>
    <w:p>
      <w:pPr>
        <w:ind w:firstLine="560" w:firstLineChars="200"/>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2.10乙方必须接受甲方监督和指导，发生人身事故或危及作业安全情况，必须立即报告甲方。乙方负责人（安全生产第一责任者）对甲方提出的有效意见必须及时整改。</w:t>
      </w:r>
    </w:p>
    <w:p>
      <w:pPr>
        <w:ind w:firstLine="560" w:firstLineChars="200"/>
        <w:rPr>
          <w:color w:val="auto"/>
          <w:highlight w:val="none"/>
        </w:rPr>
      </w:pPr>
      <w:r>
        <w:rPr>
          <w:rFonts w:hint="eastAsia" w:ascii="宋体" w:hAnsi="宋体" w:eastAsia="宋体" w:cs="Times New Roman"/>
          <w:color w:val="auto"/>
          <w:sz w:val="28"/>
          <w:szCs w:val="28"/>
          <w:highlight w:val="none"/>
        </w:rPr>
        <w:t>2.11负责合同中规定由乙方承担有关安全责任。</w:t>
      </w:r>
    </w:p>
    <w:p/>
    <w:sectPr>
      <w:headerReference r:id="rId3" w:type="default"/>
      <w:footerReference r:id="rId4"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 w:name="方正小标宋简体">
    <w:altName w:val="黑体"/>
    <w:panose1 w:val="03000509000000000000"/>
    <w:charset w:val="86"/>
    <w:family w:val="auto"/>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10" w:usb3="00000000" w:csb0="0004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18</w:t>
                          </w:r>
                          <w:r>
                            <w:rPr>
                              <w:rFonts w:hint="eastAsia"/>
                              <w:lang w:eastAsia="zh-CN"/>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4"/>
                      <w:rPr>
                        <w:rFonts w:hint="eastAsia" w:eastAsiaTheme="minorEastAsia"/>
                        <w:lang w:eastAsia="zh-CN"/>
                      </w:rPr>
                    </w:pPr>
                    <w:r>
                      <w:rPr>
                        <w:rFonts w:hint="eastAsia"/>
                        <w:lang w:eastAsia="zh-CN"/>
                      </w:rPr>
                      <w:t xml:space="preserve">第 </w:t>
                    </w: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r>
                      <w:rPr>
                        <w:rFonts w:hint="eastAsia"/>
                        <w:lang w:eastAsia="zh-CN"/>
                      </w:rPr>
                      <w:t xml:space="preserve"> 页 共 </w:t>
                    </w:r>
                    <w:r>
                      <w:rPr>
                        <w:rFonts w:hint="eastAsia"/>
                        <w:lang w:val="en-US" w:eastAsia="zh-CN"/>
                      </w:rPr>
                      <w:t>18</w:t>
                    </w:r>
                    <w:r>
                      <w:rPr>
                        <w:rFonts w:hint="eastAsia"/>
                        <w:lang w:eastAsia="zh-CN"/>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9"/>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0A85114"/>
    <w:rsid w:val="000F2A2D"/>
    <w:rsid w:val="002F5FCF"/>
    <w:rsid w:val="00DB422F"/>
    <w:rsid w:val="04276E86"/>
    <w:rsid w:val="04BB5E77"/>
    <w:rsid w:val="04C80BD0"/>
    <w:rsid w:val="04CC4A30"/>
    <w:rsid w:val="054A6A98"/>
    <w:rsid w:val="056B06C8"/>
    <w:rsid w:val="07584BFF"/>
    <w:rsid w:val="079F4FC7"/>
    <w:rsid w:val="081F7069"/>
    <w:rsid w:val="097D2113"/>
    <w:rsid w:val="0A0E0EB6"/>
    <w:rsid w:val="0AAA5F68"/>
    <w:rsid w:val="0B374318"/>
    <w:rsid w:val="0B6F31E3"/>
    <w:rsid w:val="0B78116E"/>
    <w:rsid w:val="0BF706C0"/>
    <w:rsid w:val="0DFB03E9"/>
    <w:rsid w:val="0E9408C9"/>
    <w:rsid w:val="0F6078E5"/>
    <w:rsid w:val="0F687EDF"/>
    <w:rsid w:val="115B7394"/>
    <w:rsid w:val="11976403"/>
    <w:rsid w:val="121C7F55"/>
    <w:rsid w:val="12392447"/>
    <w:rsid w:val="125F5887"/>
    <w:rsid w:val="127B5039"/>
    <w:rsid w:val="145530B3"/>
    <w:rsid w:val="14A933C8"/>
    <w:rsid w:val="151327A3"/>
    <w:rsid w:val="15503572"/>
    <w:rsid w:val="15515B27"/>
    <w:rsid w:val="15BD3445"/>
    <w:rsid w:val="1647603F"/>
    <w:rsid w:val="1650518E"/>
    <w:rsid w:val="17CE07BF"/>
    <w:rsid w:val="180D66AC"/>
    <w:rsid w:val="18C21558"/>
    <w:rsid w:val="1A353E07"/>
    <w:rsid w:val="1A3B5C0A"/>
    <w:rsid w:val="1B0A575C"/>
    <w:rsid w:val="1B1A33C4"/>
    <w:rsid w:val="1B1C285E"/>
    <w:rsid w:val="1B585B60"/>
    <w:rsid w:val="1C93201A"/>
    <w:rsid w:val="1C9C2C60"/>
    <w:rsid w:val="1D1D4279"/>
    <w:rsid w:val="1E426067"/>
    <w:rsid w:val="1E933876"/>
    <w:rsid w:val="1F082700"/>
    <w:rsid w:val="1F33751E"/>
    <w:rsid w:val="20B25CC7"/>
    <w:rsid w:val="21BD21E2"/>
    <w:rsid w:val="220834EE"/>
    <w:rsid w:val="2269194E"/>
    <w:rsid w:val="23021C4D"/>
    <w:rsid w:val="243954C9"/>
    <w:rsid w:val="25B43EBF"/>
    <w:rsid w:val="270C2D40"/>
    <w:rsid w:val="274223AE"/>
    <w:rsid w:val="276479C9"/>
    <w:rsid w:val="2798667F"/>
    <w:rsid w:val="27B46986"/>
    <w:rsid w:val="28A22A35"/>
    <w:rsid w:val="28BA7AE0"/>
    <w:rsid w:val="292016FD"/>
    <w:rsid w:val="298D623B"/>
    <w:rsid w:val="29BC3D28"/>
    <w:rsid w:val="2A455924"/>
    <w:rsid w:val="2A966C59"/>
    <w:rsid w:val="2AB858C1"/>
    <w:rsid w:val="2AE754FC"/>
    <w:rsid w:val="2BC41B2C"/>
    <w:rsid w:val="2E05160C"/>
    <w:rsid w:val="2E07439D"/>
    <w:rsid w:val="2E785289"/>
    <w:rsid w:val="30A85114"/>
    <w:rsid w:val="312D3EE3"/>
    <w:rsid w:val="321D5FBF"/>
    <w:rsid w:val="325D65AB"/>
    <w:rsid w:val="33055390"/>
    <w:rsid w:val="345A73F0"/>
    <w:rsid w:val="354A2F3A"/>
    <w:rsid w:val="36482E7D"/>
    <w:rsid w:val="37A01479"/>
    <w:rsid w:val="387276F0"/>
    <w:rsid w:val="38D42504"/>
    <w:rsid w:val="39E056A5"/>
    <w:rsid w:val="3A146BF4"/>
    <w:rsid w:val="3A8B1972"/>
    <w:rsid w:val="3B85614B"/>
    <w:rsid w:val="3B956B1E"/>
    <w:rsid w:val="3BED5FFD"/>
    <w:rsid w:val="3C36465B"/>
    <w:rsid w:val="3E4F717C"/>
    <w:rsid w:val="3EB33F4E"/>
    <w:rsid w:val="3ECD15C8"/>
    <w:rsid w:val="3FC916C4"/>
    <w:rsid w:val="40152D2E"/>
    <w:rsid w:val="41175A90"/>
    <w:rsid w:val="411C3FE9"/>
    <w:rsid w:val="41AC102F"/>
    <w:rsid w:val="41AC4524"/>
    <w:rsid w:val="41C8080C"/>
    <w:rsid w:val="4267617F"/>
    <w:rsid w:val="43B92A0B"/>
    <w:rsid w:val="44997E39"/>
    <w:rsid w:val="45184904"/>
    <w:rsid w:val="456A4AED"/>
    <w:rsid w:val="48070EFC"/>
    <w:rsid w:val="48214513"/>
    <w:rsid w:val="48264DB5"/>
    <w:rsid w:val="492536FF"/>
    <w:rsid w:val="49314660"/>
    <w:rsid w:val="4A1F52DF"/>
    <w:rsid w:val="4B8A6A81"/>
    <w:rsid w:val="4BDD49F9"/>
    <w:rsid w:val="4C0E2021"/>
    <w:rsid w:val="4E003FA6"/>
    <w:rsid w:val="4E776DF9"/>
    <w:rsid w:val="4ED934DA"/>
    <w:rsid w:val="4EDA7A3B"/>
    <w:rsid w:val="4F180CE5"/>
    <w:rsid w:val="4F510CDB"/>
    <w:rsid w:val="4F515C3B"/>
    <w:rsid w:val="50692F5A"/>
    <w:rsid w:val="51061463"/>
    <w:rsid w:val="526F5497"/>
    <w:rsid w:val="52D21263"/>
    <w:rsid w:val="53110535"/>
    <w:rsid w:val="539A607E"/>
    <w:rsid w:val="542D2B94"/>
    <w:rsid w:val="54E61959"/>
    <w:rsid w:val="552A2737"/>
    <w:rsid w:val="563F7711"/>
    <w:rsid w:val="565323C8"/>
    <w:rsid w:val="58320CDF"/>
    <w:rsid w:val="5838540B"/>
    <w:rsid w:val="58446E1D"/>
    <w:rsid w:val="58632174"/>
    <w:rsid w:val="58876489"/>
    <w:rsid w:val="58AB07F9"/>
    <w:rsid w:val="59605CD8"/>
    <w:rsid w:val="59E325B0"/>
    <w:rsid w:val="59E920AD"/>
    <w:rsid w:val="5AC753DD"/>
    <w:rsid w:val="5B1B2628"/>
    <w:rsid w:val="5BAD37E1"/>
    <w:rsid w:val="5C796928"/>
    <w:rsid w:val="5C9F3C0B"/>
    <w:rsid w:val="5DAF672E"/>
    <w:rsid w:val="5E827BD1"/>
    <w:rsid w:val="5E955D0F"/>
    <w:rsid w:val="603D02E2"/>
    <w:rsid w:val="60EE391E"/>
    <w:rsid w:val="610A6400"/>
    <w:rsid w:val="6130667C"/>
    <w:rsid w:val="61FC59EE"/>
    <w:rsid w:val="62C43D5C"/>
    <w:rsid w:val="62F06472"/>
    <w:rsid w:val="62F75CC9"/>
    <w:rsid w:val="639179BE"/>
    <w:rsid w:val="63EB0801"/>
    <w:rsid w:val="64074F61"/>
    <w:rsid w:val="640759D2"/>
    <w:rsid w:val="64B07191"/>
    <w:rsid w:val="64BA4C86"/>
    <w:rsid w:val="650D23DD"/>
    <w:rsid w:val="65971644"/>
    <w:rsid w:val="66067753"/>
    <w:rsid w:val="66215E3E"/>
    <w:rsid w:val="66B11D9B"/>
    <w:rsid w:val="66C3259B"/>
    <w:rsid w:val="67B648C2"/>
    <w:rsid w:val="67C6612F"/>
    <w:rsid w:val="680412F7"/>
    <w:rsid w:val="685926E2"/>
    <w:rsid w:val="6A616E1E"/>
    <w:rsid w:val="6AC7022A"/>
    <w:rsid w:val="6CBD4198"/>
    <w:rsid w:val="6D88066C"/>
    <w:rsid w:val="6DE87B2A"/>
    <w:rsid w:val="6EA3063B"/>
    <w:rsid w:val="6FEF754D"/>
    <w:rsid w:val="714478F8"/>
    <w:rsid w:val="71CF3A8E"/>
    <w:rsid w:val="71CF70FD"/>
    <w:rsid w:val="727C388D"/>
    <w:rsid w:val="72AC2584"/>
    <w:rsid w:val="7350240C"/>
    <w:rsid w:val="73E9116D"/>
    <w:rsid w:val="742D4267"/>
    <w:rsid w:val="746F07FD"/>
    <w:rsid w:val="75D13C33"/>
    <w:rsid w:val="772A57C1"/>
    <w:rsid w:val="77EB7A4D"/>
    <w:rsid w:val="79424B82"/>
    <w:rsid w:val="7A0D0861"/>
    <w:rsid w:val="7B866E01"/>
    <w:rsid w:val="7BA96747"/>
    <w:rsid w:val="7BF6195F"/>
    <w:rsid w:val="7C657E79"/>
    <w:rsid w:val="7D9A446A"/>
    <w:rsid w:val="7EC55770"/>
    <w:rsid w:val="7F77386F"/>
    <w:rsid w:val="7FD57D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8">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customStyle="1" w:styleId="2">
    <w:name w:val="目录 21"/>
    <w:basedOn w:val="1"/>
    <w:next w:val="1"/>
    <w:qFormat/>
    <w:uiPriority w:val="0"/>
    <w:pPr>
      <w:spacing w:before="100" w:beforeAutospacing="1" w:after="100" w:afterAutospacing="1"/>
      <w:ind w:left="420" w:leftChars="200"/>
    </w:pPr>
  </w:style>
  <w:style w:type="paragraph" w:styleId="3">
    <w:name w:val="annotation text"/>
    <w:basedOn w:val="1"/>
    <w:qFormat/>
    <w:uiPriority w:val="0"/>
    <w:pPr>
      <w:jc w:val="left"/>
    </w:pPr>
  </w:style>
  <w:style w:type="paragraph" w:styleId="4">
    <w:name w:val="footer"/>
    <w:basedOn w:val="1"/>
    <w:qFormat/>
    <w:uiPriority w:val="0"/>
    <w:pPr>
      <w:tabs>
        <w:tab w:val="center" w:pos="4153"/>
        <w:tab w:val="right" w:pos="8306"/>
      </w:tabs>
      <w:snapToGrid w:val="0"/>
      <w:jc w:val="left"/>
    </w:pPr>
    <w:rPr>
      <w:sz w:val="18"/>
    </w:rPr>
  </w:style>
  <w:style w:type="paragraph" w:styleId="5">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7">
    <w:name w:val="Table Grid"/>
    <w:basedOn w:val="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9">
    <w:name w:val="font21"/>
    <w:basedOn w:val="8"/>
    <w:qFormat/>
    <w:uiPriority w:val="0"/>
    <w:rPr>
      <w:rFonts w:hint="eastAsia" w:ascii="宋体" w:hAnsi="宋体" w:eastAsia="宋体" w:cs="宋体"/>
      <w:color w:val="000000"/>
      <w:sz w:val="20"/>
      <w:szCs w:val="20"/>
      <w:u w:val="none"/>
    </w:rPr>
  </w:style>
  <w:style w:type="character" w:customStyle="1" w:styleId="10">
    <w:name w:val="font11"/>
    <w:basedOn w:val="8"/>
    <w:qFormat/>
    <w:uiPriority w:val="0"/>
    <w:rPr>
      <w:rFonts w:hint="eastAsia" w:ascii="宋体" w:hAnsi="宋体" w:eastAsia="宋体" w:cs="宋体"/>
      <w:b/>
      <w:color w:val="000000"/>
      <w:sz w:val="20"/>
      <w:szCs w:val="20"/>
      <w:u w:val="none"/>
    </w:rPr>
  </w:style>
  <w:style w:type="character" w:customStyle="1" w:styleId="11">
    <w:name w:val="font31"/>
    <w:basedOn w:val="8"/>
    <w:qFormat/>
    <w:uiPriority w:val="0"/>
    <w:rPr>
      <w:rFonts w:hint="eastAsia" w:ascii="宋体" w:hAnsi="宋体" w:eastAsia="宋体" w:cs="宋体"/>
      <w:color w:val="000000"/>
      <w:sz w:val="21"/>
      <w:szCs w:val="21"/>
      <w:u w:val="none"/>
    </w:rPr>
  </w:style>
  <w:style w:type="paragraph" w:customStyle="1" w:styleId="12">
    <w:name w:val="_Style 3"/>
    <w:qFormat/>
    <w:uiPriority w:val="0"/>
    <w:pPr>
      <w:widowControl w:val="0"/>
      <w:jc w:val="both"/>
    </w:pPr>
    <w:rPr>
      <w:rFonts w:ascii="Times New Roman" w:hAnsi="Times New Roman" w:eastAsia="宋体" w:cs="Times New Roman"/>
      <w:kern w:val="2"/>
      <w:sz w:val="21"/>
      <w:szCs w:val="22"/>
      <w:lang w:val="en-US" w:eastAsia="zh-CN" w:bidi="ar-SA"/>
    </w:rPr>
  </w:style>
  <w:style w:type="character" w:customStyle="1" w:styleId="13">
    <w:name w:val="font81"/>
    <w:basedOn w:val="8"/>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18</Pages>
  <Words>0</Words>
  <Characters>0</Characters>
  <Lines>0</Lines>
  <Paragraphs>0</Paragraphs>
  <TotalTime>5</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2022-02-16T05:54:00Z</dcterms:created>
  <dc:creator>ehv_mj_liaoshihai</dc:creator>
  <cp:lastModifiedBy>Administrator</cp:lastModifiedBy>
  <cp:lastPrinted>2022-03-01T06:57:00Z</cp:lastPrinted>
  <dcterms:modified xsi:type="dcterms:W3CDTF">2025-02-14T07:24:24Z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B1744D41CDF544B2A2F732504D2CF48C</vt:lpwstr>
  </property>
</Properties>
</file>