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南方电网云南电动汽车服务有限公司2025年度工程竣工决算审计服务</w:t>
      </w:r>
      <w:r>
        <w:rPr>
          <w:rFonts w:hint="eastAsia" w:ascii="方正小标宋_GBK" w:hAnsi="方正小标宋_GBK" w:eastAsia="方正小标宋_GBK" w:cs="方正小标宋_GBK"/>
          <w:sz w:val="44"/>
          <w:szCs w:val="44"/>
        </w:rPr>
        <w:t>项目</w:t>
      </w:r>
      <w:r>
        <w:rPr>
          <w:rFonts w:hint="eastAsia" w:ascii="方正小标宋_GBK" w:hAnsi="方正小标宋_GBK" w:eastAsia="方正小标宋_GBK" w:cs="方正小标宋_GBK"/>
          <w:bCs/>
          <w:sz w:val="44"/>
          <w:szCs w:val="44"/>
        </w:rPr>
        <w:t>采购</w:t>
      </w:r>
    </w:p>
    <w:p>
      <w:pPr>
        <w:snapToGrid w:val="0"/>
        <w:spacing w:line="520" w:lineRule="exact"/>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技术规范书</w:t>
      </w:r>
    </w:p>
    <w:p>
      <w:pPr>
        <w:spacing w:line="520" w:lineRule="exact"/>
        <w:ind w:firstLine="560" w:firstLineChars="200"/>
        <w:rPr>
          <w:rFonts w:hint="eastAsia" w:ascii="仿宋" w:hAnsi="仿宋" w:eastAsia="仿宋" w:cs="仿宋"/>
          <w:bCs/>
          <w:sz w:val="28"/>
          <w:szCs w:val="28"/>
        </w:rPr>
      </w:pPr>
    </w:p>
    <w:p>
      <w:pPr>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一、项目概况</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为防范工程核算风险，确保公司涉及工程项目核算事项的合法性、合规性，根据《中国南方电网有限责任公司工程财务管理办法》（Q/CSG216011-2013）关于基建工程、小型基建工程项目竣工决算管理的要求，须针对完成工程竣工决算报告编制的工程项目开展审计并出具审计报告。</w:t>
      </w:r>
    </w:p>
    <w:p>
      <w:pPr>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二、现场抽查要求</w:t>
      </w:r>
    </w:p>
    <w:p>
      <w:pPr>
        <w:spacing w:line="520" w:lineRule="exact"/>
        <w:ind w:firstLine="560" w:firstLineChars="200"/>
        <w:rPr>
          <w:rFonts w:hint="eastAsia" w:ascii="仿宋" w:hAnsi="仿宋" w:eastAsia="仿宋" w:cs="仿宋"/>
          <w:bCs/>
          <w:strike/>
          <w:sz w:val="28"/>
          <w:szCs w:val="28"/>
        </w:rPr>
      </w:pPr>
      <w:r>
        <w:rPr>
          <w:rFonts w:hint="eastAsia" w:ascii="仿宋" w:hAnsi="仿宋" w:eastAsia="仿宋" w:cs="仿宋"/>
          <w:bCs/>
          <w:sz w:val="28"/>
          <w:szCs w:val="28"/>
        </w:rPr>
        <w:t>1.35kV及以上输变电项目，除对设备材料的出入库与竣工图进行核对外，还要求进行现场抽样检查，复核竣工图与现场实物量。变电站设备材料现场复核率100%，线路工程现场抽审量不得低于30%。</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2.10kV及以下项目，除对设备材料的出入库与竣工图进行核对外，还要求进行现场抽样检查，复核竣工图与现场实物量。现场复核率不得低于40%并覆盖全部施工单位；配网工程现场复核率必须达到50%，抽审点均履盖所有施工单位。</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3.以上项目属于中央预算内投资项目的，线路部分现场复核率不得低于40%。</w:t>
      </w:r>
    </w:p>
    <w:p>
      <w:pPr>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三、其他要求</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1.项目审计的内容要求</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中介机构应按照国家及公司相关法律、法规和规定进行竣工财务决算审计，工程竣工决算审计除包括工程竣工决算报表审核外，还应对项目建设全过程管理情况进行审计。重点包括以下方面（包括但不限于）：</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1.1工程项目概算执行情况；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1.2工程项目资金的来源、支出及结余等财务情况；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1.3工程项目合同工期执行情况和合同质量等级控制情况；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1.4交付使用资产情况，有无虚报完成及虚列应付债务或转移建设资金等情况；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1.5是否有计划外建设项目，有无自行扩大投资规模和提高建设标准的情况；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1.6各项费用支出是否合法，依据是否充分，有无混淆生产成本和建设成本的情况；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1.7应收回的设备材料以及拆除的废旧物资是否按规定回收和管理，是否有残值收入；</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1.8尾工工程的预留工程款及建设情况；</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1.9按相关专业规定应审查的其他事项，有必要审查的其他事项。</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1.10投标人应在财务决算审计中配备造价人员对该项目的工程结算审核结果进行抽审和复查，应重点审核对工程项目结算产生影响的以下事项：</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1.10.1审核工程合同是否全面、真实地履行；合同变更是否真实、合理，设计变更单、材料代用单、现场签证单、工序验收单及补充预算书等是否真实、有效，数据是否准确，手续是否完备，有无重签、多签等问题。</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1.10.2审核工程是否按施工合同规定的工作量进行施工，其工程量、单价、取费标准是否与现场、竣工图和合同相符，工程结算量、价、费计算是否正确，计算依据是否合理，竣工档案资料是否齐全。</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1.10.3审核设备（材料）采购量是否与施工图及核准变更量一致。</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1.10.4现场抽审应拍照，并出具书面复核记录，保证工程造价的真实性、合法性与完整性。照片及书面复核记录应作为审核工作底稿，提供给甲方审查。</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2.成果交付及时间要求</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 委托方按行政区划，以项目具备审计条件的时点集中委托或个别委托，不以投资额大小划分受托单位。中介机构应在接到委托函后24小时内答复是否接受委托，并在接到委托函后48小时内书面回函委托方是否接受委托；在接到委托函后不超过5天安排审计组进点实施现场审计。</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中介机构拒绝承担业务或接受业务后未能在规定时间内开展现场审计的，委托方有权将此部分业务另行委托并按合同约定扣减份额。</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2.2中介机构收到中标通知书后，应根据中标区域立即筹建项目工作组，每一区域筹建一个项目工作组，并将拟定的项目审计组人员名单及相关资料（拟派出人员的有关资质、证书、简历等资料）报南方电网云南电动汽车服务有限公司审核同意后方可正式确定。项目负责人、专职专业人员不得在不同的项目审计组相互兼职。</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每个项目现场审计不少于4人，包括1名一级造价师、1名注册会计师，2名助理，原则上现场人员每人同时参与的项目数不超过3个；超过3个的，受托单位应按委托单位要求增加现场审计人员。远程复核、配合等人员不计入现场人员数量。</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2.3受托中介机构应编制审计实施方案，报委托单位审核。实施方案应包括下列内容：被审单位（审计对象）名称、编制依据、审计方式、审计目的、范围、审计程序、审计工作进度和时间安排、审计组成员及分工、审计重点、审计风险评估以及应注意的问题、对以往审计成果的利用等。</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2.4审计过程中，审计组应每周编写阶段工作小结，及时向委托单位报告工作进展情况和发现问题，重大问题应及时向南方电网云南电动汽车服务有限公司报告。</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2.5现场发现问题在取得充分证据后，应填制《审计取证记录表》，向被审计单位书面沟通取证。</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2.6现场工程量复核应取得照片作为证据资料，并出具书面复核记录，作为审核工作底稿，一并提供给委托方审查。</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2.7受托中介机构应在现场出点前完成报告初稿，并经委托方审查认可。</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2.8一般情况下，决算审计应在接到通知后30天内完成工作，提交经中介机构完成三级复核的审计报告。</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2.9受托中介机构应按相关规定建立和保管项目档案，同时应于现场出点时将已完整回复的审计取证记录表台账、原件及相关资料移交一份给委托单位审计部门，按照委托方要求，协助完成审计管理系统有关项目档案资料的录入等。</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受托中介机构每季度应向南方电网云南电动汽车服务有限公司汇报该季度内承担审计项目的名称、现场负责人姓名、报审投资额、审减金额、审计服务费金额、项目进展情况、接到通知日期、提交最终稿报告日期、发现的主要问题、发现前面环节编制或审核报告的错漏情况以及其他事项等。</w:t>
      </w:r>
    </w:p>
    <w:p>
      <w:pPr>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四、资格要求</w:t>
      </w:r>
    </w:p>
    <w:p>
      <w:pPr>
        <w:spacing w:line="520" w:lineRule="exact"/>
        <w:ind w:firstLine="560" w:firstLineChars="200"/>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1.技术文件规范性较好、完全响应技术文件要求，企业综合能力较好。注：未提供技术响应文件、企业简介、营业执照、企业规模、企业资质证书、获奖证书等的为不符合资格要求。</w:t>
      </w:r>
    </w:p>
    <w:p>
      <w:pPr>
        <w:spacing w:line="520" w:lineRule="exact"/>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2.有10名注册会计师和3名一级造价工程师。注：需提供人员名册、证书以及在本单位投标截止日期前半年内任意连续 3 个月的社保证明或在本单位的在职劳动合同，未提供相关证明材料为不符合资格要求。分所投标的，需为分所名下有劳动关系的注册会计师。其中，一级造价工程师可统一由投标人向造价咨询企业聘请，需提供投标人与造价咨询企业之间的人员聘用合同或协议，以及人员名册、一级造价工程师与造价咨询企业在投标截止日期前半年内任意连续 3个月的社保证明或在本单位的在职劳动合同作为证明资料。注：未提供相关资料的为不符合资格要求。</w:t>
      </w:r>
    </w:p>
    <w:p>
      <w:pPr>
        <w:spacing w:line="520" w:lineRule="exact"/>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3.项目负责人资质要求：项目负责人持有本单位注册的注册会计师或一级造价工程师执业资格证，且从业经验至少5年。注：需提供人员证书、职务及业绩的证明材料并出具开标前半年内连续三个月社保证明在本单位的在职劳动合同。如注册单位曾有变更的，需提供注册单位变更记录。注：未提供相关资料的为不符合资格要求。</w:t>
      </w:r>
    </w:p>
    <w:p>
      <w:pPr>
        <w:spacing w:line="52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color w:val="auto"/>
          <w:sz w:val="28"/>
          <w:szCs w:val="28"/>
          <w:lang w:val="en-US" w:eastAsia="zh-CN"/>
        </w:rPr>
        <w:t>4.类似业绩：须提供近三年业绩情况证明。注：须提供响应文件递交截止之日起前36个月内（按合同签订日期推算）的类似项</w:t>
      </w:r>
      <w:r>
        <w:rPr>
          <w:rFonts w:hint="eastAsia" w:ascii="仿宋" w:hAnsi="仿宋" w:eastAsia="仿宋" w:cs="仿宋"/>
          <w:bCs/>
          <w:sz w:val="28"/>
          <w:szCs w:val="28"/>
          <w:lang w:val="en-US" w:eastAsia="zh-CN"/>
        </w:rPr>
        <w:t>目业绩证明材料。业绩证明材料必须包含发票、合同（包括封面、合同内容首页、合同金额页、签字盖章页，或能够完整显示上述信息的页面）、中标通知书（若有）等材料，未提供三年类似业绩证明或提供无效证明材料的（如合同签字盖章页未签字盖章或无签订日期的为无效业绩）为不符合资格要求。</w:t>
      </w:r>
    </w:p>
    <w:p>
      <w:pPr>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五、报价</w:t>
      </w:r>
      <w:r>
        <w:rPr>
          <w:rFonts w:hint="eastAsia" w:ascii="仿宋" w:hAnsi="仿宋" w:eastAsia="仿宋" w:cs="仿宋"/>
          <w:b/>
          <w:sz w:val="28"/>
          <w:szCs w:val="28"/>
          <w:lang w:val="en-US" w:eastAsia="zh-CN"/>
        </w:rPr>
        <w:t>及计价</w:t>
      </w:r>
      <w:r>
        <w:rPr>
          <w:rFonts w:hint="eastAsia" w:ascii="仿宋" w:hAnsi="仿宋" w:eastAsia="仿宋" w:cs="仿宋"/>
          <w:b/>
          <w:sz w:val="28"/>
          <w:szCs w:val="28"/>
        </w:rPr>
        <w:t>须知</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1.报价以人民币为货币单位，包含总价，</w:t>
      </w:r>
      <w:r>
        <w:rPr>
          <w:rFonts w:hint="eastAsia" w:ascii="仿宋" w:hAnsi="仿宋" w:eastAsia="仿宋" w:cs="仿宋"/>
          <w:bCs/>
          <w:sz w:val="28"/>
          <w:szCs w:val="28"/>
          <w:lang w:val="en-US" w:eastAsia="zh-CN"/>
        </w:rPr>
        <w:t>单</w:t>
      </w:r>
      <w:r>
        <w:rPr>
          <w:rFonts w:hint="eastAsia" w:ascii="仿宋" w:hAnsi="仿宋" w:eastAsia="仿宋" w:cs="仿宋"/>
          <w:bCs/>
          <w:sz w:val="28"/>
          <w:szCs w:val="28"/>
        </w:rPr>
        <w:t>项价格。总价不超过4.8万元，</w:t>
      </w:r>
      <w:r>
        <w:rPr>
          <w:rFonts w:hint="eastAsia" w:ascii="仿宋" w:hAnsi="仿宋" w:eastAsia="仿宋" w:cs="仿宋"/>
          <w:bCs/>
          <w:sz w:val="28"/>
          <w:szCs w:val="28"/>
          <w:lang w:val="en-US" w:eastAsia="zh-CN"/>
        </w:rPr>
        <w:t>单</w:t>
      </w:r>
      <w:r>
        <w:rPr>
          <w:rFonts w:hint="eastAsia" w:ascii="仿宋" w:hAnsi="仿宋" w:eastAsia="仿宋" w:cs="仿宋"/>
          <w:bCs/>
          <w:sz w:val="28"/>
          <w:szCs w:val="28"/>
        </w:rPr>
        <w:t>项价格按照单项工程送审决算金额(含税)最高费率</w:t>
      </w:r>
      <w:r>
        <w:rPr>
          <w:rFonts w:hint="eastAsia" w:ascii="仿宋" w:hAnsi="仿宋" w:eastAsia="仿宋" w:cs="仿宋"/>
          <w:bCs/>
          <w:sz w:val="28"/>
          <w:szCs w:val="28"/>
          <w:lang w:val="en-US" w:eastAsia="zh-CN"/>
        </w:rPr>
        <w:t>后的</w:t>
      </w:r>
      <w:r>
        <w:rPr>
          <w:rFonts w:hint="eastAsia" w:ascii="仿宋" w:hAnsi="仿宋" w:eastAsia="仿宋" w:cs="仿宋"/>
          <w:bCs/>
          <w:sz w:val="28"/>
          <w:szCs w:val="28"/>
        </w:rPr>
        <w:t>下浮率报价。</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lang w:val="en-US" w:eastAsia="zh-CN"/>
        </w:rPr>
        <w:t>2.单项</w:t>
      </w:r>
      <w:r>
        <w:rPr>
          <w:rFonts w:hint="eastAsia" w:ascii="仿宋" w:hAnsi="仿宋" w:eastAsia="仿宋" w:cs="仿宋"/>
          <w:bCs/>
          <w:sz w:val="28"/>
          <w:szCs w:val="28"/>
        </w:rPr>
        <w:t xml:space="preserve">35千伏及以下电网基建工程竣工决算审计，投资1000万元以下小型基建工程竣工决算审计，审计取费根据项目送审决算金额(含税)为依据，采用差额定律累进方法计算。  </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 xml:space="preserve">审计费用=差额定律累进计算金额×实际结算费率，实际结算费 率=最高费率×(1—投标下浮率)。  </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ab/>
      </w:r>
      <w:r>
        <w:rPr>
          <w:rFonts w:hint="eastAsia" w:ascii="仿宋" w:hAnsi="仿宋" w:eastAsia="仿宋" w:cs="仿宋"/>
          <w:bCs/>
          <w:sz w:val="28"/>
          <w:szCs w:val="28"/>
        </w:rPr>
        <w:t>35千伏及以下电网基建工程或总投资1000万元以下小型基建工程中单项工程送审决算金额(含税)100万元以下(含)的</w:t>
      </w:r>
      <w:r>
        <w:rPr>
          <w:rFonts w:hint="eastAsia" w:ascii="仿宋" w:hAnsi="仿宋" w:eastAsia="仿宋" w:cs="仿宋"/>
          <w:bCs/>
          <w:sz w:val="28"/>
          <w:szCs w:val="28"/>
          <w:lang w:eastAsia="zh-CN"/>
        </w:rPr>
        <w:t>，</w:t>
      </w:r>
      <w:r>
        <w:rPr>
          <w:rFonts w:hint="eastAsia" w:ascii="仿宋" w:hAnsi="仿宋" w:eastAsia="仿宋" w:cs="仿宋"/>
          <w:bCs/>
          <w:color w:val="FF0000"/>
          <w:sz w:val="28"/>
          <w:szCs w:val="28"/>
        </w:rPr>
        <w:t>设置保底金额0.3万元/项</w:t>
      </w:r>
      <w:r>
        <w:rPr>
          <w:rFonts w:hint="eastAsia" w:ascii="仿宋" w:hAnsi="仿宋" w:eastAsia="仿宋" w:cs="仿宋"/>
          <w:bCs/>
          <w:sz w:val="28"/>
          <w:szCs w:val="28"/>
        </w:rPr>
        <w:t>，单项工程送审决算金额(含税)100万元以上的，按照差额定律累进分档计算，即送审决算金额(含税)100万元以下(含)部分按照2‰计算，超过100万元以上的部分按照档位的最高费率分档计算，以此类推。费用已包含食、宿、交通等费用，费用包干。</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lang w:val="en-US" w:eastAsia="zh-CN"/>
        </w:rPr>
        <w:t>3</w:t>
      </w:r>
      <w:r>
        <w:rPr>
          <w:rFonts w:hint="eastAsia" w:ascii="仿宋" w:hAnsi="仿宋" w:eastAsia="仿宋" w:cs="仿宋"/>
          <w:bCs/>
          <w:sz w:val="28"/>
          <w:szCs w:val="28"/>
        </w:rPr>
        <w:t>.报价文件应按格式要求进行编制</w:t>
      </w:r>
      <w:r>
        <w:rPr>
          <w:rFonts w:ascii="仿宋" w:hAnsi="仿宋" w:eastAsia="仿宋" w:cs="仿宋"/>
          <w:bCs/>
          <w:sz w:val="28"/>
          <w:szCs w:val="28"/>
        </w:rPr>
        <w:t>,</w:t>
      </w:r>
      <w:r>
        <w:rPr>
          <w:rFonts w:hint="eastAsia" w:ascii="仿宋" w:hAnsi="仿宋" w:eastAsia="仿宋" w:cs="仿宋"/>
          <w:bCs/>
          <w:sz w:val="28"/>
          <w:szCs w:val="28"/>
        </w:rPr>
        <w:t>文件格式为彩色扫描PDF版本，并且逐页加盖公章。</w:t>
      </w:r>
    </w:p>
    <w:p>
      <w:pPr>
        <w:spacing w:line="520" w:lineRule="exact"/>
        <w:ind w:firstLine="560" w:firstLineChars="200"/>
        <w:jc w:val="left"/>
        <w:rPr>
          <w:rFonts w:hint="eastAsia" w:ascii="仿宋" w:hAnsi="仿宋" w:eastAsia="仿宋" w:cs="仿宋"/>
          <w:bCs/>
          <w:sz w:val="28"/>
          <w:szCs w:val="28"/>
          <w:lang w:eastAsia="zh-CN"/>
        </w:rPr>
      </w:pPr>
      <w:r>
        <w:rPr>
          <w:rFonts w:hint="eastAsia" w:ascii="仿宋" w:hAnsi="仿宋" w:eastAsia="仿宋" w:cs="仿宋"/>
          <w:bCs/>
          <w:sz w:val="28"/>
          <w:szCs w:val="28"/>
        </w:rPr>
        <w:t>4.各报价人对上述条款均应作出响应，非响应性报价均作无效报价处理</w:t>
      </w:r>
      <w:r>
        <w:rPr>
          <w:rFonts w:hint="eastAsia" w:ascii="仿宋" w:hAnsi="仿宋" w:eastAsia="仿宋" w:cs="仿宋"/>
          <w:bCs/>
          <w:sz w:val="28"/>
          <w:szCs w:val="28"/>
          <w:lang w:eastAsia="zh-CN"/>
        </w:rPr>
        <w:t>。</w:t>
      </w:r>
    </w:p>
    <w:p>
      <w:pPr>
        <w:pStyle w:val="4"/>
        <w:ind w:firstLine="562" w:firstLineChars="200"/>
        <w:rPr>
          <w:rFonts w:eastAsia="仿宋"/>
          <w:color w:val="auto"/>
        </w:rPr>
      </w:pPr>
      <w:r>
        <w:rPr>
          <w:rFonts w:hint="eastAsia" w:ascii="仿宋" w:hAnsi="仿宋" w:eastAsia="仿宋" w:cs="仿宋"/>
          <w:bCs/>
          <w:color w:val="auto"/>
          <w:sz w:val="28"/>
          <w:szCs w:val="28"/>
        </w:rPr>
        <w:t>六、成交原则</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成交原则：在不超项目总金额4.8万元的基础上，</w:t>
      </w:r>
      <w:r>
        <w:rPr>
          <w:rFonts w:hint="eastAsia" w:ascii="仿宋" w:hAnsi="仿宋" w:eastAsia="仿宋" w:cs="仿宋"/>
          <w:bCs/>
          <w:color w:val="FF0000"/>
          <w:sz w:val="28"/>
          <w:szCs w:val="28"/>
          <w:lang w:val="en-US" w:eastAsia="zh-CN"/>
        </w:rPr>
        <w:t>下浮率低价中标</w:t>
      </w:r>
      <w:r>
        <w:rPr>
          <w:rFonts w:hint="eastAsia" w:ascii="仿宋" w:hAnsi="仿宋" w:eastAsia="仿宋" w:cs="仿宋"/>
          <w:bCs/>
          <w:color w:val="FF0000"/>
          <w:sz w:val="28"/>
          <w:szCs w:val="28"/>
        </w:rPr>
        <w:t>原则</w:t>
      </w: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报价一</w:t>
      </w:r>
      <w:r>
        <w:rPr>
          <w:rFonts w:hint="eastAsia" w:ascii="仿宋" w:hAnsi="仿宋" w:eastAsia="仿宋" w:cs="仿宋"/>
          <w:bCs/>
          <w:sz w:val="28"/>
          <w:szCs w:val="28"/>
        </w:rPr>
        <w:t>经我公司认可，即为签订合同的最终依据。</w:t>
      </w:r>
    </w:p>
    <w:p>
      <w:pPr>
        <w:widowControl/>
        <w:shd w:val="clear" w:color="auto" w:fill="FFFFFF"/>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七、联系方法</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单位名称：南方电网云南电动汽车服务有限公司</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地址：云南省昆明市五华区江岸小区丽江路65号3号楼</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项目联系人：盛女士</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电话：15969094137</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邮箱：650011</w:t>
      </w:r>
    </w:p>
    <w:p>
      <w:pPr>
        <w:spacing w:line="52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附件：1.报价文件格式</w:t>
      </w:r>
    </w:p>
    <w:p>
      <w:pPr>
        <w:spacing w:line="520" w:lineRule="exact"/>
        <w:ind w:firstLine="560" w:firstLineChars="200"/>
        <w:rPr>
          <w:rFonts w:hint="eastAsia"/>
          <w:lang w:eastAsia="zh-CN"/>
        </w:rPr>
        <w:sectPr>
          <w:footerReference r:id="rId3" w:type="default"/>
          <w:pgSz w:w="11910" w:h="16850"/>
          <w:pgMar w:top="1432" w:right="1692" w:bottom="1474" w:left="1786" w:header="0" w:footer="1257" w:gutter="0"/>
          <w:cols w:space="720" w:num="1"/>
        </w:sectPr>
      </w:pPr>
      <w:r>
        <w:rPr>
          <w:rFonts w:hint="eastAsia" w:ascii="仿宋" w:hAnsi="仿宋" w:eastAsia="仿宋" w:cs="仿宋"/>
          <w:bCs/>
          <w:sz w:val="28"/>
          <w:szCs w:val="28"/>
        </w:rPr>
        <w:t xml:space="preserve">      2.其他企业服务资质证明材料</w:t>
      </w:r>
    </w:p>
    <w:p/>
    <w:p>
      <w:pPr>
        <w:pStyle w:val="2"/>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附件1：报价文件格式</w:t>
      </w: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rPr>
      </w:pPr>
    </w:p>
    <w:p>
      <w:pPr>
        <w:snapToGrid w:val="0"/>
        <w:spacing w:line="520" w:lineRule="exact"/>
        <w:jc w:val="center"/>
        <w:rPr>
          <w:rFonts w:hint="eastAsia" w:ascii="黑体" w:hAnsi="黑体" w:eastAsia="黑体" w:cs="黑体"/>
          <w:bCs/>
          <w:sz w:val="44"/>
          <w:szCs w:val="44"/>
        </w:rPr>
      </w:pPr>
      <w:r>
        <w:rPr>
          <w:rFonts w:hint="eastAsia" w:ascii="方正小标宋_GBK" w:hAnsi="方正小标宋_GBK" w:eastAsia="方正小标宋_GBK" w:cs="方正小标宋_GBK"/>
          <w:bCs/>
          <w:sz w:val="44"/>
          <w:szCs w:val="44"/>
        </w:rPr>
        <w:t>南方电网云南电动汽车服务有限公司2025年度工程竣工决算审计服务</w:t>
      </w:r>
      <w:r>
        <w:rPr>
          <w:rFonts w:hint="eastAsia" w:ascii="方正小标宋_GBK" w:hAnsi="方正小标宋_GBK" w:eastAsia="方正小标宋_GBK" w:cs="方正小标宋_GBK"/>
          <w:sz w:val="44"/>
          <w:szCs w:val="44"/>
        </w:rPr>
        <w:t>项目</w:t>
      </w:r>
      <w:r>
        <w:rPr>
          <w:rFonts w:hint="eastAsia" w:ascii="方正小标宋简体" w:hAnsi="方正小标宋简体" w:eastAsia="方正小标宋简体" w:cs="方正小标宋简体"/>
          <w:bCs/>
          <w:sz w:val="44"/>
          <w:szCs w:val="44"/>
        </w:rPr>
        <w:t>采购</w:t>
      </w:r>
    </w:p>
    <w:p>
      <w:pPr>
        <w:pStyle w:val="2"/>
        <w:jc w:val="center"/>
        <w:rPr>
          <w:rFonts w:hint="eastAsia" w:ascii="黑体" w:hAnsi="黑体" w:eastAsia="黑体" w:cs="黑体"/>
          <w:bCs/>
          <w:sz w:val="32"/>
          <w:szCs w:val="32"/>
        </w:rPr>
      </w:pPr>
    </w:p>
    <w:p>
      <w:pPr>
        <w:pStyle w:val="2"/>
        <w:jc w:val="center"/>
        <w:rPr>
          <w:rFonts w:hint="eastAsia" w:ascii="黑体" w:hAnsi="黑体" w:eastAsia="黑体" w:cs="黑体"/>
          <w:bCs/>
          <w:sz w:val="32"/>
          <w:szCs w:val="32"/>
        </w:rPr>
      </w:pPr>
    </w:p>
    <w:p>
      <w:pPr>
        <w:pStyle w:val="2"/>
        <w:jc w:val="center"/>
        <w:rPr>
          <w:rFonts w:hint="eastAsia" w:ascii="黑体" w:hAnsi="黑体" w:eastAsia="黑体" w:cs="黑体"/>
          <w:bCs/>
          <w:sz w:val="32"/>
          <w:szCs w:val="32"/>
        </w:rPr>
      </w:pPr>
    </w:p>
    <w:p>
      <w:pPr>
        <w:pStyle w:val="2"/>
        <w:jc w:val="center"/>
        <w:rPr>
          <w:rFonts w:hint="eastAsia" w:ascii="黑体" w:hAnsi="黑体" w:eastAsia="黑体" w:cs="黑体"/>
          <w:bCs/>
          <w:sz w:val="32"/>
          <w:szCs w:val="32"/>
        </w:rPr>
      </w:pPr>
    </w:p>
    <w:p>
      <w:pPr>
        <w:pStyle w:val="2"/>
        <w:jc w:val="center"/>
        <w:rPr>
          <w:rFonts w:hint="eastAsia" w:ascii="黑体" w:hAnsi="黑体" w:eastAsia="黑体" w:cs="黑体"/>
          <w:bCs/>
          <w:sz w:val="44"/>
          <w:szCs w:val="44"/>
        </w:rPr>
      </w:pPr>
      <w:r>
        <w:rPr>
          <w:rFonts w:hint="eastAsia" w:ascii="黑体" w:hAnsi="黑体" w:eastAsia="黑体" w:cs="黑体"/>
          <w:bCs/>
          <w:sz w:val="44"/>
          <w:szCs w:val="44"/>
        </w:rPr>
        <w:t>报价文件</w:t>
      </w: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rPr>
      </w:pPr>
    </w:p>
    <w:p>
      <w:pPr>
        <w:pStyle w:val="2"/>
        <w:rPr>
          <w:rFonts w:hint="eastAsia" w:ascii="方正小标宋简体" w:hAnsi="方正小标宋简体" w:eastAsia="方正小标宋简体" w:cs="方正小标宋简体"/>
          <w:bCs/>
          <w:sz w:val="32"/>
          <w:szCs w:val="32"/>
          <w:u w:val="single"/>
        </w:rPr>
      </w:pPr>
    </w:p>
    <w:p>
      <w:pPr>
        <w:pStyle w:val="2"/>
        <w:ind w:firstLine="1120" w:firstLineChars="350"/>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hint="eastAsia"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
      <w:pPr>
        <w:pStyle w:val="4"/>
      </w:pPr>
    </w:p>
    <w:p>
      <w:pPr>
        <w:pStyle w:val="2"/>
        <w:numPr>
          <w:ilvl w:val="0"/>
          <w:numId w:val="1"/>
        </w:numPr>
        <w:spacing w:after="0" w:line="360" w:lineRule="auto"/>
        <w:rPr>
          <w:rFonts w:hint="eastAsia" w:ascii="黑体" w:hAnsi="黑体" w:eastAsia="黑体" w:cs="黑体"/>
          <w:bCs/>
          <w:sz w:val="30"/>
          <w:szCs w:val="30"/>
        </w:rPr>
      </w:pPr>
      <w:r>
        <w:rPr>
          <w:rFonts w:hint="eastAsia" w:ascii="黑体" w:hAnsi="黑体" w:eastAsia="黑体" w:cs="黑体"/>
          <w:bCs/>
          <w:sz w:val="30"/>
          <w:szCs w:val="30"/>
        </w:rPr>
        <w:t>报价表</w:t>
      </w:r>
    </w:p>
    <w:tbl>
      <w:tblPr>
        <w:tblStyle w:val="22"/>
        <w:tblW w:w="9017" w:type="dxa"/>
        <w:tblInd w:w="153"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1825"/>
        <w:gridCol w:w="2966"/>
        <w:gridCol w:w="1051"/>
        <w:gridCol w:w="1422"/>
        <w:gridCol w:w="175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498" w:hRule="atLeast"/>
        </w:trPr>
        <w:tc>
          <w:tcPr>
            <w:tcW w:w="1825" w:type="dxa"/>
          </w:tcPr>
          <w:p>
            <w:pPr>
              <w:pStyle w:val="21"/>
              <w:spacing w:before="141" w:line="219" w:lineRule="auto"/>
              <w:ind w:left="598"/>
              <w:jc w:val="both"/>
              <w:rPr>
                <w:rFonts w:hint="eastAsia"/>
              </w:rPr>
            </w:pPr>
            <w:r>
              <w:rPr>
                <w:b/>
                <w:bCs/>
                <w:spacing w:val="-5"/>
              </w:rPr>
              <w:t>类型</w:t>
            </w:r>
          </w:p>
        </w:tc>
        <w:tc>
          <w:tcPr>
            <w:tcW w:w="2966" w:type="dxa"/>
          </w:tcPr>
          <w:p>
            <w:pPr>
              <w:pStyle w:val="21"/>
              <w:spacing w:before="141" w:line="219" w:lineRule="auto"/>
              <w:ind w:left="415"/>
              <w:jc w:val="center"/>
              <w:rPr>
                <w:rFonts w:hint="eastAsia"/>
                <w:lang w:eastAsia="zh-CN"/>
              </w:rPr>
            </w:pPr>
            <w:r>
              <w:rPr>
                <w:b/>
                <w:bCs/>
                <w:spacing w:val="1"/>
                <w:lang w:eastAsia="zh-CN"/>
              </w:rPr>
              <w:t>项目送审决算金额(含税)</w:t>
            </w:r>
          </w:p>
        </w:tc>
        <w:tc>
          <w:tcPr>
            <w:tcW w:w="1051" w:type="dxa"/>
          </w:tcPr>
          <w:p>
            <w:pPr>
              <w:pStyle w:val="21"/>
              <w:spacing w:before="141" w:line="219" w:lineRule="auto"/>
              <w:ind w:left="99"/>
              <w:jc w:val="center"/>
              <w:rPr>
                <w:rFonts w:hint="eastAsia"/>
              </w:rPr>
            </w:pPr>
            <w:r>
              <w:rPr>
                <w:b/>
                <w:bCs/>
                <w:spacing w:val="-5"/>
              </w:rPr>
              <w:t>最高费率</w:t>
            </w:r>
          </w:p>
        </w:tc>
        <w:tc>
          <w:tcPr>
            <w:tcW w:w="1422" w:type="dxa"/>
          </w:tcPr>
          <w:p>
            <w:pPr>
              <w:pStyle w:val="21"/>
              <w:spacing w:before="31" w:line="219" w:lineRule="auto"/>
              <w:ind w:left="211" w:firstLine="209" w:firstLineChars="100"/>
              <w:rPr>
                <w:rFonts w:hint="eastAsia"/>
              </w:rPr>
            </w:pPr>
            <w:r>
              <w:rPr>
                <w:b/>
                <w:bCs/>
                <w:spacing w:val="-6"/>
              </w:rPr>
              <w:t>下浮率</w:t>
            </w:r>
          </w:p>
        </w:tc>
        <w:tc>
          <w:tcPr>
            <w:tcW w:w="1753" w:type="dxa"/>
          </w:tcPr>
          <w:p>
            <w:pPr>
              <w:pStyle w:val="21"/>
              <w:spacing w:before="31" w:line="219" w:lineRule="auto"/>
              <w:ind w:left="211" w:firstLine="418" w:firstLineChars="200"/>
              <w:rPr>
                <w:rFonts w:hint="eastAsia"/>
                <w:b/>
                <w:bCs/>
                <w:spacing w:val="-6"/>
                <w:lang w:eastAsia="zh-CN"/>
              </w:rPr>
            </w:pPr>
            <w:r>
              <w:rPr>
                <w:rFonts w:hint="eastAsia"/>
                <w:b/>
                <w:bCs/>
                <w:spacing w:val="-6"/>
                <w:lang w:eastAsia="zh-CN"/>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1290" w:hRule="atLeast"/>
        </w:trPr>
        <w:tc>
          <w:tcPr>
            <w:tcW w:w="1825" w:type="dxa"/>
            <w:vMerge w:val="restart"/>
            <w:tcBorders>
              <w:bottom w:val="nil"/>
            </w:tcBorders>
          </w:tcPr>
          <w:p>
            <w:pPr>
              <w:pStyle w:val="21"/>
              <w:spacing w:before="71" w:line="219" w:lineRule="auto"/>
              <w:jc w:val="center"/>
              <w:rPr>
                <w:rFonts w:hint="eastAsia"/>
                <w:sz w:val="21"/>
                <w:szCs w:val="21"/>
                <w:lang w:eastAsia="zh-CN"/>
              </w:rPr>
            </w:pPr>
            <w:r>
              <w:rPr>
                <w:spacing w:val="1"/>
                <w:sz w:val="21"/>
                <w:szCs w:val="21"/>
                <w:lang w:eastAsia="zh-CN"/>
              </w:rPr>
              <w:t>35千伏及以下电</w:t>
            </w:r>
          </w:p>
          <w:p>
            <w:pPr>
              <w:pStyle w:val="21"/>
              <w:spacing w:before="50" w:line="219" w:lineRule="auto"/>
              <w:ind w:left="45"/>
              <w:jc w:val="center"/>
              <w:rPr>
                <w:rFonts w:hint="eastAsia"/>
                <w:sz w:val="21"/>
                <w:szCs w:val="21"/>
                <w:lang w:eastAsia="zh-CN"/>
              </w:rPr>
            </w:pPr>
            <w:r>
              <w:rPr>
                <w:spacing w:val="1"/>
                <w:sz w:val="21"/>
                <w:szCs w:val="21"/>
                <w:lang w:eastAsia="zh-CN"/>
              </w:rPr>
              <w:t>网基建工程竣工</w:t>
            </w:r>
          </w:p>
          <w:p>
            <w:pPr>
              <w:pStyle w:val="21"/>
              <w:spacing w:before="18" w:line="219" w:lineRule="auto"/>
              <w:ind w:left="45"/>
              <w:jc w:val="center"/>
              <w:rPr>
                <w:rFonts w:hint="eastAsia"/>
                <w:sz w:val="21"/>
                <w:szCs w:val="21"/>
                <w:lang w:eastAsia="zh-CN"/>
              </w:rPr>
            </w:pPr>
            <w:r>
              <w:rPr>
                <w:spacing w:val="2"/>
                <w:sz w:val="21"/>
                <w:szCs w:val="21"/>
                <w:lang w:eastAsia="zh-CN"/>
              </w:rPr>
              <w:t>决算审计，或总</w:t>
            </w:r>
          </w:p>
          <w:p>
            <w:pPr>
              <w:pStyle w:val="21"/>
              <w:spacing w:before="60" w:line="220" w:lineRule="auto"/>
              <w:ind w:left="45"/>
              <w:jc w:val="center"/>
              <w:rPr>
                <w:rFonts w:hint="eastAsia"/>
                <w:sz w:val="21"/>
                <w:szCs w:val="21"/>
                <w:lang w:eastAsia="zh-CN"/>
              </w:rPr>
            </w:pPr>
            <w:r>
              <w:rPr>
                <w:spacing w:val="2"/>
                <w:sz w:val="21"/>
                <w:szCs w:val="21"/>
                <w:lang w:eastAsia="zh-CN"/>
              </w:rPr>
              <w:t>投资1000万元以</w:t>
            </w:r>
          </w:p>
          <w:p>
            <w:pPr>
              <w:pStyle w:val="21"/>
              <w:spacing w:before="37" w:line="220" w:lineRule="auto"/>
              <w:ind w:left="45"/>
              <w:jc w:val="center"/>
              <w:rPr>
                <w:rFonts w:hint="eastAsia"/>
                <w:sz w:val="21"/>
                <w:szCs w:val="21"/>
                <w:lang w:eastAsia="zh-CN"/>
              </w:rPr>
            </w:pPr>
            <w:r>
              <w:rPr>
                <w:spacing w:val="1"/>
                <w:sz w:val="21"/>
                <w:szCs w:val="21"/>
                <w:lang w:eastAsia="zh-CN"/>
              </w:rPr>
              <w:t>下小型基建工程</w:t>
            </w:r>
          </w:p>
          <w:p>
            <w:pPr>
              <w:pStyle w:val="21"/>
              <w:spacing w:before="18" w:line="219" w:lineRule="auto"/>
              <w:ind w:left="154"/>
              <w:jc w:val="center"/>
              <w:rPr>
                <w:rFonts w:hint="eastAsia"/>
                <w:lang w:eastAsia="zh-CN"/>
              </w:rPr>
            </w:pPr>
            <w:r>
              <w:rPr>
                <w:spacing w:val="-2"/>
                <w:sz w:val="21"/>
                <w:szCs w:val="21"/>
                <w:lang w:eastAsia="zh-CN"/>
              </w:rPr>
              <w:t>竣工决算审计</w:t>
            </w:r>
          </w:p>
        </w:tc>
        <w:tc>
          <w:tcPr>
            <w:tcW w:w="2966" w:type="dxa"/>
          </w:tcPr>
          <w:p>
            <w:pPr>
              <w:pStyle w:val="21"/>
              <w:spacing w:before="96" w:line="219" w:lineRule="auto"/>
              <w:ind w:left="802"/>
              <w:jc w:val="center"/>
              <w:rPr>
                <w:rFonts w:hint="eastAsia"/>
              </w:rPr>
            </w:pPr>
            <w:r>
              <w:rPr>
                <w:spacing w:val="1"/>
              </w:rPr>
              <w:t>100万元(含)以下</w:t>
            </w:r>
          </w:p>
        </w:tc>
        <w:tc>
          <w:tcPr>
            <w:tcW w:w="1051" w:type="dxa"/>
          </w:tcPr>
          <w:p>
            <w:pPr>
              <w:pStyle w:val="21"/>
              <w:spacing w:before="152" w:line="183" w:lineRule="auto"/>
              <w:ind w:left="425"/>
              <w:jc w:val="center"/>
              <w:rPr>
                <w:rFonts w:hint="eastAsia" w:eastAsia="宋体"/>
                <w:color w:val="FF0000"/>
                <w:lang w:eastAsia="zh-CN"/>
              </w:rPr>
            </w:pPr>
            <w:r>
              <w:rPr>
                <w:color w:val="FF0000"/>
                <w:spacing w:val="-3"/>
              </w:rPr>
              <w:t>2</w:t>
            </w:r>
            <w:r>
              <w:rPr>
                <w:rFonts w:hint="eastAsia"/>
                <w:color w:val="FF0000"/>
                <w:spacing w:val="-3"/>
                <w:lang w:val="en-US" w:eastAsia="zh-CN"/>
              </w:rPr>
              <w:t>‰</w:t>
            </w:r>
          </w:p>
        </w:tc>
        <w:tc>
          <w:tcPr>
            <w:tcW w:w="1422" w:type="dxa"/>
          </w:tcPr>
          <w:p>
            <w:pPr>
              <w:pStyle w:val="21"/>
              <w:spacing w:before="152" w:line="183" w:lineRule="auto"/>
              <w:jc w:val="center"/>
              <w:rPr>
                <w:rFonts w:hint="eastAsia"/>
              </w:rPr>
            </w:pPr>
          </w:p>
        </w:tc>
        <w:tc>
          <w:tcPr>
            <w:tcW w:w="1753" w:type="dxa"/>
            <w:vMerge w:val="restart"/>
          </w:tcPr>
          <w:p>
            <w:pPr>
              <w:pStyle w:val="21"/>
              <w:spacing w:before="152" w:line="183" w:lineRule="auto"/>
              <w:jc w:val="center"/>
              <w:rPr>
                <w:rFonts w:hint="eastAsia"/>
                <w:lang w:eastAsia="zh-CN"/>
              </w:rPr>
            </w:pPr>
            <w:r>
              <w:rPr>
                <w:rFonts w:hint="eastAsia"/>
                <w:lang w:eastAsia="zh-CN"/>
              </w:rPr>
              <w:t>1.</w:t>
            </w:r>
            <w:r>
              <w:rPr>
                <w:rFonts w:hint="eastAsia"/>
                <w:lang w:val="en-US" w:eastAsia="zh-CN"/>
              </w:rPr>
              <w:t>本表中</w:t>
            </w:r>
            <w:r>
              <w:rPr>
                <w:rFonts w:hint="eastAsia"/>
                <w:lang w:eastAsia="zh-CN"/>
              </w:rPr>
              <w:t>三档项目送审决算金额（含税）最高费率</w:t>
            </w:r>
            <w:r>
              <w:rPr>
                <w:rFonts w:hint="eastAsia"/>
                <w:lang w:val="en-US" w:eastAsia="zh-CN"/>
              </w:rPr>
              <w:t>为固定值</w:t>
            </w:r>
            <w:r>
              <w:rPr>
                <w:rFonts w:hint="eastAsia"/>
                <w:lang w:eastAsia="zh-CN"/>
              </w:rPr>
              <w:t>，</w:t>
            </w:r>
            <w:r>
              <w:rPr>
                <w:rFonts w:hint="eastAsia"/>
                <w:lang w:val="en-US" w:eastAsia="zh-CN"/>
              </w:rPr>
              <w:t>不得重新报价</w:t>
            </w:r>
            <w:r>
              <w:rPr>
                <w:rFonts w:hint="eastAsia"/>
                <w:lang w:eastAsia="zh-CN"/>
              </w:rPr>
              <w:t>。</w:t>
            </w:r>
          </w:p>
          <w:p>
            <w:pPr>
              <w:pStyle w:val="21"/>
              <w:spacing w:before="152" w:line="183" w:lineRule="auto"/>
              <w:jc w:val="center"/>
              <w:rPr>
                <w:rFonts w:hint="eastAsia"/>
                <w:lang w:eastAsia="zh-CN"/>
              </w:rPr>
            </w:pPr>
            <w:r>
              <w:rPr>
                <w:rFonts w:hint="eastAsia"/>
                <w:lang w:eastAsia="zh-CN"/>
              </w:rPr>
              <w:t>2.</w:t>
            </w:r>
            <w:r>
              <w:rPr>
                <w:rFonts w:hint="eastAsia"/>
                <w:lang w:val="en-US" w:eastAsia="zh-CN"/>
              </w:rPr>
              <w:t>本表中</w:t>
            </w:r>
            <w:r>
              <w:rPr>
                <w:rFonts w:hint="eastAsia"/>
                <w:lang w:eastAsia="zh-CN"/>
              </w:rPr>
              <w:t>三档项目送审决算金额（含税）下浮率</w:t>
            </w:r>
            <w:r>
              <w:rPr>
                <w:rFonts w:hint="eastAsia"/>
                <w:lang w:val="en-US" w:eastAsia="zh-CN"/>
              </w:rPr>
              <w:t>需报价，且三档下浮率须一致</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1681" w:hRule="atLeast"/>
        </w:trPr>
        <w:tc>
          <w:tcPr>
            <w:tcW w:w="1825" w:type="dxa"/>
            <w:vMerge w:val="continue"/>
            <w:tcBorders>
              <w:top w:val="nil"/>
              <w:bottom w:val="nil"/>
            </w:tcBorders>
          </w:tcPr>
          <w:p>
            <w:pPr>
              <w:rPr>
                <w:rFonts w:ascii="Arial"/>
              </w:rPr>
            </w:pPr>
          </w:p>
        </w:tc>
        <w:tc>
          <w:tcPr>
            <w:tcW w:w="2966" w:type="dxa"/>
          </w:tcPr>
          <w:p>
            <w:pPr>
              <w:pStyle w:val="21"/>
              <w:spacing w:before="97" w:line="219" w:lineRule="auto"/>
              <w:ind w:left="582"/>
              <w:rPr>
                <w:rFonts w:hint="eastAsia"/>
              </w:rPr>
            </w:pPr>
            <w:r>
              <w:rPr>
                <w:spacing w:val="3"/>
              </w:rPr>
              <w:t>100万元-500万元(含)</w:t>
            </w:r>
          </w:p>
        </w:tc>
        <w:tc>
          <w:tcPr>
            <w:tcW w:w="1051" w:type="dxa"/>
          </w:tcPr>
          <w:p>
            <w:pPr>
              <w:pStyle w:val="21"/>
              <w:spacing w:before="152" w:line="184" w:lineRule="auto"/>
              <w:ind w:left="315"/>
              <w:jc w:val="center"/>
              <w:rPr>
                <w:rFonts w:hint="eastAsia"/>
                <w:color w:val="FF0000"/>
              </w:rPr>
            </w:pPr>
            <w:r>
              <w:rPr>
                <w:color w:val="FF0000"/>
                <w:spacing w:val="-5"/>
              </w:rPr>
              <w:t>1.5</w:t>
            </w:r>
            <w:r>
              <w:rPr>
                <w:rFonts w:hint="eastAsia"/>
                <w:color w:val="FF0000"/>
                <w:spacing w:val="-3"/>
                <w:lang w:val="en-US" w:eastAsia="zh-CN"/>
              </w:rPr>
              <w:t>‰</w:t>
            </w:r>
          </w:p>
        </w:tc>
        <w:tc>
          <w:tcPr>
            <w:tcW w:w="1422" w:type="dxa"/>
          </w:tcPr>
          <w:p>
            <w:pPr>
              <w:pStyle w:val="21"/>
              <w:spacing w:before="153" w:line="183" w:lineRule="auto"/>
              <w:rPr>
                <w:rFonts w:hint="eastAsia"/>
              </w:rPr>
            </w:pPr>
          </w:p>
        </w:tc>
        <w:tc>
          <w:tcPr>
            <w:tcW w:w="1753" w:type="dxa"/>
            <w:vMerge w:val="continue"/>
          </w:tcPr>
          <w:p>
            <w:pPr>
              <w:pStyle w:val="21"/>
              <w:spacing w:before="153" w:line="183" w:lineRule="auto"/>
              <w:rPr>
                <w:rFonts w:hint="eastAsia"/>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792" w:hRule="atLeast"/>
        </w:trPr>
        <w:tc>
          <w:tcPr>
            <w:tcW w:w="1825" w:type="dxa"/>
            <w:vMerge w:val="continue"/>
            <w:tcBorders>
              <w:top w:val="nil"/>
            </w:tcBorders>
          </w:tcPr>
          <w:p>
            <w:pPr>
              <w:rPr>
                <w:rFonts w:ascii="Arial"/>
              </w:rPr>
            </w:pPr>
          </w:p>
        </w:tc>
        <w:tc>
          <w:tcPr>
            <w:tcW w:w="2966" w:type="dxa"/>
          </w:tcPr>
          <w:p>
            <w:pPr>
              <w:pStyle w:val="21"/>
              <w:spacing w:before="107" w:line="219" w:lineRule="auto"/>
              <w:ind w:left="522"/>
              <w:rPr>
                <w:rFonts w:hint="eastAsia"/>
              </w:rPr>
            </w:pPr>
            <w:r>
              <w:rPr>
                <w:spacing w:val="3"/>
              </w:rPr>
              <w:t>500万元-1000万元(含)</w:t>
            </w:r>
          </w:p>
        </w:tc>
        <w:tc>
          <w:tcPr>
            <w:tcW w:w="1051" w:type="dxa"/>
          </w:tcPr>
          <w:p>
            <w:pPr>
              <w:pStyle w:val="21"/>
              <w:spacing w:before="162" w:line="184" w:lineRule="auto"/>
              <w:ind w:left="425"/>
              <w:jc w:val="center"/>
              <w:rPr>
                <w:rFonts w:hint="eastAsia"/>
                <w:color w:val="FF0000"/>
              </w:rPr>
            </w:pPr>
            <w:r>
              <w:rPr>
                <w:color w:val="FF0000"/>
                <w:spacing w:val="-7"/>
              </w:rPr>
              <w:t>1</w:t>
            </w:r>
            <w:r>
              <w:rPr>
                <w:rFonts w:hint="eastAsia"/>
                <w:color w:val="FF0000"/>
                <w:spacing w:val="-3"/>
                <w:lang w:val="en-US" w:eastAsia="zh-CN"/>
              </w:rPr>
              <w:t>‰</w:t>
            </w:r>
          </w:p>
        </w:tc>
        <w:tc>
          <w:tcPr>
            <w:tcW w:w="1422" w:type="dxa"/>
          </w:tcPr>
          <w:p>
            <w:pPr>
              <w:pStyle w:val="21"/>
              <w:spacing w:before="163" w:line="183" w:lineRule="auto"/>
              <w:ind w:left="367"/>
              <w:rPr>
                <w:rFonts w:hint="eastAsia"/>
              </w:rPr>
            </w:pPr>
          </w:p>
        </w:tc>
        <w:tc>
          <w:tcPr>
            <w:tcW w:w="1753" w:type="dxa"/>
            <w:vMerge w:val="continue"/>
          </w:tcPr>
          <w:p>
            <w:pPr>
              <w:pStyle w:val="21"/>
              <w:spacing w:before="163" w:line="183" w:lineRule="auto"/>
              <w:ind w:left="367"/>
              <w:rPr>
                <w:rFonts w:hint="eastAsia"/>
              </w:rPr>
            </w:pPr>
          </w:p>
        </w:tc>
      </w:tr>
    </w:tbl>
    <w:p>
      <w:pPr>
        <w:pStyle w:val="2"/>
        <w:spacing w:after="0" w:line="360" w:lineRule="auto"/>
        <w:rPr>
          <w:rFonts w:hint="eastAsia" w:ascii="黑体" w:hAnsi="黑体" w:eastAsia="黑体" w:cs="黑体"/>
          <w:bCs/>
          <w:sz w:val="30"/>
          <w:szCs w:val="30"/>
        </w:rPr>
      </w:pPr>
    </w:p>
    <w:p>
      <w:pPr>
        <w:pStyle w:val="2"/>
        <w:spacing w:after="0" w:line="360" w:lineRule="auto"/>
        <w:rPr>
          <w:rFonts w:hint="eastAsia" w:ascii="黑体" w:hAnsi="黑体" w:eastAsia="黑体" w:cs="黑体"/>
          <w:bCs/>
          <w:sz w:val="30"/>
          <w:szCs w:val="30"/>
        </w:rPr>
      </w:pPr>
    </w:p>
    <w:p>
      <w:pPr>
        <w:pStyle w:val="2"/>
        <w:spacing w:after="0" w:line="360" w:lineRule="auto"/>
        <w:rPr>
          <w:rFonts w:hint="eastAsia" w:ascii="黑体" w:hAnsi="黑体" w:eastAsia="黑体" w:cs="黑体"/>
          <w:bCs/>
          <w:sz w:val="30"/>
          <w:szCs w:val="30"/>
        </w:rPr>
      </w:pPr>
    </w:p>
    <w:p>
      <w:pPr>
        <w:rPr>
          <w:rFonts w:hint="eastAsia" w:ascii="黑体" w:hAnsi="黑体" w:eastAsia="黑体" w:cs="黑体"/>
          <w:bCs/>
          <w:sz w:val="30"/>
          <w:szCs w:val="30"/>
        </w:rPr>
      </w:pPr>
    </w:p>
    <w:p>
      <w:pPr>
        <w:pStyle w:val="4"/>
        <w:rPr>
          <w:rFonts w:hint="eastAsia" w:ascii="黑体" w:hAnsi="黑体" w:eastAsia="黑体" w:cs="黑体"/>
          <w:bCs/>
          <w:sz w:val="30"/>
          <w:szCs w:val="30"/>
        </w:rPr>
      </w:pPr>
    </w:p>
    <w:p>
      <w:pPr>
        <w:rPr>
          <w:rFonts w:hint="eastAsia" w:ascii="黑体" w:hAnsi="黑体" w:eastAsia="黑体" w:cs="黑体"/>
          <w:bCs/>
          <w:sz w:val="30"/>
          <w:szCs w:val="30"/>
        </w:rPr>
      </w:pPr>
    </w:p>
    <w:p>
      <w:pPr>
        <w:pStyle w:val="4"/>
        <w:rPr>
          <w:rFonts w:hint="eastAsia" w:ascii="黑体" w:hAnsi="黑体" w:eastAsia="黑体" w:cs="黑体"/>
          <w:bCs/>
          <w:sz w:val="30"/>
          <w:szCs w:val="30"/>
        </w:rPr>
      </w:pPr>
    </w:p>
    <w:p>
      <w:pPr>
        <w:rPr>
          <w:rFonts w:hint="eastAsia" w:ascii="黑体" w:hAnsi="黑体" w:eastAsia="黑体" w:cs="黑体"/>
          <w:bCs/>
          <w:sz w:val="30"/>
          <w:szCs w:val="30"/>
        </w:rPr>
      </w:pPr>
    </w:p>
    <w:p>
      <w:pPr>
        <w:pStyle w:val="4"/>
        <w:rPr>
          <w:rFonts w:hint="eastAsia" w:ascii="黑体" w:hAnsi="黑体" w:eastAsia="黑体" w:cs="黑体"/>
          <w:bCs/>
          <w:sz w:val="30"/>
          <w:szCs w:val="30"/>
        </w:rPr>
      </w:pPr>
    </w:p>
    <w:p>
      <w:pPr>
        <w:rPr>
          <w:rFonts w:hint="eastAsia" w:ascii="黑体" w:hAnsi="黑体" w:eastAsia="黑体" w:cs="黑体"/>
          <w:bCs/>
          <w:sz w:val="30"/>
          <w:szCs w:val="30"/>
        </w:rPr>
      </w:pPr>
    </w:p>
    <w:p>
      <w:pPr>
        <w:pStyle w:val="4"/>
        <w:rPr>
          <w:rFonts w:hint="eastAsia" w:ascii="黑体" w:hAnsi="黑体" w:eastAsia="黑体" w:cs="黑体"/>
          <w:bCs/>
          <w:sz w:val="30"/>
          <w:szCs w:val="30"/>
        </w:rPr>
      </w:pPr>
    </w:p>
    <w:p>
      <w:pPr>
        <w:rPr>
          <w:rFonts w:hint="eastAsia" w:ascii="黑体" w:hAnsi="黑体" w:eastAsia="黑体" w:cs="黑体"/>
          <w:bCs/>
          <w:sz w:val="30"/>
          <w:szCs w:val="30"/>
        </w:rPr>
      </w:pPr>
    </w:p>
    <w:p>
      <w:pPr>
        <w:pStyle w:val="2"/>
        <w:rPr>
          <w:rFonts w:hint="eastAsia"/>
        </w:rPr>
      </w:pPr>
    </w:p>
    <w:p>
      <w:pPr>
        <w:rPr>
          <w:rFonts w:hint="eastAsia" w:ascii="黑体" w:hAnsi="黑体" w:eastAsia="黑体" w:cs="黑体"/>
          <w:bCs/>
          <w:sz w:val="30"/>
          <w:szCs w:val="30"/>
        </w:rPr>
      </w:pPr>
    </w:p>
    <w:p>
      <w:pPr>
        <w:pStyle w:val="2"/>
        <w:spacing w:after="0" w:line="360" w:lineRule="auto"/>
        <w:rPr>
          <w:rFonts w:hint="eastAsia" w:ascii="黑体" w:hAnsi="黑体" w:eastAsia="黑体" w:cs="黑体"/>
          <w:bCs/>
          <w:sz w:val="30"/>
          <w:szCs w:val="30"/>
        </w:rPr>
      </w:pPr>
      <w:r>
        <w:rPr>
          <w:rFonts w:hint="eastAsia" w:ascii="黑体" w:hAnsi="黑体" w:eastAsia="黑体" w:cs="黑体"/>
          <w:bCs/>
          <w:sz w:val="30"/>
          <w:szCs w:val="30"/>
        </w:rPr>
        <w:t>附件2：其他企业服务资质证明材料</w:t>
      </w:r>
    </w:p>
    <w:p>
      <w:pPr>
        <w:pStyle w:val="2"/>
        <w:numPr>
          <w:ilvl w:val="0"/>
          <w:numId w:val="2"/>
        </w:numPr>
        <w:spacing w:after="0" w:line="360" w:lineRule="auto"/>
        <w:rPr>
          <w:rFonts w:hint="eastAsia" w:ascii="仿宋" w:hAnsi="仿宋" w:eastAsia="仿宋" w:cs="仿宋"/>
          <w:bCs/>
          <w:sz w:val="28"/>
          <w:szCs w:val="28"/>
        </w:rPr>
      </w:pPr>
      <w:r>
        <w:rPr>
          <w:rFonts w:hint="eastAsia" w:ascii="仿宋" w:hAnsi="仿宋" w:eastAsia="仿宋" w:cs="仿宋"/>
          <w:bCs/>
          <w:sz w:val="28"/>
          <w:szCs w:val="28"/>
        </w:rPr>
        <w:t>企业营业执照（加盖公章）PDF扫描件；</w:t>
      </w:r>
    </w:p>
    <w:p>
      <w:pPr>
        <w:pStyle w:val="2"/>
        <w:numPr>
          <w:ilvl w:val="0"/>
          <w:numId w:val="2"/>
        </w:numPr>
        <w:spacing w:after="0" w:line="360" w:lineRule="auto"/>
        <w:rPr>
          <w:rFonts w:hint="eastAsia" w:ascii="仿宋" w:hAnsi="仿宋" w:eastAsia="仿宋" w:cs="仿宋"/>
          <w:bCs/>
          <w:sz w:val="28"/>
          <w:szCs w:val="28"/>
        </w:rPr>
      </w:pPr>
      <w:r>
        <w:rPr>
          <w:rFonts w:ascii="仿宋" w:hAnsi="仿宋" w:eastAsia="仿宋" w:cs="仿宋"/>
          <w:bCs/>
          <w:sz w:val="28"/>
          <w:szCs w:val="28"/>
        </w:rPr>
        <w:t>项目负责人</w:t>
      </w:r>
      <w:r>
        <w:rPr>
          <w:rFonts w:hint="eastAsia" w:ascii="仿宋" w:hAnsi="仿宋" w:eastAsia="仿宋" w:cs="仿宋"/>
          <w:bCs/>
          <w:sz w:val="28"/>
          <w:szCs w:val="28"/>
        </w:rPr>
        <w:t>资质PDF扫描件；</w:t>
      </w:r>
    </w:p>
    <w:p>
      <w:pPr>
        <w:pStyle w:val="2"/>
        <w:numPr>
          <w:ilvl w:val="0"/>
          <w:numId w:val="2"/>
        </w:numPr>
        <w:spacing w:after="0" w:line="360" w:lineRule="auto"/>
        <w:rPr>
          <w:rFonts w:hint="eastAsia" w:ascii="仿宋" w:hAnsi="仿宋" w:eastAsia="仿宋" w:cs="仿宋"/>
          <w:bCs/>
          <w:sz w:val="28"/>
          <w:szCs w:val="28"/>
        </w:rPr>
      </w:pPr>
      <w:r>
        <w:rPr>
          <w:rFonts w:hint="eastAsia" w:ascii="仿宋" w:hAnsi="仿宋" w:eastAsia="仿宋" w:cs="仿宋"/>
          <w:bCs/>
          <w:sz w:val="28"/>
          <w:szCs w:val="28"/>
        </w:rPr>
        <w:t>企业资质</w:t>
      </w: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企业简介等</w:t>
      </w:r>
      <w:r>
        <w:rPr>
          <w:rFonts w:hint="eastAsia" w:ascii="仿宋" w:hAnsi="仿宋" w:eastAsia="仿宋" w:cs="仿宋"/>
          <w:bCs/>
          <w:sz w:val="28"/>
          <w:szCs w:val="28"/>
        </w:rPr>
        <w:t>PDF扫描件</w:t>
      </w: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技术规范书响应文件</w:t>
      </w:r>
      <w:r>
        <w:rPr>
          <w:rFonts w:hint="eastAsia" w:ascii="仿宋" w:hAnsi="仿宋" w:eastAsia="仿宋" w:cs="仿宋"/>
          <w:bCs/>
          <w:sz w:val="28"/>
          <w:szCs w:val="28"/>
        </w:rPr>
        <w:t>；</w:t>
      </w:r>
    </w:p>
    <w:p>
      <w:pPr>
        <w:pStyle w:val="2"/>
        <w:numPr>
          <w:ilvl w:val="0"/>
          <w:numId w:val="2"/>
        </w:numPr>
        <w:spacing w:after="0" w:line="360" w:lineRule="auto"/>
        <w:rPr>
          <w:rFonts w:hint="eastAsia" w:ascii="仿宋" w:hAnsi="仿宋" w:eastAsia="仿宋" w:cs="仿宋"/>
          <w:bCs/>
          <w:sz w:val="28"/>
          <w:szCs w:val="28"/>
        </w:rPr>
      </w:pPr>
      <w:r>
        <w:rPr>
          <w:rFonts w:hint="eastAsia" w:ascii="仿宋" w:hAnsi="仿宋" w:eastAsia="仿宋" w:cs="仿宋"/>
          <w:bCs/>
          <w:sz w:val="28"/>
          <w:szCs w:val="28"/>
        </w:rPr>
        <w:t>近三年类似业绩证明PDF扫描件</w:t>
      </w:r>
      <w:r>
        <w:rPr>
          <w:rFonts w:hint="eastAsia" w:ascii="仿宋" w:hAnsi="仿宋" w:eastAsia="仿宋" w:cs="仿宋"/>
          <w:bCs/>
          <w:sz w:val="28"/>
          <w:szCs w:val="28"/>
          <w:lang w:eastAsia="zh-CN"/>
        </w:rPr>
        <w:t>；</w:t>
      </w:r>
    </w:p>
    <w:p>
      <w:pPr>
        <w:pStyle w:val="2"/>
        <w:numPr>
          <w:ilvl w:val="0"/>
          <w:numId w:val="2"/>
        </w:numPr>
        <w:spacing w:after="0" w:line="360" w:lineRule="auto"/>
        <w:rPr>
          <w:rFonts w:hint="eastAsia" w:ascii="仿宋" w:hAnsi="仿宋" w:eastAsia="仿宋" w:cs="仿宋"/>
          <w:bCs/>
          <w:sz w:val="28"/>
          <w:szCs w:val="28"/>
        </w:rPr>
      </w:pPr>
      <w:r>
        <w:rPr>
          <w:rFonts w:hint="eastAsia" w:ascii="仿宋" w:hAnsi="仿宋" w:eastAsia="仿宋" w:cs="仿宋"/>
          <w:bCs/>
          <w:sz w:val="28"/>
          <w:szCs w:val="28"/>
          <w:lang w:val="en-US" w:eastAsia="zh-CN"/>
        </w:rPr>
        <w:t>专业技术人员截至2024年年检证明</w:t>
      </w:r>
      <w:r>
        <w:rPr>
          <w:rFonts w:hint="eastAsia" w:ascii="仿宋" w:hAnsi="仿宋" w:eastAsia="仿宋" w:cs="仿宋"/>
          <w:bCs/>
          <w:sz w:val="28"/>
          <w:szCs w:val="28"/>
        </w:rPr>
        <w:t>PDF扫描件</w:t>
      </w:r>
      <w:bookmarkStart w:id="0" w:name="_GoBack"/>
      <w:bookmarkEnd w:id="0"/>
      <w:r>
        <w:rPr>
          <w:rFonts w:hint="eastAsia" w:ascii="仿宋" w:hAnsi="仿宋" w:eastAsia="仿宋" w:cs="仿宋"/>
          <w:bCs/>
          <w:sz w:val="28"/>
          <w:szCs w:val="28"/>
        </w:rPr>
        <w:t>。</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auto"/>
    <w:pitch w:val="default"/>
    <w:sig w:usb0="00000000" w:usb1="00000000" w:usb2="0008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2" w:lineRule="auto"/>
      <w:ind w:left="3603"/>
      <w:rPr>
        <w:rFonts w:ascii="仿宋" w:hAnsi="仿宋" w:eastAsia="仿宋" w:cs="仿宋"/>
        <w:sz w:val="18"/>
        <w:szCs w:val="18"/>
      </w:rPr>
    </w:pPr>
    <w:r>
      <w:rPr>
        <w:rFonts w:ascii="仿宋" w:hAnsi="仿宋" w:eastAsia="仿宋" w:cs="仿宋"/>
        <w:spacing w:val="-12"/>
        <w:sz w:val="18"/>
        <w:szCs w:val="18"/>
      </w:rPr>
      <w:t>第 7</w:t>
    </w:r>
    <w:r>
      <w:rPr>
        <w:rFonts w:ascii="仿宋" w:hAnsi="仿宋" w:eastAsia="仿宋" w:cs="仿宋"/>
        <w:spacing w:val="4"/>
        <w:sz w:val="18"/>
        <w:szCs w:val="18"/>
      </w:rPr>
      <w:t xml:space="preserve"> </w:t>
    </w:r>
    <w:r>
      <w:rPr>
        <w:rFonts w:ascii="仿宋" w:hAnsi="仿宋" w:eastAsia="仿宋" w:cs="仿宋"/>
        <w:spacing w:val="-12"/>
        <w:sz w:val="18"/>
        <w:szCs w:val="18"/>
      </w:rPr>
      <w:t>页 共 2</w:t>
    </w:r>
    <w:r>
      <w:rPr>
        <w:rFonts w:ascii="仿宋" w:hAnsi="仿宋" w:eastAsia="仿宋" w:cs="仿宋"/>
        <w:spacing w:val="1"/>
        <w:sz w:val="18"/>
        <w:szCs w:val="18"/>
      </w:rPr>
      <w:t xml:space="preserve"> </w:t>
    </w:r>
    <w:r>
      <w:rPr>
        <w:rFonts w:ascii="仿宋" w:hAnsi="仿宋" w:eastAsia="仿宋" w:cs="仿宋"/>
        <w:spacing w:val="-12"/>
        <w:sz w:val="18"/>
        <w:szCs w:val="18"/>
      </w:rPr>
      <w:t>1</w:t>
    </w:r>
    <w:r>
      <w:rPr>
        <w:rFonts w:ascii="仿宋" w:hAnsi="仿宋" w:eastAsia="仿宋" w:cs="仿宋"/>
        <w:spacing w:val="2"/>
        <w:sz w:val="18"/>
        <w:szCs w:val="18"/>
      </w:rPr>
      <w:t xml:space="preserve"> </w:t>
    </w:r>
    <w:r>
      <w:rPr>
        <w:rFonts w:ascii="仿宋" w:hAnsi="仿宋" w:eastAsia="仿宋" w:cs="仿宋"/>
        <w:spacing w:val="-12"/>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4"/>
      </w:rPr>
    </w:pPr>
    <w:r>
      <w:rPr>
        <w:rStyle w:val="14"/>
      </w:rPr>
      <w:fldChar w:fldCharType="begin"/>
    </w:r>
    <w:r>
      <w:rPr>
        <w:rStyle w:val="14"/>
      </w:rPr>
      <w:instrText xml:space="preserve">PAGE  </w:instrText>
    </w:r>
    <w:r>
      <w:rPr>
        <w:rStyle w:val="14"/>
      </w:rPr>
      <w:fldChar w:fldCharType="separate"/>
    </w:r>
    <w:r>
      <w:rPr>
        <w:rStyle w:val="14"/>
      </w:rPr>
      <w:t>4</w:t>
    </w:r>
    <w:r>
      <w:rPr>
        <w:rStyle w:val="14"/>
      </w:rP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4237A0"/>
    <w:multiLevelType w:val="singleLevel"/>
    <w:tmpl w:val="2C4237A0"/>
    <w:lvl w:ilvl="0" w:tentative="0">
      <w:start w:val="1"/>
      <w:numFmt w:val="decimal"/>
      <w:lvlText w:val="%1."/>
      <w:lvlJc w:val="left"/>
      <w:pPr>
        <w:tabs>
          <w:tab w:val="left" w:pos="312"/>
        </w:tabs>
      </w:pPr>
    </w:lvl>
  </w:abstractNum>
  <w:abstractNum w:abstractNumId="1">
    <w:nsid w:val="5E72D628"/>
    <w:multiLevelType w:val="singleLevel"/>
    <w:tmpl w:val="5E72D628"/>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1A"/>
    <w:rsid w:val="000016E9"/>
    <w:rsid w:val="00022417"/>
    <w:rsid w:val="000257E0"/>
    <w:rsid w:val="00034A87"/>
    <w:rsid w:val="00034BAA"/>
    <w:rsid w:val="000352DA"/>
    <w:rsid w:val="00042C54"/>
    <w:rsid w:val="000659DE"/>
    <w:rsid w:val="00073B5F"/>
    <w:rsid w:val="00077495"/>
    <w:rsid w:val="00081703"/>
    <w:rsid w:val="000834C5"/>
    <w:rsid w:val="00096DEB"/>
    <w:rsid w:val="0009789B"/>
    <w:rsid w:val="000A244B"/>
    <w:rsid w:val="000A7AD2"/>
    <w:rsid w:val="000B1F14"/>
    <w:rsid w:val="000B36D2"/>
    <w:rsid w:val="000B716D"/>
    <w:rsid w:val="000C0963"/>
    <w:rsid w:val="000D2025"/>
    <w:rsid w:val="000D6032"/>
    <w:rsid w:val="000E537C"/>
    <w:rsid w:val="000E5912"/>
    <w:rsid w:val="00110362"/>
    <w:rsid w:val="00111E51"/>
    <w:rsid w:val="0011637B"/>
    <w:rsid w:val="00133425"/>
    <w:rsid w:val="001338AB"/>
    <w:rsid w:val="00140434"/>
    <w:rsid w:val="0016490A"/>
    <w:rsid w:val="001671ED"/>
    <w:rsid w:val="001706A5"/>
    <w:rsid w:val="00175691"/>
    <w:rsid w:val="001A5D67"/>
    <w:rsid w:val="001B04F7"/>
    <w:rsid w:val="001C4B46"/>
    <w:rsid w:val="001D27AC"/>
    <w:rsid w:val="001D29FF"/>
    <w:rsid w:val="001D41C4"/>
    <w:rsid w:val="001D4B66"/>
    <w:rsid w:val="001F780C"/>
    <w:rsid w:val="00206978"/>
    <w:rsid w:val="00213EEE"/>
    <w:rsid w:val="00232450"/>
    <w:rsid w:val="002355F1"/>
    <w:rsid w:val="002378EF"/>
    <w:rsid w:val="00261591"/>
    <w:rsid w:val="00263DD4"/>
    <w:rsid w:val="002641A9"/>
    <w:rsid w:val="00265490"/>
    <w:rsid w:val="002751CB"/>
    <w:rsid w:val="0029077A"/>
    <w:rsid w:val="00292C63"/>
    <w:rsid w:val="002A2AAC"/>
    <w:rsid w:val="002A4FA4"/>
    <w:rsid w:val="002B03C2"/>
    <w:rsid w:val="002B05A1"/>
    <w:rsid w:val="002B06BE"/>
    <w:rsid w:val="002B0858"/>
    <w:rsid w:val="002B3C9B"/>
    <w:rsid w:val="002C410B"/>
    <w:rsid w:val="002C6F31"/>
    <w:rsid w:val="002E2393"/>
    <w:rsid w:val="002E42FD"/>
    <w:rsid w:val="002E757A"/>
    <w:rsid w:val="002F1E98"/>
    <w:rsid w:val="002F5E62"/>
    <w:rsid w:val="002F6F98"/>
    <w:rsid w:val="00301264"/>
    <w:rsid w:val="003025D1"/>
    <w:rsid w:val="00307696"/>
    <w:rsid w:val="00313FEE"/>
    <w:rsid w:val="0032409C"/>
    <w:rsid w:val="0032468D"/>
    <w:rsid w:val="0032603B"/>
    <w:rsid w:val="003422F3"/>
    <w:rsid w:val="00344897"/>
    <w:rsid w:val="003558BF"/>
    <w:rsid w:val="003621AD"/>
    <w:rsid w:val="003629C9"/>
    <w:rsid w:val="003704A8"/>
    <w:rsid w:val="003756F0"/>
    <w:rsid w:val="0037575D"/>
    <w:rsid w:val="003A45ED"/>
    <w:rsid w:val="003A5809"/>
    <w:rsid w:val="003C36AE"/>
    <w:rsid w:val="003C43F3"/>
    <w:rsid w:val="00400585"/>
    <w:rsid w:val="004018CA"/>
    <w:rsid w:val="00404A20"/>
    <w:rsid w:val="00421292"/>
    <w:rsid w:val="00422DF3"/>
    <w:rsid w:val="00423E64"/>
    <w:rsid w:val="004241BC"/>
    <w:rsid w:val="004414BD"/>
    <w:rsid w:val="00441E9C"/>
    <w:rsid w:val="00444A70"/>
    <w:rsid w:val="00446C3E"/>
    <w:rsid w:val="00470AE7"/>
    <w:rsid w:val="0047195F"/>
    <w:rsid w:val="00473736"/>
    <w:rsid w:val="00475837"/>
    <w:rsid w:val="00492BEF"/>
    <w:rsid w:val="004939C5"/>
    <w:rsid w:val="004A3344"/>
    <w:rsid w:val="004B14B2"/>
    <w:rsid w:val="004B32C5"/>
    <w:rsid w:val="004B7353"/>
    <w:rsid w:val="004C5C3C"/>
    <w:rsid w:val="004D014C"/>
    <w:rsid w:val="004D0C95"/>
    <w:rsid w:val="004D1E16"/>
    <w:rsid w:val="004D2C9A"/>
    <w:rsid w:val="004F03F1"/>
    <w:rsid w:val="004F23A1"/>
    <w:rsid w:val="004F4453"/>
    <w:rsid w:val="00506CE6"/>
    <w:rsid w:val="00506D1D"/>
    <w:rsid w:val="00510907"/>
    <w:rsid w:val="00512BCC"/>
    <w:rsid w:val="005257F4"/>
    <w:rsid w:val="00530315"/>
    <w:rsid w:val="005417C8"/>
    <w:rsid w:val="00544BF0"/>
    <w:rsid w:val="00545878"/>
    <w:rsid w:val="005522BB"/>
    <w:rsid w:val="0055647D"/>
    <w:rsid w:val="00574CE4"/>
    <w:rsid w:val="0058186B"/>
    <w:rsid w:val="00581870"/>
    <w:rsid w:val="00584D6E"/>
    <w:rsid w:val="00591505"/>
    <w:rsid w:val="00592F07"/>
    <w:rsid w:val="00594BE5"/>
    <w:rsid w:val="005B091F"/>
    <w:rsid w:val="005B0A4C"/>
    <w:rsid w:val="005B2460"/>
    <w:rsid w:val="005C6ED8"/>
    <w:rsid w:val="005E437F"/>
    <w:rsid w:val="005E5654"/>
    <w:rsid w:val="005E5941"/>
    <w:rsid w:val="005F2703"/>
    <w:rsid w:val="005F3112"/>
    <w:rsid w:val="005F3A72"/>
    <w:rsid w:val="006017A6"/>
    <w:rsid w:val="00617B0E"/>
    <w:rsid w:val="00621A0A"/>
    <w:rsid w:val="006342D5"/>
    <w:rsid w:val="0063484F"/>
    <w:rsid w:val="00642BFD"/>
    <w:rsid w:val="00642C0B"/>
    <w:rsid w:val="00643AAE"/>
    <w:rsid w:val="00644DA8"/>
    <w:rsid w:val="00646FA6"/>
    <w:rsid w:val="0065646C"/>
    <w:rsid w:val="00664072"/>
    <w:rsid w:val="006655FF"/>
    <w:rsid w:val="006706B1"/>
    <w:rsid w:val="00670F3A"/>
    <w:rsid w:val="00687AD6"/>
    <w:rsid w:val="006A179B"/>
    <w:rsid w:val="006A5E04"/>
    <w:rsid w:val="006D2EED"/>
    <w:rsid w:val="006E0667"/>
    <w:rsid w:val="006E0EB6"/>
    <w:rsid w:val="006E104C"/>
    <w:rsid w:val="006E52B6"/>
    <w:rsid w:val="006F09BA"/>
    <w:rsid w:val="00702981"/>
    <w:rsid w:val="00702DE1"/>
    <w:rsid w:val="00703722"/>
    <w:rsid w:val="00705F89"/>
    <w:rsid w:val="00706AB8"/>
    <w:rsid w:val="00723C72"/>
    <w:rsid w:val="007242BE"/>
    <w:rsid w:val="0072750A"/>
    <w:rsid w:val="0073048C"/>
    <w:rsid w:val="00733B18"/>
    <w:rsid w:val="007450A4"/>
    <w:rsid w:val="0076087E"/>
    <w:rsid w:val="00774F0E"/>
    <w:rsid w:val="007750C0"/>
    <w:rsid w:val="00781FA1"/>
    <w:rsid w:val="0079035F"/>
    <w:rsid w:val="007976F2"/>
    <w:rsid w:val="007E5D6A"/>
    <w:rsid w:val="007F2C6A"/>
    <w:rsid w:val="007F4650"/>
    <w:rsid w:val="007F4CDD"/>
    <w:rsid w:val="007F5ABE"/>
    <w:rsid w:val="007F624C"/>
    <w:rsid w:val="00803901"/>
    <w:rsid w:val="0080787E"/>
    <w:rsid w:val="0081294A"/>
    <w:rsid w:val="0082593A"/>
    <w:rsid w:val="00826D02"/>
    <w:rsid w:val="00833864"/>
    <w:rsid w:val="00843FA7"/>
    <w:rsid w:val="00847367"/>
    <w:rsid w:val="00855208"/>
    <w:rsid w:val="008629DC"/>
    <w:rsid w:val="008651BE"/>
    <w:rsid w:val="00873EBF"/>
    <w:rsid w:val="00875E04"/>
    <w:rsid w:val="008822A4"/>
    <w:rsid w:val="008850F7"/>
    <w:rsid w:val="008859E5"/>
    <w:rsid w:val="00891CC9"/>
    <w:rsid w:val="008B24C0"/>
    <w:rsid w:val="008C79E8"/>
    <w:rsid w:val="008E0EB4"/>
    <w:rsid w:val="008E152D"/>
    <w:rsid w:val="008E34FB"/>
    <w:rsid w:val="008E5F67"/>
    <w:rsid w:val="008E7297"/>
    <w:rsid w:val="008F1FAD"/>
    <w:rsid w:val="008F5EB5"/>
    <w:rsid w:val="008F5FD2"/>
    <w:rsid w:val="00901027"/>
    <w:rsid w:val="00901A89"/>
    <w:rsid w:val="00931A5A"/>
    <w:rsid w:val="00941780"/>
    <w:rsid w:val="00944CFD"/>
    <w:rsid w:val="00964233"/>
    <w:rsid w:val="0096527F"/>
    <w:rsid w:val="009662A8"/>
    <w:rsid w:val="00980DA0"/>
    <w:rsid w:val="009813BA"/>
    <w:rsid w:val="00985513"/>
    <w:rsid w:val="0098666D"/>
    <w:rsid w:val="009915B1"/>
    <w:rsid w:val="009A021C"/>
    <w:rsid w:val="009B04A9"/>
    <w:rsid w:val="009B5E28"/>
    <w:rsid w:val="009B6489"/>
    <w:rsid w:val="009C7B9B"/>
    <w:rsid w:val="009E6BFF"/>
    <w:rsid w:val="009F7235"/>
    <w:rsid w:val="009F7C2B"/>
    <w:rsid w:val="00A04BF2"/>
    <w:rsid w:val="00A130FA"/>
    <w:rsid w:val="00A26C9A"/>
    <w:rsid w:val="00A344D0"/>
    <w:rsid w:val="00A47819"/>
    <w:rsid w:val="00A50872"/>
    <w:rsid w:val="00A52A10"/>
    <w:rsid w:val="00A530F9"/>
    <w:rsid w:val="00A6454B"/>
    <w:rsid w:val="00A7581A"/>
    <w:rsid w:val="00A83F26"/>
    <w:rsid w:val="00AA2A8B"/>
    <w:rsid w:val="00AA3AA9"/>
    <w:rsid w:val="00AC129E"/>
    <w:rsid w:val="00AC18E0"/>
    <w:rsid w:val="00AC69F0"/>
    <w:rsid w:val="00AC6D59"/>
    <w:rsid w:val="00AE333F"/>
    <w:rsid w:val="00AE7920"/>
    <w:rsid w:val="00AF26F7"/>
    <w:rsid w:val="00AF48A2"/>
    <w:rsid w:val="00AF70EE"/>
    <w:rsid w:val="00B036AE"/>
    <w:rsid w:val="00B059A1"/>
    <w:rsid w:val="00B17B65"/>
    <w:rsid w:val="00B2088A"/>
    <w:rsid w:val="00B25408"/>
    <w:rsid w:val="00B31523"/>
    <w:rsid w:val="00B35F4E"/>
    <w:rsid w:val="00B432EE"/>
    <w:rsid w:val="00B4351F"/>
    <w:rsid w:val="00B4672E"/>
    <w:rsid w:val="00B751C9"/>
    <w:rsid w:val="00B77B9F"/>
    <w:rsid w:val="00B80C78"/>
    <w:rsid w:val="00B85873"/>
    <w:rsid w:val="00BA19F8"/>
    <w:rsid w:val="00BA703F"/>
    <w:rsid w:val="00BB28EA"/>
    <w:rsid w:val="00BB3310"/>
    <w:rsid w:val="00BB5C50"/>
    <w:rsid w:val="00BC1122"/>
    <w:rsid w:val="00BE5759"/>
    <w:rsid w:val="00BF0EE3"/>
    <w:rsid w:val="00BF56C0"/>
    <w:rsid w:val="00C01F33"/>
    <w:rsid w:val="00C03EE5"/>
    <w:rsid w:val="00C03F66"/>
    <w:rsid w:val="00C11581"/>
    <w:rsid w:val="00C15540"/>
    <w:rsid w:val="00C208AD"/>
    <w:rsid w:val="00C20A5F"/>
    <w:rsid w:val="00C21486"/>
    <w:rsid w:val="00C2555C"/>
    <w:rsid w:val="00C35258"/>
    <w:rsid w:val="00C45BBC"/>
    <w:rsid w:val="00C77BFD"/>
    <w:rsid w:val="00C84B4B"/>
    <w:rsid w:val="00C8776D"/>
    <w:rsid w:val="00C9440C"/>
    <w:rsid w:val="00C94E2E"/>
    <w:rsid w:val="00CA46D3"/>
    <w:rsid w:val="00CA67BA"/>
    <w:rsid w:val="00CB0831"/>
    <w:rsid w:val="00CB368D"/>
    <w:rsid w:val="00CB3A44"/>
    <w:rsid w:val="00CB3B85"/>
    <w:rsid w:val="00CC187A"/>
    <w:rsid w:val="00CC71CF"/>
    <w:rsid w:val="00CF2F72"/>
    <w:rsid w:val="00CF4968"/>
    <w:rsid w:val="00CF78A9"/>
    <w:rsid w:val="00D15D64"/>
    <w:rsid w:val="00D2236A"/>
    <w:rsid w:val="00D403BD"/>
    <w:rsid w:val="00D461DB"/>
    <w:rsid w:val="00D53463"/>
    <w:rsid w:val="00D54069"/>
    <w:rsid w:val="00D72999"/>
    <w:rsid w:val="00D74D44"/>
    <w:rsid w:val="00D74EA4"/>
    <w:rsid w:val="00D76DF3"/>
    <w:rsid w:val="00D85A53"/>
    <w:rsid w:val="00D9711B"/>
    <w:rsid w:val="00DA18B9"/>
    <w:rsid w:val="00DA3737"/>
    <w:rsid w:val="00DA3790"/>
    <w:rsid w:val="00DA75CD"/>
    <w:rsid w:val="00DC6E93"/>
    <w:rsid w:val="00DE3989"/>
    <w:rsid w:val="00E00AC1"/>
    <w:rsid w:val="00E0541F"/>
    <w:rsid w:val="00E132C9"/>
    <w:rsid w:val="00E24411"/>
    <w:rsid w:val="00E25AB2"/>
    <w:rsid w:val="00E3019D"/>
    <w:rsid w:val="00E33A38"/>
    <w:rsid w:val="00E35FA6"/>
    <w:rsid w:val="00E54FFA"/>
    <w:rsid w:val="00E64B6C"/>
    <w:rsid w:val="00E71F55"/>
    <w:rsid w:val="00E72971"/>
    <w:rsid w:val="00E74C3A"/>
    <w:rsid w:val="00E76E2A"/>
    <w:rsid w:val="00E82943"/>
    <w:rsid w:val="00E854FA"/>
    <w:rsid w:val="00E87135"/>
    <w:rsid w:val="00E918BF"/>
    <w:rsid w:val="00EA082D"/>
    <w:rsid w:val="00EA216A"/>
    <w:rsid w:val="00EB1B5C"/>
    <w:rsid w:val="00ED1B27"/>
    <w:rsid w:val="00EF203C"/>
    <w:rsid w:val="00F100A8"/>
    <w:rsid w:val="00F110B2"/>
    <w:rsid w:val="00F20D87"/>
    <w:rsid w:val="00F219E4"/>
    <w:rsid w:val="00F30F5D"/>
    <w:rsid w:val="00F354CB"/>
    <w:rsid w:val="00F37CCF"/>
    <w:rsid w:val="00F42578"/>
    <w:rsid w:val="00F436BC"/>
    <w:rsid w:val="00F70967"/>
    <w:rsid w:val="00F72CA0"/>
    <w:rsid w:val="00F76DB1"/>
    <w:rsid w:val="00F83FCB"/>
    <w:rsid w:val="00F91A02"/>
    <w:rsid w:val="00FA44A9"/>
    <w:rsid w:val="00FC2096"/>
    <w:rsid w:val="00FE789F"/>
    <w:rsid w:val="00FF7C97"/>
    <w:rsid w:val="012C2FF8"/>
    <w:rsid w:val="013F7A9A"/>
    <w:rsid w:val="026B1786"/>
    <w:rsid w:val="02D817B3"/>
    <w:rsid w:val="033D0CBE"/>
    <w:rsid w:val="03AE0B18"/>
    <w:rsid w:val="03B76677"/>
    <w:rsid w:val="03CF1C84"/>
    <w:rsid w:val="03DE5DE4"/>
    <w:rsid w:val="047702E0"/>
    <w:rsid w:val="04845678"/>
    <w:rsid w:val="049B1BA9"/>
    <w:rsid w:val="05740D88"/>
    <w:rsid w:val="07684137"/>
    <w:rsid w:val="07EF7893"/>
    <w:rsid w:val="08585731"/>
    <w:rsid w:val="085C2446"/>
    <w:rsid w:val="08C67EF5"/>
    <w:rsid w:val="08E87352"/>
    <w:rsid w:val="09257910"/>
    <w:rsid w:val="09945539"/>
    <w:rsid w:val="0AEE6885"/>
    <w:rsid w:val="0C9A56A7"/>
    <w:rsid w:val="0CCE1990"/>
    <w:rsid w:val="0D747B9F"/>
    <w:rsid w:val="0D7A0F21"/>
    <w:rsid w:val="0DE12751"/>
    <w:rsid w:val="0E0656EC"/>
    <w:rsid w:val="0EA43FF7"/>
    <w:rsid w:val="0F1572CB"/>
    <w:rsid w:val="0F816593"/>
    <w:rsid w:val="0F876BD7"/>
    <w:rsid w:val="0FA66BBA"/>
    <w:rsid w:val="115E5F0B"/>
    <w:rsid w:val="11F47D26"/>
    <w:rsid w:val="123B45F5"/>
    <w:rsid w:val="12A0561E"/>
    <w:rsid w:val="12C527AC"/>
    <w:rsid w:val="13AB6DD5"/>
    <w:rsid w:val="14604805"/>
    <w:rsid w:val="14681A9C"/>
    <w:rsid w:val="14C802F8"/>
    <w:rsid w:val="159703BE"/>
    <w:rsid w:val="16B54D41"/>
    <w:rsid w:val="16E4275E"/>
    <w:rsid w:val="179165CF"/>
    <w:rsid w:val="17E7062C"/>
    <w:rsid w:val="19446D2A"/>
    <w:rsid w:val="199A0D0F"/>
    <w:rsid w:val="19C37774"/>
    <w:rsid w:val="1A9469A8"/>
    <w:rsid w:val="1B36664E"/>
    <w:rsid w:val="1D86662A"/>
    <w:rsid w:val="1E61440B"/>
    <w:rsid w:val="1E77318B"/>
    <w:rsid w:val="1EC403CB"/>
    <w:rsid w:val="1F104283"/>
    <w:rsid w:val="1F16618C"/>
    <w:rsid w:val="1FB9403D"/>
    <w:rsid w:val="1FBB471C"/>
    <w:rsid w:val="1FE60DE3"/>
    <w:rsid w:val="207C6D58"/>
    <w:rsid w:val="2107225C"/>
    <w:rsid w:val="214A3F2E"/>
    <w:rsid w:val="22FA25EF"/>
    <w:rsid w:val="231A0926"/>
    <w:rsid w:val="23700030"/>
    <w:rsid w:val="23FE75A4"/>
    <w:rsid w:val="240176FA"/>
    <w:rsid w:val="24400708"/>
    <w:rsid w:val="259354E3"/>
    <w:rsid w:val="266635A7"/>
    <w:rsid w:val="273F35F4"/>
    <w:rsid w:val="28395A0A"/>
    <w:rsid w:val="28925738"/>
    <w:rsid w:val="28E17A0C"/>
    <w:rsid w:val="29290B96"/>
    <w:rsid w:val="2ACE4ACA"/>
    <w:rsid w:val="2B0B32AA"/>
    <w:rsid w:val="2B513A1E"/>
    <w:rsid w:val="2BF87A83"/>
    <w:rsid w:val="2C1361A5"/>
    <w:rsid w:val="2C136BA2"/>
    <w:rsid w:val="2CD5161C"/>
    <w:rsid w:val="2D801AB4"/>
    <w:rsid w:val="2E2276D3"/>
    <w:rsid w:val="303513F7"/>
    <w:rsid w:val="30355826"/>
    <w:rsid w:val="30871DAD"/>
    <w:rsid w:val="309E19D2"/>
    <w:rsid w:val="31104BF3"/>
    <w:rsid w:val="3194365F"/>
    <w:rsid w:val="31CB6BC1"/>
    <w:rsid w:val="32645ABA"/>
    <w:rsid w:val="32C8451C"/>
    <w:rsid w:val="365C770A"/>
    <w:rsid w:val="366E215D"/>
    <w:rsid w:val="36EF012D"/>
    <w:rsid w:val="371A47F4"/>
    <w:rsid w:val="377D6A97"/>
    <w:rsid w:val="37B73D42"/>
    <w:rsid w:val="38060F79"/>
    <w:rsid w:val="381E409C"/>
    <w:rsid w:val="38646D95"/>
    <w:rsid w:val="38F44393"/>
    <w:rsid w:val="39203E44"/>
    <w:rsid w:val="3B0B7708"/>
    <w:rsid w:val="3B1A1F21"/>
    <w:rsid w:val="3BC5739B"/>
    <w:rsid w:val="3C2E3547"/>
    <w:rsid w:val="3C930CED"/>
    <w:rsid w:val="3CFF5E1E"/>
    <w:rsid w:val="3D041D82"/>
    <w:rsid w:val="3D0B7D51"/>
    <w:rsid w:val="3E5B60DB"/>
    <w:rsid w:val="3EA93D40"/>
    <w:rsid w:val="40A67141"/>
    <w:rsid w:val="41443CDD"/>
    <w:rsid w:val="41E06CA1"/>
    <w:rsid w:val="42220A0F"/>
    <w:rsid w:val="42DF0DC2"/>
    <w:rsid w:val="43546802"/>
    <w:rsid w:val="437C1F45"/>
    <w:rsid w:val="43866732"/>
    <w:rsid w:val="44181DC4"/>
    <w:rsid w:val="44AC1047"/>
    <w:rsid w:val="45711797"/>
    <w:rsid w:val="45D57BCA"/>
    <w:rsid w:val="463C1AC9"/>
    <w:rsid w:val="47E9088B"/>
    <w:rsid w:val="483D4A92"/>
    <w:rsid w:val="48C66F74"/>
    <w:rsid w:val="48D10895"/>
    <w:rsid w:val="494B2FD4"/>
    <w:rsid w:val="498E57A8"/>
    <w:rsid w:val="4AB11F98"/>
    <w:rsid w:val="4AFE7F0B"/>
    <w:rsid w:val="4C764884"/>
    <w:rsid w:val="4CE627F3"/>
    <w:rsid w:val="4D4C611D"/>
    <w:rsid w:val="4DBA7991"/>
    <w:rsid w:val="4DE41E5A"/>
    <w:rsid w:val="4DEC2CF4"/>
    <w:rsid w:val="4E455377"/>
    <w:rsid w:val="4F375C04"/>
    <w:rsid w:val="50124997"/>
    <w:rsid w:val="503B6E8F"/>
    <w:rsid w:val="50563E5D"/>
    <w:rsid w:val="50B8067E"/>
    <w:rsid w:val="50EA68CF"/>
    <w:rsid w:val="511B722F"/>
    <w:rsid w:val="51E22565"/>
    <w:rsid w:val="52607735"/>
    <w:rsid w:val="533B205F"/>
    <w:rsid w:val="53987432"/>
    <w:rsid w:val="53AC60D2"/>
    <w:rsid w:val="53D02E0F"/>
    <w:rsid w:val="53F65540"/>
    <w:rsid w:val="547846DC"/>
    <w:rsid w:val="54F41F86"/>
    <w:rsid w:val="550064A1"/>
    <w:rsid w:val="55481377"/>
    <w:rsid w:val="56B74CFE"/>
    <w:rsid w:val="56EA4326"/>
    <w:rsid w:val="570D044F"/>
    <w:rsid w:val="571C2279"/>
    <w:rsid w:val="57666681"/>
    <w:rsid w:val="58F84874"/>
    <w:rsid w:val="58FC2A8C"/>
    <w:rsid w:val="591639CE"/>
    <w:rsid w:val="59227449"/>
    <w:rsid w:val="5A632A72"/>
    <w:rsid w:val="5AC05BF0"/>
    <w:rsid w:val="5B38781C"/>
    <w:rsid w:val="5B692B86"/>
    <w:rsid w:val="5B8D5F55"/>
    <w:rsid w:val="5BAB136C"/>
    <w:rsid w:val="5D786169"/>
    <w:rsid w:val="5D886F1A"/>
    <w:rsid w:val="5DD953F7"/>
    <w:rsid w:val="5E1849EE"/>
    <w:rsid w:val="5E72057F"/>
    <w:rsid w:val="5F1A08BC"/>
    <w:rsid w:val="5F28262C"/>
    <w:rsid w:val="5FA267EF"/>
    <w:rsid w:val="60386FFE"/>
    <w:rsid w:val="607E1B93"/>
    <w:rsid w:val="60D64CF3"/>
    <w:rsid w:val="61535E2D"/>
    <w:rsid w:val="617678F3"/>
    <w:rsid w:val="61782DF6"/>
    <w:rsid w:val="61E202A7"/>
    <w:rsid w:val="61E5682C"/>
    <w:rsid w:val="62257888"/>
    <w:rsid w:val="62916AC8"/>
    <w:rsid w:val="64C03B57"/>
    <w:rsid w:val="66177BAF"/>
    <w:rsid w:val="670C119E"/>
    <w:rsid w:val="672C502C"/>
    <w:rsid w:val="678B74EE"/>
    <w:rsid w:val="67F307F2"/>
    <w:rsid w:val="6819694F"/>
    <w:rsid w:val="68467C21"/>
    <w:rsid w:val="6861404E"/>
    <w:rsid w:val="68B24D52"/>
    <w:rsid w:val="68DC13BB"/>
    <w:rsid w:val="69400B6E"/>
    <w:rsid w:val="69F40EA9"/>
    <w:rsid w:val="6A7214AF"/>
    <w:rsid w:val="6A8762DE"/>
    <w:rsid w:val="6AD76C55"/>
    <w:rsid w:val="6B192F42"/>
    <w:rsid w:val="6B601138"/>
    <w:rsid w:val="6B8425F1"/>
    <w:rsid w:val="6C523F43"/>
    <w:rsid w:val="6C6476E1"/>
    <w:rsid w:val="6C992139"/>
    <w:rsid w:val="6D712D45"/>
    <w:rsid w:val="6D9D06E2"/>
    <w:rsid w:val="6E7436AA"/>
    <w:rsid w:val="6F254CE6"/>
    <w:rsid w:val="6F3E2B20"/>
    <w:rsid w:val="6FD165D7"/>
    <w:rsid w:val="701E4B89"/>
    <w:rsid w:val="715B4389"/>
    <w:rsid w:val="71924DDF"/>
    <w:rsid w:val="72CA3BE3"/>
    <w:rsid w:val="735E4456"/>
    <w:rsid w:val="73704506"/>
    <w:rsid w:val="73BB0F6D"/>
    <w:rsid w:val="73D47918"/>
    <w:rsid w:val="74570DEB"/>
    <w:rsid w:val="75235C29"/>
    <w:rsid w:val="760C2A3B"/>
    <w:rsid w:val="762B32F0"/>
    <w:rsid w:val="76F7406B"/>
    <w:rsid w:val="76FD62A7"/>
    <w:rsid w:val="77DD36C8"/>
    <w:rsid w:val="782765AD"/>
    <w:rsid w:val="78687017"/>
    <w:rsid w:val="7A011336"/>
    <w:rsid w:val="7A34668D"/>
    <w:rsid w:val="7AB93063"/>
    <w:rsid w:val="7BFA6EF3"/>
    <w:rsid w:val="7C7E74CC"/>
    <w:rsid w:val="7CF73913"/>
    <w:rsid w:val="7D1144BC"/>
    <w:rsid w:val="7E5C0C5B"/>
    <w:rsid w:val="7EC16401"/>
    <w:rsid w:val="7EFD07E5"/>
    <w:rsid w:val="7F2F6A35"/>
    <w:rsid w:val="7F4D732E"/>
    <w:rsid w:val="7F5411F3"/>
    <w:rsid w:val="7F5436D8"/>
    <w:rsid w:val="7FBA4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unhideWhenUsed/>
    <w:qFormat/>
    <w:uiPriority w:val="99"/>
    <w:pPr>
      <w:autoSpaceDE w:val="0"/>
      <w:autoSpaceDN w:val="0"/>
      <w:adjustRightInd w:val="0"/>
      <w:outlineLvl w:val="0"/>
    </w:pPr>
    <w:rPr>
      <w:rFonts w:ascii="Arial" w:hAnsi="Arial"/>
      <w:b/>
      <w:color w:val="000000"/>
      <w:sz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5">
    <w:name w:val="Normal Indent"/>
    <w:basedOn w:val="1"/>
    <w:link w:val="16"/>
    <w:qFormat/>
    <w:uiPriority w:val="0"/>
    <w:pPr>
      <w:widowControl/>
      <w:ind w:firstLine="420"/>
      <w:jc w:val="left"/>
    </w:pPr>
    <w:rPr>
      <w:kern w:val="0"/>
      <w:sz w:val="20"/>
      <w:szCs w:val="20"/>
    </w:rPr>
  </w:style>
  <w:style w:type="paragraph" w:styleId="6">
    <w:name w:val="Body Text Indent"/>
    <w:basedOn w:val="1"/>
    <w:next w:val="1"/>
    <w:qFormat/>
    <w:uiPriority w:val="0"/>
    <w:pPr>
      <w:spacing w:line="460" w:lineRule="exact"/>
      <w:ind w:firstLine="510"/>
    </w:pPr>
    <w:rPr>
      <w:kern w:val="0"/>
      <w:sz w:val="20"/>
    </w:rPr>
  </w:style>
  <w:style w:type="paragraph" w:styleId="7">
    <w:name w:val="Date"/>
    <w:basedOn w:val="1"/>
    <w:next w:val="1"/>
    <w:link w:val="20"/>
    <w:qFormat/>
    <w:uiPriority w:val="0"/>
    <w:pPr>
      <w:ind w:left="100" w:leftChars="2500"/>
    </w:pPr>
    <w:rPr>
      <w:b/>
      <w:bCs/>
      <w:color w:val="000000"/>
      <w:sz w:val="28"/>
      <w:szCs w:val="20"/>
    </w:rPr>
  </w:style>
  <w:style w:type="paragraph" w:styleId="8">
    <w:name w:val="Balloon Text"/>
    <w:basedOn w:val="1"/>
    <w:link w:val="19"/>
    <w:qFormat/>
    <w:uiPriority w:val="0"/>
    <w:rPr>
      <w:sz w:val="18"/>
      <w:szCs w:val="18"/>
    </w:rPr>
  </w:style>
  <w:style w:type="paragraph" w:styleId="9">
    <w:name w:val="footer"/>
    <w:basedOn w:val="1"/>
    <w:link w:val="18"/>
    <w:qFormat/>
    <w:uiPriority w:val="0"/>
    <w:pPr>
      <w:tabs>
        <w:tab w:val="center" w:pos="4153"/>
        <w:tab w:val="right" w:pos="8306"/>
      </w:tabs>
      <w:snapToGrid w:val="0"/>
      <w:jc w:val="left"/>
    </w:pPr>
    <w:rPr>
      <w:sz w:val="18"/>
      <w:szCs w:val="18"/>
    </w:rPr>
  </w:style>
  <w:style w:type="paragraph" w:styleId="10">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2"/>
    <w:basedOn w:val="6"/>
    <w:next w:val="1"/>
    <w:unhideWhenUsed/>
    <w:qFormat/>
    <w:uiPriority w:val="99"/>
    <w:pPr>
      <w:spacing w:line="240" w:lineRule="auto"/>
      <w:ind w:firstLine="420" w:firstLineChars="200"/>
    </w:pPr>
    <w:rPr>
      <w:kern w:val="2"/>
    </w:rPr>
  </w:style>
  <w:style w:type="character" w:styleId="14">
    <w:name w:val="page number"/>
    <w:basedOn w:val="13"/>
    <w:qFormat/>
    <w:uiPriority w:val="0"/>
  </w:style>
  <w:style w:type="paragraph" w:customStyle="1" w:styleId="15">
    <w:name w:val="样式 宋体 小四 首行缩进:  0.85 厘米 行距: 1.5 倍行距"/>
    <w:basedOn w:val="1"/>
    <w:qFormat/>
    <w:uiPriority w:val="0"/>
    <w:pPr>
      <w:spacing w:line="360" w:lineRule="exact"/>
      <w:ind w:firstLine="482"/>
    </w:pPr>
    <w:rPr>
      <w:rFonts w:ascii="宋体" w:hAnsi="宋体" w:cs="宋体"/>
    </w:rPr>
  </w:style>
  <w:style w:type="character" w:customStyle="1" w:styleId="16">
    <w:name w:val="正文缩进 字符"/>
    <w:link w:val="5"/>
    <w:qFormat/>
    <w:uiPriority w:val="0"/>
    <w:rPr>
      <w:rFonts w:eastAsia="宋体"/>
      <w:lang w:val="en-US" w:eastAsia="zh-CN" w:bidi="ar-SA"/>
    </w:rPr>
  </w:style>
  <w:style w:type="character" w:customStyle="1" w:styleId="17">
    <w:name w:val="页眉 字符"/>
    <w:link w:val="10"/>
    <w:qFormat/>
    <w:uiPriority w:val="0"/>
    <w:rPr>
      <w:kern w:val="2"/>
      <w:sz w:val="18"/>
      <w:szCs w:val="18"/>
    </w:rPr>
  </w:style>
  <w:style w:type="character" w:customStyle="1" w:styleId="18">
    <w:name w:val="页脚 字符"/>
    <w:link w:val="9"/>
    <w:qFormat/>
    <w:uiPriority w:val="0"/>
    <w:rPr>
      <w:kern w:val="2"/>
      <w:sz w:val="18"/>
      <w:szCs w:val="18"/>
    </w:rPr>
  </w:style>
  <w:style w:type="character" w:customStyle="1" w:styleId="19">
    <w:name w:val="批注框文本 字符"/>
    <w:link w:val="8"/>
    <w:qFormat/>
    <w:uiPriority w:val="0"/>
    <w:rPr>
      <w:kern w:val="2"/>
      <w:sz w:val="18"/>
      <w:szCs w:val="18"/>
    </w:rPr>
  </w:style>
  <w:style w:type="character" w:customStyle="1" w:styleId="20">
    <w:name w:val="日期 字符"/>
    <w:basedOn w:val="13"/>
    <w:link w:val="7"/>
    <w:qFormat/>
    <w:uiPriority w:val="0"/>
    <w:rPr>
      <w:b/>
      <w:bCs/>
      <w:color w:val="000000"/>
      <w:kern w:val="2"/>
      <w:sz w:val="28"/>
    </w:rPr>
  </w:style>
  <w:style w:type="paragraph" w:customStyle="1" w:styleId="21">
    <w:name w:val="Table Text"/>
    <w:basedOn w:val="1"/>
    <w:semiHidden/>
    <w:qFormat/>
    <w:uiPriority w:val="0"/>
    <w:rPr>
      <w:rFonts w:ascii="宋体" w:hAnsi="宋体" w:cs="宋体"/>
      <w:sz w:val="22"/>
      <w:szCs w:val="22"/>
      <w:lang w:eastAsia="en-US"/>
    </w:rPr>
  </w:style>
  <w:style w:type="table" w:customStyle="1" w:styleId="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22BCB-CFAC-4A6F-BFDD-21A6263F57E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688</Words>
  <Characters>3926</Characters>
  <Lines>32</Lines>
  <Paragraphs>9</Paragraphs>
  <TotalTime>1</TotalTime>
  <ScaleCrop>false</ScaleCrop>
  <LinksUpToDate>false</LinksUpToDate>
  <CharactersWithSpaces>4605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2025-02-07T07:21:00Z</dcterms:created>
  <dc:creator>徐文忠</dc:creator>
  <cp:lastModifiedBy>盛清</cp:lastModifiedBy>
  <cp:lastPrinted>2016-06-20T02:19:00Z</cp:lastPrinted>
  <dcterms:modified xsi:type="dcterms:W3CDTF">2025-02-24T01:42:11Z</dcterms:modified>
  <dc:title>云南电网公司</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FC86B3C4C0F8464E88CD5A3C718A1278</vt:lpwstr>
  </property>
</Properties>
</file>