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tbl>
      <w:tblPr>
        <w:tblStyle w:val="2"/>
        <w:tblW w:w="9510" w:type="dxa"/>
        <w:tblInd w:w="-4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2985"/>
        <w:gridCol w:w="735"/>
        <w:gridCol w:w="990"/>
        <w:gridCol w:w="990"/>
        <w:gridCol w:w="645"/>
        <w:gridCol w:w="1425"/>
        <w:gridCol w:w="1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9510"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9510" w:type="dxa"/>
            <w:gridSpan w:val="8"/>
            <w:tcBorders>
              <w:top w:val="nil"/>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985"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业务项目</w:t>
            </w:r>
          </w:p>
        </w:tc>
        <w:tc>
          <w:tcPr>
            <w:tcW w:w="735"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规费</w:t>
            </w:r>
          </w:p>
        </w:tc>
        <w:tc>
          <w:tcPr>
            <w:tcW w:w="990"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代理费限价</w:t>
            </w:r>
          </w:p>
        </w:tc>
        <w:tc>
          <w:tcPr>
            <w:tcW w:w="990"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代理费报价</w:t>
            </w:r>
          </w:p>
        </w:tc>
        <w:tc>
          <w:tcPr>
            <w:tcW w:w="645"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425"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(规费+代理费)*数量</w:t>
            </w:r>
          </w:p>
        </w:tc>
        <w:tc>
          <w:tcPr>
            <w:tcW w:w="1050"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商品、服务商标注册（含检索报告，限定本类10个商品小项）</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因商标申请注册过程中的不确定性，不一定每项都会使用，也有可能一项使用多次，因此最终结算金额按照实际采用项结算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增加商品/项目</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商标续展注册（有效期内续展）</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商标续展注册（超出有效期半年内续展）</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变更商标所有人名义/地址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转让注册商标</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商标使用许可合同备案</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基于3年不使用申请撤销注册商标</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商标驳回复审</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对商标异议/无效宣告的答辩</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商标不予注册复审</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出具商标证明</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3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c>
          <w:tcPr>
            <w:tcW w:w="478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bl>
    <w:p/>
    <w:p>
      <w:pPr>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规费即申请商标注册和办理其他商标事宜所向国家知识产权局商标局缴纳的费用，为商标局接收电子发文的网上申请收费标准，具体项目规费按商标局发出的缴费通知书为准；</w:t>
      </w:r>
    </w:p>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代理费报价仅为代理相应商标业务的含税代理费，不含规费；</w:t>
      </w:r>
    </w:p>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规费</w:t>
      </w:r>
      <w:bookmarkStart w:id="0" w:name="_GoBack"/>
      <w:bookmarkEnd w:id="0"/>
      <w:r>
        <w:rPr>
          <w:rFonts w:hint="eastAsia" w:ascii="宋体" w:hAnsi="宋体" w:eastAsia="宋体" w:cs="宋体"/>
          <w:sz w:val="24"/>
          <w:szCs w:val="24"/>
          <w:lang w:val="en-US" w:eastAsia="zh-CN"/>
        </w:rPr>
        <w:t>部分开具增值税普通发票，代理服务费部分开具增值税专用发票；</w:t>
      </w:r>
    </w:p>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eastAsia="zh-CN"/>
        </w:rPr>
        <w:t>代理费报价</w:t>
      </w:r>
      <w:r>
        <w:rPr>
          <w:rFonts w:ascii="宋体" w:hAnsi="宋体" w:eastAsia="宋体" w:cs="宋体"/>
          <w:sz w:val="24"/>
          <w:szCs w:val="24"/>
        </w:rPr>
        <w:t>不得超过限价，否则可认定为无效报价</w:t>
      </w:r>
      <w:r>
        <w:rPr>
          <w:rFonts w:hint="eastAsia" w:ascii="宋体" w:hAnsi="宋体" w:eastAsia="宋体" w:cs="宋体"/>
          <w:sz w:val="24"/>
          <w:szCs w:val="24"/>
          <w:lang w:val="en-US" w:eastAsia="zh-CN"/>
        </w:rPr>
        <w:t>。</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CDF4A5"/>
    <w:multiLevelType w:val="singleLevel"/>
    <w:tmpl w:val="3ECDF4A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735DBD"/>
    <w:rsid w:val="01735DBD"/>
    <w:rsid w:val="04601619"/>
    <w:rsid w:val="04ED1E0C"/>
    <w:rsid w:val="08B44892"/>
    <w:rsid w:val="23227D85"/>
    <w:rsid w:val="35EE5151"/>
    <w:rsid w:val="36BE6F78"/>
    <w:rsid w:val="38AB73DC"/>
    <w:rsid w:val="5AE75899"/>
    <w:rsid w:val="60FF42BA"/>
    <w:rsid w:val="6CB35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2025-02-26T09:25:00Z</dcterms:created>
  <dc:creator>BF0E351404237633E055000000000001</dc:creator>
  <cp:lastModifiedBy>BF0E351404237633E055000000000001</cp:lastModifiedBy>
  <dcterms:modified xsi:type="dcterms:W3CDTF">2025-03-03T01:28:29Z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06FE07A787D54412BCD94FFD2DCF9DF9</vt:lpwstr>
  </property>
</Properties>
</file>