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r>
        <w:rPr>
          <w:rFonts w:hint="eastAsia" w:ascii="黑体" w:hAnsi="黑体" w:eastAsia="黑体" w:cs="黑体"/>
          <w:b/>
          <w:color w:val="auto"/>
          <w:sz w:val="44"/>
          <w:szCs w:val="44"/>
          <w:lang w:val="en-US" w:eastAsia="zh-CN"/>
        </w:rPr>
        <w:t>电化学储能电站集群动态调度优化控制策略合作研究</w:t>
      </w:r>
      <w:r>
        <w:rPr>
          <w:rFonts w:ascii="方正小标宋_GBK" w:eastAsia="方正小标宋_GBK"/>
          <w:color w:val="auto"/>
          <w:sz w:val="36"/>
          <w:szCs w:val="36"/>
        </w:rPr>
        <w:drawing>
          <wp:anchor distT="0" distB="0" distL="114300" distR="114300" simplePos="0" relativeHeight="251659264" behindDoc="1" locked="0" layoutInCell="1" allowOverlap="1">
            <wp:simplePos x="0" y="0"/>
            <wp:positionH relativeFrom="column">
              <wp:posOffset>-1275715</wp:posOffset>
            </wp:positionH>
            <wp:positionV relativeFrom="paragraph">
              <wp:posOffset>-4077970</wp:posOffset>
            </wp:positionV>
            <wp:extent cx="7891780" cy="11781155"/>
            <wp:effectExtent l="0" t="0" r="4445" b="127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7891780" cy="11781155"/>
                    </a:xfrm>
                    <a:prstGeom prst="rect">
                      <a:avLst/>
                    </a:prstGeom>
                    <a:noFill/>
                    <a:ln>
                      <a:noFill/>
                    </a:ln>
                  </pic:spPr>
                </pic:pic>
              </a:graphicData>
            </a:graphic>
          </wp:anchor>
        </w:drawing>
      </w:r>
      <w:r>
        <w:rPr>
          <w:rFonts w:hint="eastAsia" w:ascii="黑体" w:hAnsi="黑体" w:eastAsia="黑体" w:cs="黑体"/>
          <w:b/>
          <w:color w:val="auto"/>
          <w:sz w:val="44"/>
          <w:szCs w:val="44"/>
          <w:lang w:val="en-US" w:eastAsia="zh-CN"/>
        </w:rPr>
        <w:t>项目技术条件书</w:t>
      </w:r>
    </w:p>
    <w:p>
      <w:pPr>
        <w:pStyle w:val="5"/>
        <w:rPr>
          <w:rFonts w:hint="eastAsia" w:ascii="黑体" w:hAnsi="黑体" w:eastAsia="黑体" w:cs="黑体"/>
          <w:b/>
          <w:color w:val="auto"/>
          <w:sz w:val="44"/>
          <w:szCs w:val="44"/>
          <w:lang w:val="en-US" w:eastAsia="zh-CN"/>
        </w:rPr>
      </w:pPr>
    </w:p>
    <w:p>
      <w:pPr>
        <w:pStyle w:val="5"/>
        <w:rPr>
          <w:rFonts w:hint="eastAsia" w:ascii="黑体" w:hAnsi="黑体" w:eastAsia="黑体" w:cs="黑体"/>
          <w:b/>
          <w:color w:val="auto"/>
          <w:sz w:val="44"/>
          <w:szCs w:val="44"/>
          <w:lang w:val="en-US" w:eastAsia="zh-CN"/>
        </w:rPr>
      </w:pPr>
    </w:p>
    <w:p>
      <w:pPr>
        <w:pStyle w:val="5"/>
        <w:rPr>
          <w:rFonts w:hint="eastAsia" w:ascii="黑体" w:hAnsi="黑体" w:eastAsia="黑体" w:cs="黑体"/>
          <w:b/>
          <w:color w:val="auto"/>
          <w:sz w:val="44"/>
          <w:szCs w:val="44"/>
          <w:lang w:val="en-US" w:eastAsia="zh-CN"/>
        </w:rPr>
      </w:pPr>
    </w:p>
    <w:p>
      <w:pPr>
        <w:pStyle w:val="5"/>
        <w:rPr>
          <w:rFonts w:hint="eastAsia" w:ascii="黑体" w:hAnsi="黑体" w:eastAsia="黑体" w:cs="黑体"/>
          <w:b/>
          <w:color w:val="auto"/>
          <w:sz w:val="44"/>
          <w:szCs w:val="44"/>
          <w:lang w:val="en-US" w:eastAsia="zh-CN"/>
        </w:rPr>
      </w:pPr>
    </w:p>
    <w:p>
      <w:pPr>
        <w:pStyle w:val="5"/>
        <w:rPr>
          <w:rFonts w:hint="eastAsia" w:ascii="黑体" w:hAnsi="黑体" w:eastAsia="黑体" w:cs="黑体"/>
          <w:b/>
          <w:color w:val="auto"/>
          <w:sz w:val="44"/>
          <w:szCs w:val="44"/>
          <w:lang w:val="en-US" w:eastAsia="zh-CN"/>
        </w:rPr>
      </w:pPr>
    </w:p>
    <w:p>
      <w:pPr>
        <w:pStyle w:val="5"/>
        <w:jc w:val="center"/>
        <w:rPr>
          <w:rFonts w:hint="eastAsia" w:ascii="黑体" w:hAnsi="黑体" w:eastAsia="黑体" w:cs="黑体"/>
          <w:b/>
          <w:color w:val="auto"/>
          <w:sz w:val="44"/>
          <w:szCs w:val="44"/>
          <w:lang w:val="en-US" w:eastAsia="zh-CN"/>
        </w:rPr>
      </w:pPr>
    </w:p>
    <w:p>
      <w:pPr>
        <w:pStyle w:val="5"/>
        <w:jc w:val="center"/>
        <w:rPr>
          <w:rFonts w:hint="eastAsia" w:ascii="黑体" w:hAnsi="黑体" w:eastAsia="黑体" w:cs="黑体"/>
          <w:b/>
          <w:color w:val="auto"/>
          <w:sz w:val="44"/>
          <w:szCs w:val="44"/>
          <w:lang w:val="en-US" w:eastAsia="zh-CN"/>
        </w:rPr>
      </w:pPr>
    </w:p>
    <w:p>
      <w:pPr>
        <w:pStyle w:val="5"/>
        <w:jc w:val="center"/>
        <w:rPr>
          <w:rFonts w:hint="default" w:ascii="黑体" w:hAnsi="黑体" w:eastAsia="黑体" w:cs="黑体"/>
          <w:b/>
          <w:color w:val="auto"/>
          <w:sz w:val="44"/>
          <w:szCs w:val="44"/>
          <w:lang w:val="en-US" w:eastAsia="zh-CN"/>
        </w:rPr>
      </w:pPr>
      <w:r>
        <w:rPr>
          <w:rFonts w:hint="eastAsia" w:ascii="黑体" w:hAnsi="黑体" w:eastAsia="黑体" w:cs="黑体"/>
          <w:b/>
          <w:color w:val="auto"/>
          <w:sz w:val="44"/>
          <w:szCs w:val="44"/>
          <w:lang w:val="en-US" w:eastAsia="zh-CN"/>
        </w:rPr>
        <w:t>2025年2月</w:t>
      </w:r>
    </w:p>
    <w:p>
      <w:pPr>
        <w:rPr>
          <w:rFonts w:hint="default"/>
        </w:rPr>
      </w:pPr>
      <w:r>
        <w:rPr>
          <w:rFonts w:hint="default"/>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32"/>
          <w:szCs w:val="32"/>
          <w:lang w:val="en-US" w:eastAsia="zh-CN"/>
        </w:rPr>
      </w:pPr>
      <w:r>
        <w:rPr>
          <w:rFonts w:hint="eastAsia" w:ascii="黑体" w:hAnsi="黑体" w:eastAsia="黑体" w:cs="黑体"/>
          <w:b/>
          <w:color w:val="auto"/>
          <w:sz w:val="32"/>
          <w:szCs w:val="32"/>
          <w:lang w:val="en-US" w:eastAsia="zh-CN"/>
        </w:rPr>
        <w:t>电化学储能电站集群动态调度优化控制策略研究</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32"/>
          <w:szCs w:val="32"/>
          <w:lang w:val="en-US" w:eastAsia="zh-CN"/>
        </w:rPr>
      </w:pPr>
      <w:r>
        <w:rPr>
          <w:rFonts w:hint="eastAsia" w:ascii="黑体" w:hAnsi="黑体" w:eastAsia="黑体" w:cs="黑体"/>
          <w:b/>
          <w:color w:val="auto"/>
          <w:sz w:val="32"/>
          <w:szCs w:val="32"/>
          <w:lang w:val="en-US" w:eastAsia="zh-CN"/>
        </w:rPr>
        <w:t>项目技术条件书</w:t>
      </w:r>
    </w:p>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rPr>
      </w:pPr>
      <w:r>
        <w:rPr>
          <w:rFonts w:hint="default"/>
          <w:sz w:val="32"/>
          <w:szCs w:val="40"/>
        </w:rPr>
        <w:t>项目情况</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000000"/>
          <w:kern w:val="0"/>
          <w:sz w:val="28"/>
          <w:szCs w:val="28"/>
          <w:lang w:val="en-US" w:eastAsia="zh-CN" w:bidi="ar"/>
        </w:rPr>
      </w:pPr>
      <w:r>
        <w:rPr>
          <w:rFonts w:hint="default" w:ascii="宋体" w:hAnsi="宋体" w:eastAsia="宋体" w:cs="宋体"/>
          <w:color w:val="000000"/>
          <w:kern w:val="0"/>
          <w:sz w:val="28"/>
          <w:szCs w:val="28"/>
          <w:lang w:val="en-US" w:eastAsia="zh-CN" w:bidi="ar"/>
        </w:rPr>
        <w:t>随着新型电力系统建设的不断深入，新能源、分布式电源及电动汽车的大量并网，电网的供需平衡面临巨大挑战。源荷两端的功率波动加剧，电网峰谷差增大且变化频繁，给清洁能源的消纳带来了极大压力。同时，电化学储能电站的传统就地控制方式已无法满足多场景调度控制的需求，无法有效掌控多站点储能电站的安全状态。因此，本项目旨在研究电化学储能电站集群的动态调度控制技术，以提升储能电站的安全运行水平，降低电网调峰压力，并引导储能电站运维技术向精细化转型。</w:t>
      </w:r>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rPr>
      </w:pPr>
      <w:r>
        <w:rPr>
          <w:rFonts w:hint="default"/>
          <w:sz w:val="32"/>
          <w:szCs w:val="40"/>
        </w:rPr>
        <w:t>工期</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000000"/>
          <w:kern w:val="0"/>
          <w:sz w:val="28"/>
          <w:szCs w:val="28"/>
          <w:lang w:val="en-US" w:eastAsia="zh-CN" w:bidi="ar"/>
        </w:rPr>
      </w:pPr>
      <w:r>
        <w:rPr>
          <w:rFonts w:hint="default" w:ascii="宋体" w:hAnsi="宋体" w:eastAsia="宋体" w:cs="宋体"/>
          <w:color w:val="000000"/>
          <w:kern w:val="0"/>
          <w:sz w:val="28"/>
          <w:szCs w:val="28"/>
          <w:lang w:val="en-US" w:eastAsia="zh-CN" w:bidi="ar"/>
        </w:rPr>
        <w:t>本</w:t>
      </w:r>
      <w:r>
        <w:rPr>
          <w:rFonts w:hint="eastAsia" w:ascii="宋体" w:hAnsi="宋体" w:eastAsia="宋体" w:cs="宋体"/>
          <w:color w:val="000000"/>
          <w:kern w:val="0"/>
          <w:sz w:val="28"/>
          <w:szCs w:val="28"/>
          <w:lang w:val="en-US" w:eastAsia="zh-CN" w:bidi="ar"/>
        </w:rPr>
        <w:t>合同有效期为：</w:t>
      </w:r>
      <w:r>
        <w:rPr>
          <w:rFonts w:hint="default" w:ascii="宋体" w:hAnsi="宋体" w:eastAsia="宋体" w:cs="宋体"/>
          <w:color w:val="000000"/>
          <w:kern w:val="0"/>
          <w:sz w:val="28"/>
          <w:szCs w:val="28"/>
          <w:lang w:val="en-US" w:eastAsia="zh-CN" w:bidi="ar"/>
        </w:rPr>
        <w:t>自合同签订之日起</w:t>
      </w:r>
      <w:r>
        <w:rPr>
          <w:rFonts w:hint="eastAsia" w:ascii="宋体" w:hAnsi="宋体" w:eastAsia="宋体" w:cs="宋体"/>
          <w:color w:val="000000"/>
          <w:kern w:val="0"/>
          <w:sz w:val="28"/>
          <w:szCs w:val="28"/>
          <w:lang w:val="en-US" w:eastAsia="zh-CN" w:bidi="ar"/>
        </w:rPr>
        <w:t>至</w:t>
      </w:r>
      <w:r>
        <w:rPr>
          <w:rFonts w:hint="default" w:ascii="宋体" w:hAnsi="宋体" w:eastAsia="宋体" w:cs="宋体"/>
          <w:color w:val="000000"/>
          <w:kern w:val="0"/>
          <w:sz w:val="28"/>
          <w:szCs w:val="28"/>
          <w:lang w:val="en-US" w:eastAsia="zh-CN" w:bidi="ar"/>
        </w:rPr>
        <w:t>2025年</w:t>
      </w:r>
      <w:r>
        <w:rPr>
          <w:rFonts w:hint="eastAsia" w:ascii="宋体" w:hAnsi="宋体" w:eastAsia="宋体" w:cs="宋体"/>
          <w:color w:val="000000"/>
          <w:kern w:val="0"/>
          <w:sz w:val="28"/>
          <w:szCs w:val="28"/>
          <w:lang w:val="en-US" w:eastAsia="zh-CN" w:bidi="ar"/>
        </w:rPr>
        <w:t>5</w:t>
      </w:r>
      <w:r>
        <w:rPr>
          <w:rFonts w:hint="default" w:ascii="宋体" w:hAnsi="宋体" w:eastAsia="宋体" w:cs="宋体"/>
          <w:color w:val="000000"/>
          <w:kern w:val="0"/>
          <w:sz w:val="28"/>
          <w:szCs w:val="28"/>
          <w:lang w:val="en-US" w:eastAsia="zh-CN" w:bidi="ar"/>
        </w:rPr>
        <w:t>月30日</w:t>
      </w:r>
      <w:r>
        <w:rPr>
          <w:rFonts w:hint="eastAsia" w:ascii="宋体" w:hAnsi="宋体" w:eastAsia="宋体" w:cs="宋体"/>
          <w:color w:val="000000"/>
          <w:kern w:val="0"/>
          <w:sz w:val="28"/>
          <w:szCs w:val="28"/>
          <w:lang w:val="en-US" w:eastAsia="zh-CN" w:bidi="ar"/>
        </w:rPr>
        <w:t>，乙方应在合同有效期内</w:t>
      </w:r>
      <w:r>
        <w:rPr>
          <w:rFonts w:hint="default" w:ascii="宋体" w:hAnsi="宋体" w:eastAsia="宋体" w:cs="宋体"/>
          <w:color w:val="000000"/>
          <w:kern w:val="0"/>
          <w:sz w:val="28"/>
          <w:szCs w:val="28"/>
          <w:lang w:val="en-US" w:eastAsia="zh-CN" w:bidi="ar"/>
        </w:rPr>
        <w:t>完成所有工作内容。</w:t>
      </w:r>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lang w:val="en-US" w:eastAsia="zh-CN"/>
        </w:rPr>
      </w:pPr>
      <w:r>
        <w:rPr>
          <w:rFonts w:hint="default"/>
          <w:sz w:val="32"/>
          <w:szCs w:val="40"/>
          <w:lang w:val="en-US" w:eastAsia="zh-CN"/>
        </w:rPr>
        <w:t>技术要求</w:t>
      </w:r>
    </w:p>
    <w:p>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交付物：</w:t>
      </w:r>
      <w:bookmarkStart w:id="0" w:name="_GoBack"/>
      <w:bookmarkEnd w:id="0"/>
      <w:r>
        <w:rPr>
          <w:rFonts w:hint="default" w:ascii="宋体" w:hAnsi="宋体" w:eastAsia="宋体" w:cs="宋体"/>
          <w:color w:val="000000"/>
          <w:kern w:val="0"/>
          <w:sz w:val="28"/>
          <w:szCs w:val="28"/>
          <w:lang w:val="en-US" w:eastAsia="zh-CN" w:bidi="ar"/>
        </w:rPr>
        <w:t>电化学储能电站集群动态调度优化控制策略研究报告1份，模型代码1套。</w:t>
      </w:r>
      <w:r>
        <w:rPr>
          <w:rFonts w:hint="eastAsia" w:ascii="宋体" w:hAnsi="宋体" w:eastAsia="宋体" w:cs="宋体"/>
          <w:color w:val="000000"/>
          <w:kern w:val="0"/>
          <w:sz w:val="28"/>
          <w:szCs w:val="28"/>
          <w:lang w:val="en-US" w:eastAsia="zh-CN" w:bidi="ar"/>
        </w:rPr>
        <w:t>技术研究报告</w:t>
      </w:r>
      <w:r>
        <w:rPr>
          <w:rFonts w:hint="default" w:ascii="宋体" w:hAnsi="宋体" w:eastAsia="宋体" w:cs="宋体"/>
          <w:color w:val="000000"/>
          <w:kern w:val="0"/>
          <w:sz w:val="28"/>
          <w:szCs w:val="28"/>
          <w:lang w:val="en-US" w:eastAsia="zh-CN" w:bidi="ar"/>
        </w:rPr>
        <w:t>应详细阐述项目的研究背景、目标、方法、结果及结论，包括但不限于储能电站的安全预警机制、动态调度控制策略、技术难点及解决方案等内容。</w:t>
      </w:r>
    </w:p>
    <w:p>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ascii="宋体" w:hAnsi="宋体" w:eastAsia="宋体" w:cs="宋体"/>
          <w:color w:val="000000"/>
          <w:kern w:val="0"/>
          <w:sz w:val="28"/>
          <w:szCs w:val="28"/>
          <w:lang w:val="en-US" w:eastAsia="zh-CN" w:bidi="ar"/>
        </w:rPr>
        <w:t>知识产权归属：本合同项下研究开发成果知识产权归甲方所有</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乙方在项目执行过程中及项目完成后，应对甲方的商业秘密及项目成果承担严格的保密义务。</w:t>
      </w:r>
    </w:p>
    <w:p>
      <w:pPr>
        <w:pStyle w:val="5"/>
        <w:rPr>
          <w:rFonts w:hint="default"/>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1A696F"/>
    <w:multiLevelType w:val="multilevel"/>
    <w:tmpl w:val="7F1A696F"/>
    <w:lvl w:ilvl="0" w:tentative="0">
      <w:start w:val="1"/>
      <w:numFmt w:val="chineseCountingThousand"/>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2215AF"/>
    <w:rsid w:val="0A9D3C79"/>
    <w:rsid w:val="1B28143B"/>
    <w:rsid w:val="2E2215AF"/>
    <w:rsid w:val="36BA03AE"/>
    <w:rsid w:val="445709AF"/>
    <w:rsid w:val="72A83936"/>
    <w:rsid w:val="77826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Body Text"/>
    <w:basedOn w:val="1"/>
    <w:next w:val="6"/>
    <w:unhideWhenUsed/>
    <w:qFormat/>
    <w:uiPriority w:val="99"/>
    <w:pPr>
      <w:widowControl w:val="0"/>
      <w:spacing w:after="120"/>
      <w:jc w:val="both"/>
    </w:pPr>
    <w:rPr>
      <w:kern w:val="2"/>
      <w:sz w:val="21"/>
    </w:r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509</Words>
  <Characters>523</Characters>
  <Lines>0</Lines>
  <Paragraphs>0</Paragraphs>
  <TotalTime>0</TotalTime>
  <ScaleCrop>false</ScaleCrop>
  <LinksUpToDate>false</LinksUpToDate>
  <CharactersWithSpaces>523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2025-02-26T12:00:00Z</dcterms:created>
  <dc:creator>杨奕</dc:creator>
  <cp:lastModifiedBy>D9E072AA22EF4820A731562D0F3FC1E1</cp:lastModifiedBy>
  <dcterms:modified xsi:type="dcterms:W3CDTF">2025-02-28T08:45:54Z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72C07C0E87E4449C949C377EA82B9380_11</vt:lpwstr>
  </property>
  <property fmtid="{D5CDD505-2E9C-101B-9397-08002B2CF9AE}" pid="4" name="KSOTemplateDocerSaveRecord">
    <vt:lpwstr>eyJoZGlkIjoiMzEwNTM5NzYwMDRjMzkwZTVkZjY2ODkwMGIxNGU0OTUiLCJ1c2VySWQiOiIxMzc3ODI2MjgwIn0=</vt:lpwstr>
  </property>
</Properties>
</file>