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eastAsia="宋体" w:cs="宋体"/>
          <w:b/>
          <w:bCs/>
          <w:i w:val="0"/>
          <w:iCs w:val="0"/>
          <w:sz w:val="44"/>
          <w:szCs w:val="44"/>
          <w:lang w:val="en-US" w:eastAsia="zh-CN"/>
        </w:rPr>
      </w:pPr>
      <w:r>
        <w:rPr>
          <w:rFonts w:hint="eastAsia" w:ascii="宋体" w:hAnsi="宋体" w:eastAsia="宋体" w:cs="宋体"/>
          <w:b/>
          <w:bCs/>
          <w:i w:val="0"/>
          <w:iCs w:val="0"/>
          <w:sz w:val="44"/>
          <w:szCs w:val="44"/>
          <w:lang w:val="en-US" w:eastAsia="zh-CN"/>
        </w:rPr>
        <w:t>桂林培训分公司2025年配电设施检测及维保项目服务要求</w:t>
      </w:r>
    </w:p>
    <w:p>
      <w:pPr>
        <w:spacing w:line="500" w:lineRule="exact"/>
        <w:ind w:firstLine="570"/>
        <w:jc w:val="center"/>
        <w:rPr>
          <w:rFonts w:hint="eastAsia" w:ascii="宋体" w:hAnsi="宋体" w:eastAsia="宋体" w:cs="宋体"/>
          <w:b/>
          <w:bCs/>
          <w:i w:val="0"/>
          <w:iCs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right="0" w:rightChars="0"/>
        <w:jc w:val="both"/>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一、设备现状概述</w:t>
      </w:r>
      <w:bookmarkStart w:id="0" w:name="_GoBack"/>
      <w:bookmarkEnd w:id="0"/>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39" w:firstLineChars="213"/>
        <w:jc w:val="both"/>
        <w:textAlignment w:val="auto"/>
        <w:outlineLvl w:val="9"/>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sz w:val="30"/>
          <w:szCs w:val="30"/>
          <w:highlight w:val="none"/>
          <w:lang w:val="en-US" w:eastAsia="zh-CN"/>
        </w:rPr>
        <w:t>桂林培训评价</w:t>
      </w:r>
      <w:r>
        <w:rPr>
          <w:rFonts w:hint="eastAsia" w:ascii="仿宋" w:hAnsi="仿宋" w:eastAsia="仿宋" w:cs="仿宋"/>
          <w:b w:val="0"/>
          <w:bCs w:val="0"/>
          <w:color w:val="auto"/>
          <w:sz w:val="30"/>
          <w:szCs w:val="30"/>
          <w:highlight w:val="none"/>
          <w:lang w:val="en-US" w:eastAsia="zh-CN"/>
        </w:rPr>
        <w:t>基地在用配电设备有变压器10台、低压柜组箱11套、高压电缆11条、户外开闭所1台，分布于南溪、卧佛基地及二级泵房。在用配电设备是保证整个基地的供电及各种设备全天24小时安全运行保障，因此需要有专业人员对配电设备进行维保，提高设备安全性、可靠性。</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39" w:firstLineChars="213"/>
        <w:jc w:val="both"/>
        <w:textAlignment w:val="auto"/>
        <w:outlineLvl w:val="9"/>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经统计，需要保障的高低压设备如下：</w:t>
      </w:r>
    </w:p>
    <w:tbl>
      <w:tblPr>
        <w:tblStyle w:val="3"/>
        <w:tblW w:w="98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441"/>
        <w:gridCol w:w="1930"/>
        <w:gridCol w:w="2536"/>
        <w:gridCol w:w="723"/>
        <w:gridCol w:w="6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jc w:val="center"/>
        </w:trPr>
        <w:tc>
          <w:tcPr>
            <w:tcW w:w="705"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i w:val="0"/>
                <w:color w:val="000000"/>
                <w:kern w:val="0"/>
                <w:sz w:val="24"/>
                <w:szCs w:val="24"/>
                <w:highlight w:val="none"/>
                <w:u w:val="none"/>
                <w:lang w:val="en-US" w:eastAsia="zh-CN" w:bidi="ar"/>
              </w:rPr>
              <w:t>序号</w:t>
            </w:r>
          </w:p>
        </w:tc>
        <w:tc>
          <w:tcPr>
            <w:tcW w:w="1441"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i w:val="0"/>
                <w:color w:val="000000"/>
                <w:kern w:val="0"/>
                <w:sz w:val="24"/>
                <w:szCs w:val="24"/>
                <w:highlight w:val="none"/>
                <w:u w:val="none"/>
                <w:lang w:val="en-US" w:eastAsia="zh-CN" w:bidi="ar"/>
              </w:rPr>
              <w:t>设备名称</w:t>
            </w:r>
          </w:p>
        </w:tc>
        <w:tc>
          <w:tcPr>
            <w:tcW w:w="1930" w:type="dxa"/>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highlight w:val="none"/>
                <w:u w:val="none"/>
                <w:lang w:val="en-US" w:eastAsia="zh-CN" w:bidi="ar"/>
              </w:rPr>
            </w:pPr>
            <w:r>
              <w:rPr>
                <w:rFonts w:hint="eastAsia" w:ascii="宋体" w:hAnsi="宋体" w:eastAsia="宋体" w:cs="宋体"/>
                <w:b/>
                <w:bCs w:val="0"/>
                <w:i w:val="0"/>
                <w:color w:val="000000"/>
                <w:kern w:val="0"/>
                <w:sz w:val="24"/>
                <w:szCs w:val="24"/>
                <w:highlight w:val="none"/>
                <w:u w:val="none"/>
                <w:lang w:val="en-US" w:eastAsia="zh-CN" w:bidi="ar"/>
              </w:rPr>
              <w:t>主要设备</w:t>
            </w:r>
          </w:p>
        </w:tc>
        <w:tc>
          <w:tcPr>
            <w:tcW w:w="2536"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i w:val="0"/>
                <w:color w:val="000000"/>
                <w:kern w:val="0"/>
                <w:sz w:val="24"/>
                <w:szCs w:val="24"/>
                <w:highlight w:val="none"/>
                <w:u w:val="none"/>
                <w:lang w:val="en-US" w:eastAsia="zh-CN" w:bidi="ar"/>
              </w:rPr>
              <w:t>品牌/</w:t>
            </w:r>
            <w:r>
              <w:rPr>
                <w:rFonts w:hint="eastAsia" w:ascii="宋体" w:hAnsi="宋体" w:cs="宋体"/>
                <w:b/>
                <w:bCs w:val="0"/>
                <w:i w:val="0"/>
                <w:color w:val="000000"/>
                <w:kern w:val="0"/>
                <w:sz w:val="24"/>
                <w:szCs w:val="24"/>
                <w:highlight w:val="none"/>
                <w:u w:val="none"/>
                <w:lang w:val="en-US" w:eastAsia="zh-CN" w:bidi="ar"/>
              </w:rPr>
              <w:t>型号</w:t>
            </w:r>
          </w:p>
        </w:tc>
        <w:tc>
          <w:tcPr>
            <w:tcW w:w="723"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i w:val="0"/>
                <w:color w:val="000000"/>
                <w:kern w:val="0"/>
                <w:sz w:val="24"/>
                <w:szCs w:val="24"/>
                <w:highlight w:val="none"/>
                <w:u w:val="none"/>
                <w:lang w:val="en-US" w:eastAsia="zh-CN" w:bidi="ar"/>
              </w:rPr>
              <w:t>单位</w:t>
            </w:r>
          </w:p>
        </w:tc>
        <w:tc>
          <w:tcPr>
            <w:tcW w:w="630"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i w:val="0"/>
                <w:color w:val="000000"/>
                <w:kern w:val="0"/>
                <w:sz w:val="24"/>
                <w:szCs w:val="24"/>
                <w:highlight w:val="none"/>
                <w:u w:val="none"/>
                <w:lang w:val="en-US" w:eastAsia="zh-CN" w:bidi="ar"/>
              </w:rPr>
              <w:t>数量</w:t>
            </w:r>
          </w:p>
        </w:tc>
        <w:tc>
          <w:tcPr>
            <w:tcW w:w="1860" w:type="dxa"/>
            <w:vAlign w:val="center"/>
          </w:tcPr>
          <w:p>
            <w:pPr>
              <w:keepNext w:val="0"/>
              <w:keepLines w:val="0"/>
              <w:widowControl/>
              <w:suppressLineNumbers w:val="0"/>
              <w:jc w:val="center"/>
              <w:textAlignment w:val="center"/>
              <w:rPr>
                <w:rFonts w:hint="eastAsia" w:ascii="宋体" w:hAnsi="宋体" w:eastAsia="宋体" w:cs="宋体"/>
                <w:b/>
                <w:bCs w:val="0"/>
                <w:sz w:val="24"/>
                <w:szCs w:val="24"/>
                <w:highlight w:val="none"/>
                <w:vertAlign w:val="baseline"/>
                <w:lang w:val="en-US" w:eastAsia="zh-CN"/>
              </w:rPr>
            </w:pPr>
            <w:r>
              <w:rPr>
                <w:rFonts w:hint="eastAsia" w:ascii="宋体" w:hAnsi="宋体" w:cs="宋体"/>
                <w:b/>
                <w:bCs w:val="0"/>
                <w:i w:val="0"/>
                <w:color w:val="000000"/>
                <w:kern w:val="0"/>
                <w:sz w:val="24"/>
                <w:szCs w:val="24"/>
                <w:highlight w:val="none"/>
                <w:u w:val="none"/>
                <w:lang w:val="en-US" w:eastAsia="zh-CN" w:bidi="ar"/>
              </w:rPr>
              <w:t>使用</w:t>
            </w:r>
            <w:r>
              <w:rPr>
                <w:rFonts w:hint="eastAsia" w:ascii="宋体" w:hAnsi="宋体" w:eastAsia="宋体" w:cs="宋体"/>
                <w:b/>
                <w:bCs w:val="0"/>
                <w:i w:val="0"/>
                <w:color w:val="000000"/>
                <w:kern w:val="0"/>
                <w:sz w:val="24"/>
                <w:szCs w:val="24"/>
                <w:highlight w:val="none"/>
                <w:u w:val="none"/>
                <w:lang w:val="en-US" w:eastAsia="zh-CN" w:bidi="ar"/>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restart"/>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r>
              <w:rPr>
                <w:rFonts w:hint="eastAsia" w:ascii="宋体" w:hAnsi="宋体" w:eastAsia="宋体" w:cs="宋体"/>
                <w:b w:val="0"/>
                <w:bCs/>
                <w:i w:val="0"/>
                <w:color w:val="000000"/>
                <w:kern w:val="0"/>
                <w:sz w:val="24"/>
                <w:szCs w:val="24"/>
                <w:highlight w:val="none"/>
                <w:u w:val="none"/>
                <w:lang w:val="en-US" w:eastAsia="zh-CN" w:bidi="ar"/>
              </w:rPr>
              <w:t>1</w:t>
            </w:r>
          </w:p>
        </w:tc>
        <w:tc>
          <w:tcPr>
            <w:tcW w:w="1441" w:type="dxa"/>
            <w:vMerge w:val="restart"/>
            <w:vAlign w:val="center"/>
          </w:tcPr>
          <w:p>
            <w:pPr>
              <w:keepNext w:val="0"/>
              <w:keepLines w:val="0"/>
              <w:widowControl/>
              <w:suppressLineNumbers w:val="0"/>
              <w:jc w:val="center"/>
              <w:textAlignment w:val="center"/>
              <w:rPr>
                <w:rFonts w:hint="default" w:ascii="宋体" w:hAnsi="宋体" w:eastAsia="宋体" w:cs="宋体"/>
                <w:b w:val="0"/>
                <w:bCs/>
                <w:i w:val="0"/>
                <w:color w:val="000000"/>
                <w:kern w:val="0"/>
                <w:sz w:val="24"/>
                <w:szCs w:val="24"/>
                <w:highlight w:val="none"/>
                <w:u w:val="none"/>
                <w:lang w:val="en-US" w:eastAsia="zh-CN" w:bidi="ar"/>
              </w:rPr>
            </w:pPr>
            <w:r>
              <w:rPr>
                <w:rFonts w:hint="eastAsia" w:ascii="宋体" w:hAnsi="宋体" w:eastAsia="宋体" w:cs="宋体"/>
                <w:b w:val="0"/>
                <w:bCs/>
                <w:i w:val="0"/>
                <w:color w:val="000000"/>
                <w:kern w:val="0"/>
                <w:sz w:val="24"/>
                <w:szCs w:val="24"/>
                <w:highlight w:val="none"/>
                <w:u w:val="none"/>
                <w:lang w:val="en-US" w:eastAsia="zh-CN" w:bidi="ar"/>
              </w:rPr>
              <w:t>变压器</w:t>
            </w:r>
          </w:p>
        </w:tc>
        <w:tc>
          <w:tcPr>
            <w:tcW w:w="1930" w:type="dxa"/>
            <w:vAlign w:val="center"/>
          </w:tcPr>
          <w:p>
            <w:pPr>
              <w:keepNext w:val="0"/>
              <w:keepLines w:val="0"/>
              <w:widowControl/>
              <w:suppressLineNumbers w:val="0"/>
              <w:jc w:val="center"/>
              <w:textAlignment w:val="center"/>
              <w:rPr>
                <w:rFonts w:hint="default" w:ascii="宋体" w:hAnsi="宋体" w:eastAsia="宋体" w:cs="宋体"/>
                <w:b w:val="0"/>
                <w:bCs/>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变压器</w:t>
            </w:r>
            <w:r>
              <w:rPr>
                <w:rFonts w:hint="eastAsia" w:ascii="宋体" w:hAnsi="宋体" w:cs="宋体"/>
                <w:i w:val="0"/>
                <w:color w:val="000000"/>
                <w:kern w:val="0"/>
                <w:sz w:val="20"/>
                <w:szCs w:val="20"/>
                <w:highlight w:val="none"/>
                <w:u w:val="none"/>
                <w:lang w:val="en-US" w:eastAsia="zh-CN" w:bidi="ar"/>
              </w:rPr>
              <w:t xml:space="preserve"> 1000KVA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干式 SCB11-1000/10</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2</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卧佛基地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highlight w:val="none"/>
                <w:u w:val="none"/>
                <w:lang w:val="en-US" w:eastAsia="zh-CN" w:bidi="ar"/>
              </w:rPr>
            </w:pPr>
          </w:p>
        </w:tc>
        <w:tc>
          <w:tcPr>
            <w:tcW w:w="1930" w:type="dxa"/>
            <w:vAlign w:val="center"/>
          </w:tcPr>
          <w:p>
            <w:pPr>
              <w:keepNext w:val="0"/>
              <w:keepLines w:val="0"/>
              <w:widowControl/>
              <w:suppressLineNumbers w:val="0"/>
              <w:jc w:val="center"/>
              <w:textAlignment w:val="center"/>
              <w:rPr>
                <w:rFonts w:hint="default" w:ascii="宋体" w:hAnsi="宋体" w:eastAsia="宋体" w:cs="宋体"/>
                <w:b w:val="0"/>
                <w:bCs/>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变压器</w:t>
            </w:r>
            <w:r>
              <w:rPr>
                <w:rFonts w:hint="eastAsia" w:ascii="宋体" w:hAnsi="宋体" w:cs="宋体"/>
                <w:i w:val="0"/>
                <w:color w:val="000000"/>
                <w:kern w:val="0"/>
                <w:sz w:val="20"/>
                <w:szCs w:val="20"/>
                <w:highlight w:val="none"/>
                <w:u w:val="none"/>
                <w:lang w:val="en-US" w:eastAsia="zh-CN" w:bidi="ar"/>
              </w:rPr>
              <w:t xml:space="preserve"> 630KVA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油浸式</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2</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卧佛基地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highlight w:val="none"/>
                <w:u w:val="none"/>
                <w:lang w:val="en-US" w:eastAsia="zh-CN" w:bidi="ar"/>
              </w:rPr>
            </w:pP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变压器 315KVA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厢式 SCB11-1000/10</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1</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卧佛基地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highlight w:val="none"/>
                <w:u w:val="none"/>
                <w:lang w:val="en-US" w:eastAsia="zh-CN" w:bidi="ar"/>
              </w:rPr>
            </w:pP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变压器 320KVA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油浸式</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1</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二级泵房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highlight w:val="none"/>
                <w:u w:val="none"/>
                <w:lang w:val="en-US" w:eastAsia="zh-CN" w:bidi="ar"/>
              </w:rPr>
            </w:pP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欧式箱变10KV/630KVA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YBP13-12/0.4-630</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3</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highlight w:val="none"/>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highlight w:val="none"/>
                <w:u w:val="none"/>
                <w:lang w:val="en-US" w:eastAsia="zh-CN" w:bidi="ar"/>
              </w:rPr>
            </w:pP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欧式箱变10KV/630KVA</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YBM-10/0.4-630</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1</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jc w:val="center"/>
        </w:trPr>
        <w:tc>
          <w:tcPr>
            <w:tcW w:w="705" w:type="dxa"/>
            <w:vMerge w:val="restart"/>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highlight w:val="none"/>
                <w:u w:val="none"/>
                <w:lang w:val="en-US" w:eastAsia="zh-CN" w:bidi="ar"/>
              </w:rPr>
              <w:t>2</w:t>
            </w:r>
          </w:p>
        </w:tc>
        <w:tc>
          <w:tcPr>
            <w:tcW w:w="1441" w:type="dxa"/>
            <w:vMerge w:val="restart"/>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u w:val="none"/>
                <w:lang w:val="en-US" w:eastAsia="zh-CN" w:bidi="ar"/>
              </w:rPr>
              <w:t>低压柜组箱</w:t>
            </w: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低压柜组箱 400V</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GCS/柳电/西能</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套</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6</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p>
        </w:tc>
        <w:tc>
          <w:tcPr>
            <w:tcW w:w="19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低压柜组箱 400V</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GCS/柳电/西能</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套</w:t>
            </w:r>
          </w:p>
        </w:tc>
        <w:tc>
          <w:tcPr>
            <w:tcW w:w="6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5</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卧佛基地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jc w:val="center"/>
        </w:trPr>
        <w:tc>
          <w:tcPr>
            <w:tcW w:w="705" w:type="dxa"/>
            <w:vMerge w:val="restart"/>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u w:val="none"/>
                <w:lang w:val="en-US" w:eastAsia="zh-CN" w:bidi="ar"/>
              </w:rPr>
              <w:t>3</w:t>
            </w:r>
          </w:p>
        </w:tc>
        <w:tc>
          <w:tcPr>
            <w:tcW w:w="1441" w:type="dxa"/>
            <w:vMerge w:val="restart"/>
            <w:vAlign w:val="center"/>
          </w:tcPr>
          <w:p>
            <w:pPr>
              <w:keepNext w:val="0"/>
              <w:keepLines w:val="0"/>
              <w:widowControl/>
              <w:suppressLineNumbers w:val="0"/>
              <w:jc w:val="center"/>
              <w:textAlignment w:val="center"/>
              <w:rPr>
                <w:rFonts w:hint="default" w:ascii="宋体" w:hAnsi="宋体" w:eastAsia="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u w:val="none"/>
                <w:lang w:val="en-US" w:eastAsia="zh-CN" w:bidi="ar"/>
              </w:rPr>
              <w:t>高压电缆</w:t>
            </w: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高压电缆 10KV</w:t>
            </w:r>
          </w:p>
        </w:tc>
        <w:tc>
          <w:tcPr>
            <w:tcW w:w="2536"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cs="宋体"/>
                <w:i w:val="0"/>
                <w:color w:val="000000"/>
                <w:kern w:val="0"/>
                <w:sz w:val="20"/>
                <w:szCs w:val="20"/>
                <w:highlight w:val="none"/>
                <w:u w:val="none"/>
                <w:lang w:val="en-US" w:eastAsia="zh-CN" w:bidi="ar"/>
              </w:rPr>
              <w:t>/</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条</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6</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705"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u w:val="none"/>
                <w:lang w:val="en-US" w:eastAsia="zh-CN" w:bidi="ar"/>
              </w:rPr>
            </w:pPr>
          </w:p>
        </w:tc>
        <w:tc>
          <w:tcPr>
            <w:tcW w:w="1441" w:type="dxa"/>
            <w:vMerge w:val="continue"/>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u w:val="none"/>
                <w:lang w:val="en-US" w:eastAsia="zh-CN" w:bidi="ar"/>
              </w:rPr>
            </w:pPr>
          </w:p>
        </w:tc>
        <w:tc>
          <w:tcPr>
            <w:tcW w:w="193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高压电缆 10KV</w:t>
            </w:r>
          </w:p>
        </w:tc>
        <w:tc>
          <w:tcPr>
            <w:tcW w:w="2536"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cs="宋体"/>
                <w:i w:val="0"/>
                <w:color w:val="000000"/>
                <w:kern w:val="0"/>
                <w:sz w:val="20"/>
                <w:szCs w:val="20"/>
                <w:highlight w:val="none"/>
                <w:u w:val="none"/>
                <w:lang w:val="en-US" w:eastAsia="zh-CN" w:bidi="ar"/>
              </w:rPr>
              <w:t>/</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条</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5</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jc w:val="center"/>
        </w:trPr>
        <w:tc>
          <w:tcPr>
            <w:tcW w:w="705" w:type="dxa"/>
            <w:vAlign w:val="center"/>
          </w:tcPr>
          <w:p>
            <w:pPr>
              <w:keepNext w:val="0"/>
              <w:keepLines w:val="0"/>
              <w:widowControl/>
              <w:suppressLineNumbers w:val="0"/>
              <w:jc w:val="center"/>
              <w:textAlignment w:val="center"/>
              <w:rPr>
                <w:rFonts w:hint="default" w:ascii="宋体" w:hAnsi="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u w:val="none"/>
                <w:lang w:val="en-US" w:eastAsia="zh-CN" w:bidi="ar"/>
              </w:rPr>
              <w:t>4</w:t>
            </w:r>
          </w:p>
        </w:tc>
        <w:tc>
          <w:tcPr>
            <w:tcW w:w="1441" w:type="dxa"/>
            <w:vAlign w:val="center"/>
          </w:tcPr>
          <w:p>
            <w:pPr>
              <w:keepNext w:val="0"/>
              <w:keepLines w:val="0"/>
              <w:widowControl/>
              <w:suppressLineNumbers w:val="0"/>
              <w:jc w:val="center"/>
              <w:textAlignment w:val="center"/>
              <w:rPr>
                <w:rFonts w:hint="eastAsia" w:ascii="宋体" w:hAnsi="宋体" w:cs="宋体"/>
                <w:b w:val="0"/>
                <w:bCs/>
                <w:i w:val="0"/>
                <w:color w:val="000000"/>
                <w:kern w:val="0"/>
                <w:sz w:val="24"/>
                <w:szCs w:val="24"/>
                <w:u w:val="none"/>
                <w:lang w:val="en-US" w:eastAsia="zh-CN" w:bidi="ar"/>
              </w:rPr>
            </w:pPr>
            <w:r>
              <w:rPr>
                <w:rFonts w:hint="eastAsia" w:ascii="宋体" w:hAnsi="宋体" w:cs="宋体"/>
                <w:b w:val="0"/>
                <w:bCs/>
                <w:i w:val="0"/>
                <w:color w:val="000000"/>
                <w:kern w:val="0"/>
                <w:sz w:val="24"/>
                <w:szCs w:val="24"/>
                <w:u w:val="none"/>
                <w:lang w:val="en-US" w:eastAsia="zh-CN" w:bidi="ar"/>
              </w:rPr>
              <w:t>户外开闭所</w:t>
            </w:r>
          </w:p>
        </w:tc>
        <w:tc>
          <w:tcPr>
            <w:tcW w:w="19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六间隔户外开闭所 10KV</w:t>
            </w:r>
          </w:p>
        </w:tc>
        <w:tc>
          <w:tcPr>
            <w:tcW w:w="253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HWGO-12/630-6W-D</w:t>
            </w:r>
          </w:p>
        </w:tc>
        <w:tc>
          <w:tcPr>
            <w:tcW w:w="72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台</w:t>
            </w:r>
          </w:p>
        </w:tc>
        <w:tc>
          <w:tcPr>
            <w:tcW w:w="63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1</w:t>
            </w:r>
          </w:p>
        </w:tc>
        <w:tc>
          <w:tcPr>
            <w:tcW w:w="186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highlight w:val="none"/>
                <w:u w:val="none"/>
                <w:lang w:val="en-US" w:eastAsia="zh-CN" w:bidi="ar"/>
              </w:rPr>
            </w:pPr>
            <w:r>
              <w:rPr>
                <w:rFonts w:hint="eastAsia" w:ascii="宋体" w:hAnsi="宋体" w:eastAsia="宋体" w:cs="宋体"/>
                <w:i w:val="0"/>
                <w:color w:val="000000"/>
                <w:kern w:val="0"/>
                <w:sz w:val="20"/>
                <w:szCs w:val="20"/>
                <w:highlight w:val="none"/>
                <w:u w:val="none"/>
                <w:lang w:val="en-US" w:eastAsia="zh-CN" w:bidi="ar"/>
              </w:rPr>
              <w:t>南溪基地</w:t>
            </w:r>
          </w:p>
        </w:tc>
      </w:tr>
    </w:tbl>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仿宋" w:hAnsi="仿宋" w:eastAsia="仿宋" w:cs="仿宋"/>
          <w:b w:val="0"/>
          <w:bCs w:val="0"/>
          <w:sz w:val="30"/>
          <w:szCs w:val="30"/>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right="0" w:rightChars="0"/>
        <w:jc w:val="both"/>
        <w:textAlignment w:val="auto"/>
        <w:outlineLvl w:val="9"/>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二、维保服务要求</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39" w:firstLineChars="213"/>
        <w:jc w:val="both"/>
        <w:textAlignment w:val="auto"/>
        <w:outlineLvl w:val="9"/>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服务商在提供维修服务时，应满足以下要求：</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jc w:val="both"/>
        <w:textAlignment w:val="auto"/>
        <w:rPr>
          <w:rFonts w:hint="eastAsia" w:ascii="仿宋" w:hAnsi="仿宋" w:eastAsia="仿宋" w:cs="仿宋"/>
          <w:b/>
          <w:bCs/>
          <w:i w:val="0"/>
          <w:iCs w:val="0"/>
          <w:color w:val="auto"/>
          <w:sz w:val="30"/>
          <w:szCs w:val="30"/>
          <w:lang w:val="en-US" w:eastAsia="zh-CN"/>
        </w:rPr>
      </w:pPr>
      <w:r>
        <w:rPr>
          <w:rFonts w:hint="eastAsia" w:ascii="仿宋" w:hAnsi="仿宋" w:eastAsia="仿宋" w:cs="仿宋"/>
          <w:b/>
          <w:bCs/>
          <w:i w:val="0"/>
          <w:iCs w:val="0"/>
          <w:color w:val="auto"/>
          <w:sz w:val="30"/>
          <w:szCs w:val="30"/>
          <w:lang w:val="en-US" w:eastAsia="zh-CN"/>
        </w:rPr>
        <w:t>1、维保服务内容</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210" w:leftChars="0" w:right="0" w:rightChars="0" w:firstLine="420" w:firstLineChars="0"/>
        <w:jc w:val="both"/>
        <w:textAlignment w:val="auto"/>
        <w:outlineLvl w:val="9"/>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服务商</w:t>
      </w:r>
      <w:r>
        <w:rPr>
          <w:rFonts w:hint="eastAsia" w:ascii="仿宋" w:hAnsi="仿宋" w:eastAsia="仿宋" w:cs="仿宋"/>
          <w:b w:val="0"/>
          <w:i w:val="0"/>
          <w:caps w:val="0"/>
          <w:color w:val="222222"/>
          <w:spacing w:val="0"/>
          <w:sz w:val="30"/>
          <w:szCs w:val="30"/>
          <w:shd w:val="clear" w:color="auto" w:fill="auto"/>
          <w:lang w:eastAsia="zh-CN"/>
        </w:rPr>
        <w:t>每</w:t>
      </w:r>
      <w:r>
        <w:rPr>
          <w:rFonts w:hint="eastAsia" w:ascii="仿宋" w:hAnsi="仿宋" w:eastAsia="仿宋" w:cs="仿宋"/>
          <w:b w:val="0"/>
          <w:i w:val="0"/>
          <w:caps w:val="0"/>
          <w:color w:val="auto"/>
          <w:spacing w:val="0"/>
          <w:sz w:val="30"/>
          <w:szCs w:val="30"/>
          <w:shd w:val="clear" w:color="auto" w:fill="auto"/>
          <w:lang w:eastAsia="zh-CN"/>
        </w:rPr>
        <w:t>月</w:t>
      </w:r>
      <w:r>
        <w:rPr>
          <w:rFonts w:hint="eastAsia" w:ascii="仿宋" w:hAnsi="仿宋" w:eastAsia="仿宋" w:cs="仿宋"/>
          <w:b w:val="0"/>
          <w:i w:val="0"/>
          <w:caps w:val="0"/>
          <w:color w:val="222222"/>
          <w:spacing w:val="0"/>
          <w:sz w:val="30"/>
          <w:szCs w:val="30"/>
          <w:shd w:val="clear" w:color="auto" w:fill="auto"/>
        </w:rPr>
        <w:t>对</w:t>
      </w:r>
      <w:r>
        <w:rPr>
          <w:rFonts w:hint="eastAsia" w:ascii="仿宋" w:hAnsi="仿宋" w:eastAsia="仿宋" w:cs="仿宋"/>
          <w:b w:val="0"/>
          <w:bCs w:val="0"/>
          <w:color w:val="auto"/>
          <w:sz w:val="30"/>
          <w:szCs w:val="30"/>
          <w:lang w:val="en-US" w:eastAsia="zh-CN"/>
        </w:rPr>
        <w:t>采购方</w:t>
      </w:r>
      <w:r>
        <w:rPr>
          <w:rFonts w:hint="eastAsia" w:ascii="仿宋" w:hAnsi="仿宋" w:eastAsia="仿宋" w:cs="仿宋"/>
          <w:b w:val="0"/>
          <w:bCs w:val="0"/>
          <w:sz w:val="30"/>
          <w:szCs w:val="30"/>
          <w:lang w:val="en-US" w:eastAsia="zh-CN"/>
        </w:rPr>
        <w:t>配电设备</w:t>
      </w:r>
      <w:r>
        <w:rPr>
          <w:rFonts w:hint="eastAsia" w:ascii="仿宋" w:hAnsi="仿宋" w:eastAsia="仿宋" w:cs="仿宋"/>
          <w:b w:val="0"/>
          <w:bCs w:val="0"/>
          <w:sz w:val="28"/>
          <w:szCs w:val="28"/>
          <w:lang w:val="en-US" w:eastAsia="zh-CN"/>
        </w:rPr>
        <w:t>进行至少</w:t>
      </w:r>
      <w:r>
        <w:rPr>
          <w:rFonts w:hint="eastAsia" w:ascii="仿宋" w:hAnsi="仿宋" w:eastAsia="仿宋" w:cs="仿宋"/>
          <w:b w:val="0"/>
          <w:bCs w:val="0"/>
          <w:sz w:val="30"/>
          <w:szCs w:val="30"/>
          <w:lang w:val="en-US" w:eastAsia="zh-CN"/>
        </w:rPr>
        <w:t>一次</w:t>
      </w:r>
      <w:r>
        <w:rPr>
          <w:rFonts w:hint="eastAsia" w:ascii="仿宋" w:hAnsi="仿宋" w:eastAsia="仿宋" w:cs="仿宋"/>
          <w:b w:val="0"/>
          <w:bCs/>
          <w:i w:val="0"/>
          <w:color w:val="000000"/>
          <w:kern w:val="0"/>
          <w:sz w:val="30"/>
          <w:szCs w:val="30"/>
          <w:highlight w:val="none"/>
          <w:u w:val="none"/>
          <w:lang w:val="en-US" w:eastAsia="zh-CN" w:bidi="ar"/>
        </w:rPr>
        <w:t>例行检查，对故障及时进行排查，确保设备达到使用方要求</w:t>
      </w:r>
      <w:r>
        <w:rPr>
          <w:rFonts w:hint="eastAsia" w:ascii="仿宋" w:hAnsi="仿宋" w:eastAsia="仿宋" w:cs="仿宋"/>
          <w:b w:val="0"/>
          <w:bCs w:val="0"/>
          <w:sz w:val="30"/>
          <w:szCs w:val="30"/>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210" w:leftChars="0" w:right="0" w:rightChars="0" w:firstLine="420" w:firstLineChars="0"/>
        <w:jc w:val="both"/>
        <w:textAlignment w:val="auto"/>
        <w:outlineLvl w:val="9"/>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服务商应对采购方的重要会议或培训提供全过程保障（包括准备阶段的设备测试排障），有必要时提供备用设备应急使用和安排专人现场待命，以便处理突发性设备故障。</w:t>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rPr>
          <w:rFonts w:hint="eastAsia" w:ascii="仿宋" w:hAnsi="仿宋" w:eastAsia="仿宋" w:cs="仿宋"/>
          <w:b w:val="0"/>
          <w:bCs w:val="0"/>
          <w:i w:val="0"/>
          <w:iCs w:val="0"/>
          <w:color w:val="auto"/>
          <w:sz w:val="30"/>
          <w:szCs w:val="30"/>
          <w:lang w:val="en-US" w:eastAsia="zh-CN"/>
        </w:rPr>
      </w:pPr>
      <w:r>
        <w:rPr>
          <w:rFonts w:hint="eastAsia" w:ascii="仿宋" w:hAnsi="仿宋" w:eastAsia="仿宋" w:cs="仿宋"/>
          <w:b/>
          <w:bCs/>
          <w:i w:val="0"/>
          <w:iCs w:val="0"/>
          <w:color w:val="auto"/>
          <w:sz w:val="30"/>
          <w:szCs w:val="30"/>
          <w:lang w:val="en-US" w:eastAsia="zh-CN"/>
        </w:rPr>
        <w:t>2、维修响应要求</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eastAsia="zh-CN"/>
        </w:rPr>
        <w:t>服务商应对本合同内设备提供</w:t>
      </w:r>
      <w:r>
        <w:rPr>
          <w:rFonts w:hint="eastAsia" w:ascii="仿宋" w:hAnsi="仿宋" w:eastAsia="仿宋" w:cs="仿宋"/>
          <w:b w:val="0"/>
          <w:bCs w:val="0"/>
          <w:color w:val="auto"/>
          <w:sz w:val="30"/>
          <w:szCs w:val="30"/>
          <w:lang w:val="en-US" w:eastAsia="zh-CN"/>
        </w:rPr>
        <w:t>7×24小时应急维修服务。</w:t>
      </w:r>
      <w:r>
        <w:rPr>
          <w:rFonts w:hint="eastAsia" w:ascii="仿宋" w:hAnsi="仿宋" w:eastAsia="仿宋" w:cs="仿宋"/>
          <w:b w:val="0"/>
          <w:bCs w:val="0"/>
          <w:color w:val="auto"/>
          <w:sz w:val="30"/>
          <w:szCs w:val="30"/>
          <w:lang w:eastAsia="zh-CN"/>
        </w:rPr>
        <w:t>服务商在接到采购方的报修电话后，应对故障进行初步判定，指导报修人进行应急处置；如需要现场处理的问题：紧急故障应在</w:t>
      </w:r>
      <w:r>
        <w:rPr>
          <w:rFonts w:hint="eastAsia" w:ascii="仿宋" w:hAnsi="仿宋" w:eastAsia="仿宋" w:cs="仿宋"/>
          <w:b w:val="0"/>
          <w:bCs w:val="0"/>
          <w:color w:val="auto"/>
          <w:sz w:val="30"/>
          <w:szCs w:val="30"/>
          <w:lang w:val="en-US" w:eastAsia="zh-CN"/>
        </w:rPr>
        <w:t>2小时内到达现场调试及维修，普通故障应在8小时内到达现场调试及维修。</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不需要额外配件的维修，应在到场后2小时内完成维修；</w:t>
      </w:r>
      <w:r>
        <w:rPr>
          <w:rFonts w:hint="eastAsia" w:ascii="仿宋" w:hAnsi="仿宋" w:eastAsia="仿宋" w:cs="仿宋"/>
          <w:b w:val="0"/>
          <w:bCs w:val="0"/>
          <w:color w:val="auto"/>
          <w:sz w:val="30"/>
          <w:szCs w:val="30"/>
          <w:lang w:eastAsia="zh-CN"/>
        </w:rPr>
        <w:t>涉及到配件采购的维修，服务商应在配件到货后</w:t>
      </w:r>
      <w:r>
        <w:rPr>
          <w:rFonts w:hint="eastAsia" w:ascii="仿宋" w:hAnsi="仿宋" w:eastAsia="仿宋" w:cs="仿宋"/>
          <w:b w:val="0"/>
          <w:bCs w:val="0"/>
          <w:color w:val="auto"/>
          <w:sz w:val="30"/>
          <w:szCs w:val="30"/>
          <w:lang w:val="en-US" w:eastAsia="zh-CN"/>
        </w:rPr>
        <w:t>1个工作日内，与采购方约定维修时间并在采购方规定时间内完成维修。</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eastAsia="zh-CN"/>
        </w:rPr>
        <w:t>涉及到更换配件的维修，实施维修应经过采购方现场核实并同意，否则不得实施维修。</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jc w:val="both"/>
        <w:textAlignment w:val="auto"/>
        <w:rPr>
          <w:rFonts w:hint="eastAsia" w:ascii="仿宋" w:hAnsi="仿宋" w:eastAsia="仿宋" w:cs="仿宋"/>
          <w:b/>
          <w:bCs/>
          <w:i w:val="0"/>
          <w:iCs w:val="0"/>
          <w:color w:val="auto"/>
          <w:sz w:val="30"/>
          <w:szCs w:val="30"/>
          <w:lang w:val="en-US" w:eastAsia="zh-CN"/>
        </w:rPr>
      </w:pPr>
      <w:r>
        <w:rPr>
          <w:rFonts w:hint="eastAsia" w:ascii="仿宋" w:hAnsi="仿宋" w:eastAsia="仿宋" w:cs="仿宋"/>
          <w:b/>
          <w:bCs/>
          <w:i w:val="0"/>
          <w:iCs w:val="0"/>
          <w:color w:val="auto"/>
          <w:sz w:val="30"/>
          <w:szCs w:val="30"/>
          <w:lang w:val="en-US" w:eastAsia="zh-CN"/>
        </w:rPr>
        <w:t>3、维修过程管理要求</w:t>
      </w:r>
    </w:p>
    <w:p>
      <w:pPr>
        <w:keepNext w:val="0"/>
        <w:keepLines w:val="0"/>
        <w:pageBreakBefore w:val="0"/>
        <w:widowControl w:val="0"/>
        <w:numPr>
          <w:ilvl w:val="0"/>
          <w:numId w:val="3"/>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服务商在接到维修需求到场后，应根据各设备说明书或线路图等可靠依据，结合现场情况判断故障原因，不得单纯凭经验做结论；</w:t>
      </w:r>
    </w:p>
    <w:p>
      <w:pPr>
        <w:keepNext w:val="0"/>
        <w:keepLines w:val="0"/>
        <w:pageBreakBefore w:val="0"/>
        <w:widowControl w:val="0"/>
        <w:numPr>
          <w:ilvl w:val="0"/>
          <w:numId w:val="3"/>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服务商维修过程中，应服从采购方现场安全管理，实施维修前做好必要的安全保护措施，保证人员和设备安全；</w:t>
      </w:r>
    </w:p>
    <w:p>
      <w:pPr>
        <w:keepNext w:val="0"/>
        <w:keepLines w:val="0"/>
        <w:pageBreakBefore w:val="0"/>
        <w:widowControl w:val="0"/>
        <w:numPr>
          <w:ilvl w:val="0"/>
          <w:numId w:val="3"/>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服务商应在实施维修前预估该维修对业务的影响，与使用部门协商确认维修时间，不得在未经同意情况下进场维修；</w:t>
      </w:r>
    </w:p>
    <w:p>
      <w:pPr>
        <w:keepNext w:val="0"/>
        <w:keepLines w:val="0"/>
        <w:pageBreakBefore w:val="0"/>
        <w:widowControl w:val="0"/>
        <w:numPr>
          <w:ilvl w:val="0"/>
          <w:numId w:val="3"/>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服务商维修过程中，向采购方借用的工器具，应在离场前将工具归还给采购方。</w:t>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rPr>
          <w:rFonts w:hint="eastAsia" w:ascii="仿宋" w:hAnsi="仿宋" w:eastAsia="仿宋" w:cs="仿宋"/>
          <w:b/>
          <w:bCs/>
          <w:i w:val="0"/>
          <w:iCs w:val="0"/>
          <w:color w:val="auto"/>
          <w:sz w:val="30"/>
          <w:szCs w:val="30"/>
          <w:lang w:val="en-US" w:eastAsia="zh-CN"/>
        </w:rPr>
      </w:pPr>
      <w:r>
        <w:rPr>
          <w:rFonts w:hint="eastAsia" w:ascii="仿宋" w:hAnsi="仿宋" w:eastAsia="仿宋" w:cs="仿宋"/>
          <w:b/>
          <w:bCs/>
          <w:i w:val="0"/>
          <w:iCs w:val="0"/>
          <w:color w:val="auto"/>
          <w:sz w:val="30"/>
          <w:szCs w:val="30"/>
          <w:lang w:val="en-US" w:eastAsia="zh-CN"/>
        </w:rPr>
        <w:t>4、其他要求</w:t>
      </w:r>
    </w:p>
    <w:p>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sz w:val="30"/>
          <w:szCs w:val="30"/>
        </w:rPr>
      </w:pPr>
      <w:r>
        <w:rPr>
          <w:rFonts w:hint="eastAsia" w:ascii="仿宋" w:hAnsi="仿宋" w:eastAsia="仿宋" w:cs="仿宋"/>
          <w:b w:val="0"/>
          <w:bCs w:val="0"/>
          <w:color w:val="auto"/>
          <w:sz w:val="30"/>
          <w:szCs w:val="30"/>
          <w:lang w:eastAsia="zh-CN"/>
        </w:rPr>
        <w:t>服务商在维修过程中，有责任对采购方提出使用建议，最大限度避免采购方操作人员因操作不当导致设备受损甚至危及人身安全</w:t>
      </w:r>
      <w:r>
        <w:rPr>
          <w:rFonts w:hint="eastAsia" w:ascii="仿宋" w:hAnsi="仿宋" w:eastAsia="仿宋" w:cs="仿宋"/>
          <w:sz w:val="30"/>
          <w:szCs w:val="30"/>
        </w:rPr>
        <w:t>。</w:t>
      </w:r>
    </w:p>
    <w:p>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服务商在维修过程中，除完成采购方提出的维修需求外，发现设备有其他隐患时，应对采购方提出维修建议，由双方讨论确认是否实施维修。</w:t>
      </w:r>
    </w:p>
    <w:p>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right="0" w:rightChars="0" w:firstLine="420" w:firstLineChars="0"/>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服务商完成的维修，如有涉及配件更换的，应提供一年的质保服务。质保期内，由配件质量不合格引起的故障，服务商应无偿为采购方处理，服务商提供的质保服务不包括因不可抗力或采购方人员操作不当造成的损坏。</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jc w:val="both"/>
        <w:textAlignment w:val="auto"/>
        <w:rPr>
          <w:rFonts w:hint="eastAsia" w:ascii="仿宋" w:hAnsi="仿宋" w:eastAsia="仿宋" w:cs="仿宋"/>
          <w:b/>
          <w:bCs/>
          <w:i w:val="0"/>
          <w:iCs w:val="0"/>
          <w:color w:val="auto"/>
          <w:sz w:val="30"/>
          <w:szCs w:val="30"/>
          <w:lang w:val="en-US" w:eastAsia="zh-CN"/>
        </w:rPr>
      </w:pPr>
      <w:r>
        <w:rPr>
          <w:rFonts w:hint="eastAsia" w:ascii="仿宋" w:hAnsi="仿宋" w:eastAsia="仿宋" w:cs="仿宋"/>
          <w:b/>
          <w:bCs/>
          <w:i w:val="0"/>
          <w:iCs w:val="0"/>
          <w:color w:val="auto"/>
          <w:sz w:val="30"/>
          <w:szCs w:val="30"/>
          <w:lang w:val="en-US" w:eastAsia="zh-CN"/>
        </w:rPr>
        <w:t>5、服务地址</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420" w:leftChars="0" w:right="0" w:rightChars="0"/>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南溪基地：广西桂林市象山区将军路2号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420" w:leftChars="0" w:right="0" w:rightChars="0"/>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卧佛基地/二级泵房：广西桂林市象山区沙河路1号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420" w:leftChars="0" w:right="0" w:rightChars="0"/>
        <w:jc w:val="both"/>
        <w:textAlignment w:val="auto"/>
        <w:rPr>
          <w:rFonts w:hint="eastAsia" w:ascii="仿宋" w:hAnsi="仿宋" w:eastAsia="仿宋" w:cs="仿宋"/>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09414D"/>
    <w:multiLevelType w:val="singleLevel"/>
    <w:tmpl w:val="9E09414D"/>
    <w:lvl w:ilvl="0" w:tentative="0">
      <w:start w:val="1"/>
      <w:numFmt w:val="chineseCounting"/>
      <w:suff w:val="nothing"/>
      <w:lvlText w:val="（%1）"/>
      <w:lvlJc w:val="left"/>
      <w:pPr>
        <w:ind w:left="0" w:firstLine="420"/>
      </w:pPr>
      <w:rPr>
        <w:rFonts w:hint="eastAsia"/>
      </w:rPr>
    </w:lvl>
  </w:abstractNum>
  <w:abstractNum w:abstractNumId="1">
    <w:nsid w:val="3234A26B"/>
    <w:multiLevelType w:val="singleLevel"/>
    <w:tmpl w:val="3234A26B"/>
    <w:lvl w:ilvl="0" w:tentative="0">
      <w:start w:val="1"/>
      <w:numFmt w:val="chineseCounting"/>
      <w:suff w:val="nothing"/>
      <w:lvlText w:val="（%1）"/>
      <w:lvlJc w:val="left"/>
      <w:pPr>
        <w:ind w:left="0" w:firstLine="420"/>
      </w:pPr>
      <w:rPr>
        <w:rFonts w:hint="eastAsia"/>
      </w:rPr>
    </w:lvl>
  </w:abstractNum>
  <w:abstractNum w:abstractNumId="2">
    <w:nsid w:val="6D81E581"/>
    <w:multiLevelType w:val="singleLevel"/>
    <w:tmpl w:val="6D81E581"/>
    <w:lvl w:ilvl="0" w:tentative="0">
      <w:start w:val="1"/>
      <w:numFmt w:val="chineseCounting"/>
      <w:suff w:val="nothing"/>
      <w:lvlText w:val="（%1）"/>
      <w:lvlJc w:val="left"/>
      <w:pPr>
        <w:ind w:left="210" w:firstLine="420"/>
      </w:pPr>
      <w:rPr>
        <w:rFonts w:hint="eastAsia"/>
      </w:rPr>
    </w:lvl>
  </w:abstractNum>
  <w:abstractNum w:abstractNumId="3">
    <w:nsid w:val="782911E5"/>
    <w:multiLevelType w:val="singleLevel"/>
    <w:tmpl w:val="782911E5"/>
    <w:lvl w:ilvl="0" w:tentative="0">
      <w:start w:val="1"/>
      <w:numFmt w:val="chineseCounting"/>
      <w:suff w:val="nothing"/>
      <w:lvlText w:val="（%1）"/>
      <w:lvlJc w:val="left"/>
      <w:pPr>
        <w:ind w:left="0" w:firstLine="42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100C37"/>
    <w:rsid w:val="00980747"/>
    <w:rsid w:val="00C4695B"/>
    <w:rsid w:val="00D019E4"/>
    <w:rsid w:val="0106026A"/>
    <w:rsid w:val="01277A5A"/>
    <w:rsid w:val="016F7EE1"/>
    <w:rsid w:val="0190659F"/>
    <w:rsid w:val="01B00F5E"/>
    <w:rsid w:val="01C7062D"/>
    <w:rsid w:val="01D364FB"/>
    <w:rsid w:val="024E1C08"/>
    <w:rsid w:val="02F5042D"/>
    <w:rsid w:val="03385656"/>
    <w:rsid w:val="03820F4E"/>
    <w:rsid w:val="039E087E"/>
    <w:rsid w:val="03DC34AE"/>
    <w:rsid w:val="040715B9"/>
    <w:rsid w:val="0482565C"/>
    <w:rsid w:val="04A113A5"/>
    <w:rsid w:val="04F1650A"/>
    <w:rsid w:val="052E2C3B"/>
    <w:rsid w:val="05550D76"/>
    <w:rsid w:val="0573206E"/>
    <w:rsid w:val="05E12E54"/>
    <w:rsid w:val="05E95EA7"/>
    <w:rsid w:val="06696793"/>
    <w:rsid w:val="06B014B1"/>
    <w:rsid w:val="06CE0A71"/>
    <w:rsid w:val="06DD5140"/>
    <w:rsid w:val="07075397"/>
    <w:rsid w:val="07301CA7"/>
    <w:rsid w:val="0757795C"/>
    <w:rsid w:val="080A66F2"/>
    <w:rsid w:val="08A276FB"/>
    <w:rsid w:val="08A80322"/>
    <w:rsid w:val="092D03E8"/>
    <w:rsid w:val="09456080"/>
    <w:rsid w:val="09AE206E"/>
    <w:rsid w:val="09B439A6"/>
    <w:rsid w:val="09C71BAC"/>
    <w:rsid w:val="09CB725B"/>
    <w:rsid w:val="09EB686F"/>
    <w:rsid w:val="0A1822B8"/>
    <w:rsid w:val="0A314270"/>
    <w:rsid w:val="0A3B28FD"/>
    <w:rsid w:val="0A5F054F"/>
    <w:rsid w:val="0A7D5943"/>
    <w:rsid w:val="0A9145E4"/>
    <w:rsid w:val="0AF71ADC"/>
    <w:rsid w:val="0B024659"/>
    <w:rsid w:val="0B1722BE"/>
    <w:rsid w:val="0B7F09E9"/>
    <w:rsid w:val="0B95131D"/>
    <w:rsid w:val="0B966410"/>
    <w:rsid w:val="0BC71A1A"/>
    <w:rsid w:val="0BD848FB"/>
    <w:rsid w:val="0BF05825"/>
    <w:rsid w:val="0C037A25"/>
    <w:rsid w:val="0C125A5D"/>
    <w:rsid w:val="0C187FDC"/>
    <w:rsid w:val="0C1C443C"/>
    <w:rsid w:val="0C48085D"/>
    <w:rsid w:val="0CCE1990"/>
    <w:rsid w:val="0CD136F3"/>
    <w:rsid w:val="0CD21ED4"/>
    <w:rsid w:val="0CFF215F"/>
    <w:rsid w:val="0D9B053C"/>
    <w:rsid w:val="0DD237BC"/>
    <w:rsid w:val="0E7A19D3"/>
    <w:rsid w:val="0E8100DC"/>
    <w:rsid w:val="0E9B53B2"/>
    <w:rsid w:val="0EFA3BD9"/>
    <w:rsid w:val="0F5848BD"/>
    <w:rsid w:val="10285636"/>
    <w:rsid w:val="10541409"/>
    <w:rsid w:val="10AC3EE9"/>
    <w:rsid w:val="10AF3CFE"/>
    <w:rsid w:val="11051FFA"/>
    <w:rsid w:val="11273833"/>
    <w:rsid w:val="113C7F55"/>
    <w:rsid w:val="11A46D39"/>
    <w:rsid w:val="11E61049"/>
    <w:rsid w:val="12292341"/>
    <w:rsid w:val="12673C2F"/>
    <w:rsid w:val="12734A26"/>
    <w:rsid w:val="12BB2134"/>
    <w:rsid w:val="12BD3CE9"/>
    <w:rsid w:val="1381490C"/>
    <w:rsid w:val="13935EAB"/>
    <w:rsid w:val="13952FB0"/>
    <w:rsid w:val="140A1497"/>
    <w:rsid w:val="14F46177"/>
    <w:rsid w:val="156A071F"/>
    <w:rsid w:val="15AB16FA"/>
    <w:rsid w:val="16196796"/>
    <w:rsid w:val="16375C00"/>
    <w:rsid w:val="16577595"/>
    <w:rsid w:val="168F7E12"/>
    <w:rsid w:val="16C00785"/>
    <w:rsid w:val="178734F7"/>
    <w:rsid w:val="18644608"/>
    <w:rsid w:val="186D3DC2"/>
    <w:rsid w:val="18ED0F6E"/>
    <w:rsid w:val="18FD6AEC"/>
    <w:rsid w:val="195B59A7"/>
    <w:rsid w:val="1A314705"/>
    <w:rsid w:val="1A35310B"/>
    <w:rsid w:val="1A3B555D"/>
    <w:rsid w:val="1A7B1DA8"/>
    <w:rsid w:val="1AC437A4"/>
    <w:rsid w:val="1AE62D5F"/>
    <w:rsid w:val="1B253633"/>
    <w:rsid w:val="1B4A101E"/>
    <w:rsid w:val="1B9B2910"/>
    <w:rsid w:val="1BAE35E3"/>
    <w:rsid w:val="1BDE0F8F"/>
    <w:rsid w:val="1C450625"/>
    <w:rsid w:val="1C7A063F"/>
    <w:rsid w:val="1D2A4621"/>
    <w:rsid w:val="1D612728"/>
    <w:rsid w:val="1D76313D"/>
    <w:rsid w:val="1E3571AE"/>
    <w:rsid w:val="1E574E55"/>
    <w:rsid w:val="1EBF3B30"/>
    <w:rsid w:val="1F1E713B"/>
    <w:rsid w:val="1F5241EC"/>
    <w:rsid w:val="1FBB4398"/>
    <w:rsid w:val="201B0BE7"/>
    <w:rsid w:val="20422C62"/>
    <w:rsid w:val="20724F55"/>
    <w:rsid w:val="208B7373"/>
    <w:rsid w:val="20CC130C"/>
    <w:rsid w:val="20FD05AB"/>
    <w:rsid w:val="2174481D"/>
    <w:rsid w:val="222B60B7"/>
    <w:rsid w:val="22524672"/>
    <w:rsid w:val="226D421E"/>
    <w:rsid w:val="22961881"/>
    <w:rsid w:val="229E355B"/>
    <w:rsid w:val="22AC2153"/>
    <w:rsid w:val="22B01277"/>
    <w:rsid w:val="22E80075"/>
    <w:rsid w:val="22E877AF"/>
    <w:rsid w:val="22F5422C"/>
    <w:rsid w:val="23524303"/>
    <w:rsid w:val="23A4088A"/>
    <w:rsid w:val="23B754D2"/>
    <w:rsid w:val="23F211DB"/>
    <w:rsid w:val="248F1FF6"/>
    <w:rsid w:val="24924293"/>
    <w:rsid w:val="24B125BB"/>
    <w:rsid w:val="24CC4E20"/>
    <w:rsid w:val="24F811AD"/>
    <w:rsid w:val="25DC0BEB"/>
    <w:rsid w:val="25F46D8D"/>
    <w:rsid w:val="26291EAE"/>
    <w:rsid w:val="26844109"/>
    <w:rsid w:val="27107221"/>
    <w:rsid w:val="2779136A"/>
    <w:rsid w:val="27DF2C04"/>
    <w:rsid w:val="27FD4F6D"/>
    <w:rsid w:val="280B3FC1"/>
    <w:rsid w:val="28141926"/>
    <w:rsid w:val="282C3433"/>
    <w:rsid w:val="286042A9"/>
    <w:rsid w:val="288D5494"/>
    <w:rsid w:val="297C254C"/>
    <w:rsid w:val="2A1E1C7F"/>
    <w:rsid w:val="2B8B5E71"/>
    <w:rsid w:val="2B8C48CB"/>
    <w:rsid w:val="2B9F4848"/>
    <w:rsid w:val="2BAC1E16"/>
    <w:rsid w:val="2BCE31CF"/>
    <w:rsid w:val="2C203B63"/>
    <w:rsid w:val="2C931BD4"/>
    <w:rsid w:val="2C9B1936"/>
    <w:rsid w:val="2CE47F8F"/>
    <w:rsid w:val="2CFC4448"/>
    <w:rsid w:val="2D1A7EF2"/>
    <w:rsid w:val="2D31562C"/>
    <w:rsid w:val="2D7846A8"/>
    <w:rsid w:val="2D934EA2"/>
    <w:rsid w:val="2E326361"/>
    <w:rsid w:val="2E821B7E"/>
    <w:rsid w:val="2E90716F"/>
    <w:rsid w:val="2EA84D9A"/>
    <w:rsid w:val="2EAB7F1D"/>
    <w:rsid w:val="2EB021A6"/>
    <w:rsid w:val="2ED05BEC"/>
    <w:rsid w:val="2EDC532D"/>
    <w:rsid w:val="2F265668"/>
    <w:rsid w:val="2F89790B"/>
    <w:rsid w:val="2F8F51B2"/>
    <w:rsid w:val="2FE5590D"/>
    <w:rsid w:val="301607F4"/>
    <w:rsid w:val="302B4F16"/>
    <w:rsid w:val="308E4E30"/>
    <w:rsid w:val="30B86651"/>
    <w:rsid w:val="30DA0A36"/>
    <w:rsid w:val="314978EC"/>
    <w:rsid w:val="31507CD7"/>
    <w:rsid w:val="31532140"/>
    <w:rsid w:val="31B168AB"/>
    <w:rsid w:val="31C10029"/>
    <w:rsid w:val="31CF266A"/>
    <w:rsid w:val="32236F5A"/>
    <w:rsid w:val="32593983"/>
    <w:rsid w:val="32882874"/>
    <w:rsid w:val="329D3696"/>
    <w:rsid w:val="33394B99"/>
    <w:rsid w:val="3341662A"/>
    <w:rsid w:val="33750355"/>
    <w:rsid w:val="33B30246"/>
    <w:rsid w:val="34084156"/>
    <w:rsid w:val="343414A5"/>
    <w:rsid w:val="34BB3A10"/>
    <w:rsid w:val="34C102B0"/>
    <w:rsid w:val="34C6437C"/>
    <w:rsid w:val="351F7F5B"/>
    <w:rsid w:val="35490359"/>
    <w:rsid w:val="35DA61C5"/>
    <w:rsid w:val="3608272B"/>
    <w:rsid w:val="360E536D"/>
    <w:rsid w:val="36234F22"/>
    <w:rsid w:val="3644653A"/>
    <w:rsid w:val="36CB57D5"/>
    <w:rsid w:val="36DA52B0"/>
    <w:rsid w:val="36FB7945"/>
    <w:rsid w:val="3782185E"/>
    <w:rsid w:val="37A71CA0"/>
    <w:rsid w:val="37C1354E"/>
    <w:rsid w:val="388B33D1"/>
    <w:rsid w:val="388C101B"/>
    <w:rsid w:val="391060DB"/>
    <w:rsid w:val="39215A2C"/>
    <w:rsid w:val="3969180F"/>
    <w:rsid w:val="39797AEB"/>
    <w:rsid w:val="39895872"/>
    <w:rsid w:val="39B6763B"/>
    <w:rsid w:val="3A1723C4"/>
    <w:rsid w:val="3A2E6000"/>
    <w:rsid w:val="3A644761"/>
    <w:rsid w:val="3AC26649"/>
    <w:rsid w:val="3ACE448B"/>
    <w:rsid w:val="3AE531B4"/>
    <w:rsid w:val="3B1F2164"/>
    <w:rsid w:val="3B411F41"/>
    <w:rsid w:val="3B5253A8"/>
    <w:rsid w:val="3B9B4C70"/>
    <w:rsid w:val="3BB932A4"/>
    <w:rsid w:val="3C100C37"/>
    <w:rsid w:val="3C2812BC"/>
    <w:rsid w:val="3C3E5AA5"/>
    <w:rsid w:val="3C6306A8"/>
    <w:rsid w:val="3D153C8C"/>
    <w:rsid w:val="3D3F2C30"/>
    <w:rsid w:val="3D513219"/>
    <w:rsid w:val="3D800950"/>
    <w:rsid w:val="3D9133C6"/>
    <w:rsid w:val="3E260AFE"/>
    <w:rsid w:val="3EAA16DD"/>
    <w:rsid w:val="3EAB19F9"/>
    <w:rsid w:val="3EED5649"/>
    <w:rsid w:val="3FA40288"/>
    <w:rsid w:val="402230F8"/>
    <w:rsid w:val="404F2992"/>
    <w:rsid w:val="40A5279C"/>
    <w:rsid w:val="40A86BF9"/>
    <w:rsid w:val="40C47FCA"/>
    <w:rsid w:val="41B52A4D"/>
    <w:rsid w:val="42163948"/>
    <w:rsid w:val="423D50AD"/>
    <w:rsid w:val="42585666"/>
    <w:rsid w:val="427B6B1F"/>
    <w:rsid w:val="42860734"/>
    <w:rsid w:val="42B62097"/>
    <w:rsid w:val="43706133"/>
    <w:rsid w:val="438621A8"/>
    <w:rsid w:val="43F352CA"/>
    <w:rsid w:val="441372A3"/>
    <w:rsid w:val="44356368"/>
    <w:rsid w:val="448E5285"/>
    <w:rsid w:val="449F2F7B"/>
    <w:rsid w:val="44DE03A7"/>
    <w:rsid w:val="45364B4A"/>
    <w:rsid w:val="453C1F26"/>
    <w:rsid w:val="45701CAF"/>
    <w:rsid w:val="45A032C4"/>
    <w:rsid w:val="45B76842"/>
    <w:rsid w:val="45F33C53"/>
    <w:rsid w:val="46130905"/>
    <w:rsid w:val="465D5881"/>
    <w:rsid w:val="46AA6913"/>
    <w:rsid w:val="46C072CB"/>
    <w:rsid w:val="47613E2A"/>
    <w:rsid w:val="481A57D7"/>
    <w:rsid w:val="488E5795"/>
    <w:rsid w:val="48F32F15"/>
    <w:rsid w:val="4913286C"/>
    <w:rsid w:val="491F7A39"/>
    <w:rsid w:val="493535E7"/>
    <w:rsid w:val="49734B0E"/>
    <w:rsid w:val="49CB4F20"/>
    <w:rsid w:val="49E75D88"/>
    <w:rsid w:val="4A504022"/>
    <w:rsid w:val="4AAA1CC9"/>
    <w:rsid w:val="4AC00034"/>
    <w:rsid w:val="4B5213C3"/>
    <w:rsid w:val="4BAC56B3"/>
    <w:rsid w:val="4C6D001D"/>
    <w:rsid w:val="4C9359B0"/>
    <w:rsid w:val="4CA05669"/>
    <w:rsid w:val="4D177929"/>
    <w:rsid w:val="4D2B22FE"/>
    <w:rsid w:val="4EF7729F"/>
    <w:rsid w:val="4F2B109F"/>
    <w:rsid w:val="4F3545E8"/>
    <w:rsid w:val="4F780E84"/>
    <w:rsid w:val="501B1385"/>
    <w:rsid w:val="504063F2"/>
    <w:rsid w:val="509764E9"/>
    <w:rsid w:val="50AC399D"/>
    <w:rsid w:val="50BE6D3E"/>
    <w:rsid w:val="50C1736A"/>
    <w:rsid w:val="510D4543"/>
    <w:rsid w:val="51314BD2"/>
    <w:rsid w:val="51426A80"/>
    <w:rsid w:val="51901EC1"/>
    <w:rsid w:val="51B95CA3"/>
    <w:rsid w:val="51E473DC"/>
    <w:rsid w:val="522F5C50"/>
    <w:rsid w:val="52781559"/>
    <w:rsid w:val="535272F0"/>
    <w:rsid w:val="53917049"/>
    <w:rsid w:val="53BF7655"/>
    <w:rsid w:val="53C83B18"/>
    <w:rsid w:val="542B407F"/>
    <w:rsid w:val="54461F2F"/>
    <w:rsid w:val="55450221"/>
    <w:rsid w:val="55560148"/>
    <w:rsid w:val="55631EC9"/>
    <w:rsid w:val="557D59F9"/>
    <w:rsid w:val="559B3071"/>
    <w:rsid w:val="55C45091"/>
    <w:rsid w:val="55E02872"/>
    <w:rsid w:val="566F4FFD"/>
    <w:rsid w:val="56E46FF4"/>
    <w:rsid w:val="56EB7683"/>
    <w:rsid w:val="56F70BA5"/>
    <w:rsid w:val="572110F3"/>
    <w:rsid w:val="5772104E"/>
    <w:rsid w:val="57AC56C6"/>
    <w:rsid w:val="58434790"/>
    <w:rsid w:val="59231176"/>
    <w:rsid w:val="598D66F5"/>
    <w:rsid w:val="59A953B6"/>
    <w:rsid w:val="59E56FC9"/>
    <w:rsid w:val="5A093EC3"/>
    <w:rsid w:val="5A8B6A1B"/>
    <w:rsid w:val="5A924D44"/>
    <w:rsid w:val="5C297741"/>
    <w:rsid w:val="5C616D4E"/>
    <w:rsid w:val="5C8C03EE"/>
    <w:rsid w:val="5D171025"/>
    <w:rsid w:val="5D3D50C1"/>
    <w:rsid w:val="5D657148"/>
    <w:rsid w:val="5D750FD5"/>
    <w:rsid w:val="5DC72263"/>
    <w:rsid w:val="5E142764"/>
    <w:rsid w:val="5E5141DC"/>
    <w:rsid w:val="5E56226B"/>
    <w:rsid w:val="5E8425B7"/>
    <w:rsid w:val="5E8D242E"/>
    <w:rsid w:val="5E91543A"/>
    <w:rsid w:val="5EA95BDD"/>
    <w:rsid w:val="5EB83290"/>
    <w:rsid w:val="5EF046D1"/>
    <w:rsid w:val="5F2B3539"/>
    <w:rsid w:val="5F3001F4"/>
    <w:rsid w:val="5FAB1581"/>
    <w:rsid w:val="5FBA1B9B"/>
    <w:rsid w:val="601F296A"/>
    <w:rsid w:val="602E4651"/>
    <w:rsid w:val="60313DBE"/>
    <w:rsid w:val="61087E5D"/>
    <w:rsid w:val="610F24CD"/>
    <w:rsid w:val="61786679"/>
    <w:rsid w:val="61967E27"/>
    <w:rsid w:val="61AE04B3"/>
    <w:rsid w:val="61CC6BAB"/>
    <w:rsid w:val="62380509"/>
    <w:rsid w:val="628A6B39"/>
    <w:rsid w:val="62957D4A"/>
    <w:rsid w:val="62DE1443"/>
    <w:rsid w:val="63164A83"/>
    <w:rsid w:val="63580E72"/>
    <w:rsid w:val="63CB7DC7"/>
    <w:rsid w:val="63EC3B7F"/>
    <w:rsid w:val="63F4592B"/>
    <w:rsid w:val="6419380F"/>
    <w:rsid w:val="646237BE"/>
    <w:rsid w:val="64644194"/>
    <w:rsid w:val="65112340"/>
    <w:rsid w:val="658F7C1B"/>
    <w:rsid w:val="65DD7401"/>
    <w:rsid w:val="65FC72B4"/>
    <w:rsid w:val="661615F4"/>
    <w:rsid w:val="66850498"/>
    <w:rsid w:val="6749430D"/>
    <w:rsid w:val="67701E7F"/>
    <w:rsid w:val="67714745"/>
    <w:rsid w:val="67DF4D79"/>
    <w:rsid w:val="682809C1"/>
    <w:rsid w:val="684C3D92"/>
    <w:rsid w:val="68BF2F0D"/>
    <w:rsid w:val="68C125A8"/>
    <w:rsid w:val="69552226"/>
    <w:rsid w:val="698E432E"/>
    <w:rsid w:val="69FA6BAA"/>
    <w:rsid w:val="6AC45A36"/>
    <w:rsid w:val="6B0D1389"/>
    <w:rsid w:val="6B2D1BE2"/>
    <w:rsid w:val="6B414500"/>
    <w:rsid w:val="6B816517"/>
    <w:rsid w:val="6B886DA6"/>
    <w:rsid w:val="6C542CCA"/>
    <w:rsid w:val="6C5543CB"/>
    <w:rsid w:val="6C712D9B"/>
    <w:rsid w:val="6C8F3DA8"/>
    <w:rsid w:val="6D205796"/>
    <w:rsid w:val="6D767E18"/>
    <w:rsid w:val="6DF4248C"/>
    <w:rsid w:val="6E055F32"/>
    <w:rsid w:val="6E1F08F2"/>
    <w:rsid w:val="6E78714C"/>
    <w:rsid w:val="6ED15AA3"/>
    <w:rsid w:val="6F5A5F3F"/>
    <w:rsid w:val="6F9426DC"/>
    <w:rsid w:val="6F9704C7"/>
    <w:rsid w:val="6FF65F12"/>
    <w:rsid w:val="7018520E"/>
    <w:rsid w:val="708B4D47"/>
    <w:rsid w:val="70B435F2"/>
    <w:rsid w:val="70DD122C"/>
    <w:rsid w:val="717D7259"/>
    <w:rsid w:val="71912BE1"/>
    <w:rsid w:val="71BF088B"/>
    <w:rsid w:val="71C623A9"/>
    <w:rsid w:val="71F301C3"/>
    <w:rsid w:val="725561A2"/>
    <w:rsid w:val="72744714"/>
    <w:rsid w:val="7278765C"/>
    <w:rsid w:val="72BE454D"/>
    <w:rsid w:val="73135CCE"/>
    <w:rsid w:val="734D607F"/>
    <w:rsid w:val="7359474B"/>
    <w:rsid w:val="73746B72"/>
    <w:rsid w:val="73875464"/>
    <w:rsid w:val="73E25083"/>
    <w:rsid w:val="73F406A4"/>
    <w:rsid w:val="740500E7"/>
    <w:rsid w:val="7462408D"/>
    <w:rsid w:val="74CB0D84"/>
    <w:rsid w:val="74E534D8"/>
    <w:rsid w:val="75356E28"/>
    <w:rsid w:val="753E7265"/>
    <w:rsid w:val="754664F5"/>
    <w:rsid w:val="75C2482C"/>
    <w:rsid w:val="765F4C87"/>
    <w:rsid w:val="77B52D91"/>
    <w:rsid w:val="77D40CFE"/>
    <w:rsid w:val="78254803"/>
    <w:rsid w:val="7831493E"/>
    <w:rsid w:val="78A75C02"/>
    <w:rsid w:val="78D863D1"/>
    <w:rsid w:val="794E36A9"/>
    <w:rsid w:val="79B355B3"/>
    <w:rsid w:val="79D9090C"/>
    <w:rsid w:val="79F52463"/>
    <w:rsid w:val="7A44621E"/>
    <w:rsid w:val="7A9E639B"/>
    <w:rsid w:val="7AF34F99"/>
    <w:rsid w:val="7B1C5306"/>
    <w:rsid w:val="7B576BF6"/>
    <w:rsid w:val="7BA8076D"/>
    <w:rsid w:val="7BB53478"/>
    <w:rsid w:val="7BCD6FA4"/>
    <w:rsid w:val="7BE024F3"/>
    <w:rsid w:val="7C085409"/>
    <w:rsid w:val="7C405469"/>
    <w:rsid w:val="7C94747E"/>
    <w:rsid w:val="7C970B2B"/>
    <w:rsid w:val="7C9E5802"/>
    <w:rsid w:val="7DC52CB3"/>
    <w:rsid w:val="7DDC5EF4"/>
    <w:rsid w:val="7DE133B7"/>
    <w:rsid w:val="7DEC1707"/>
    <w:rsid w:val="7DF05900"/>
    <w:rsid w:val="7E35425B"/>
    <w:rsid w:val="7E413845"/>
    <w:rsid w:val="7E711B89"/>
    <w:rsid w:val="7EBF2EFE"/>
    <w:rsid w:val="7EE456BC"/>
    <w:rsid w:val="7F1161A4"/>
    <w:rsid w:val="7F2406A4"/>
    <w:rsid w:val="7F856660"/>
    <w:rsid w:val="7F9D28EC"/>
    <w:rsid w:val="7FFC1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2020-03-18T02:54:00Z</dcterms:created>
  <dc:creator>zhouxiaoqin.gpzx</dc:creator>
  <cp:lastModifiedBy>00035506_gx</cp:lastModifiedBy>
  <cp:lastPrinted>2020-04-03T00:36:00Z</cp:lastPrinted>
  <dcterms:modified xsi:type="dcterms:W3CDTF">2025-03-03T01:44:58Z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002548210CA44CCBA2A9C3754FD42B4F</vt:lpwstr>
  </property>
</Properties>
</file>