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kern w:val="0"/>
          <w:sz w:val="32"/>
          <w:szCs w:val="32"/>
          <w:lang w:val="en-US" w:eastAsia="zh-CN"/>
        </w:rPr>
      </w:pPr>
      <w:bookmarkStart w:id="0" w:name="_Toc24967"/>
      <w:r>
        <w:rPr>
          <w:rFonts w:hint="eastAsia" w:ascii="宋体" w:hAnsi="宋体" w:cs="宋体"/>
          <w:b/>
          <w:bCs/>
          <w:kern w:val="0"/>
          <w:sz w:val="36"/>
          <w:szCs w:val="36"/>
          <w:lang w:val="en-US" w:eastAsia="zh-CN"/>
        </w:rPr>
        <w:t>南网数字集团信通公司2025年分布式光纤监测预警装置产品技术鉴定零星采购项目技术规范书</w:t>
      </w:r>
    </w:p>
    <w:bookmarkEnd w:id="0"/>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ascii="宋体" w:hAnsi="宋体" w:eastAsia="宋体"/>
          <w:b/>
          <w:sz w:val="24"/>
          <w:szCs w:val="24"/>
          <w:highlight w:val="none"/>
        </w:rPr>
      </w:pPr>
      <w:r>
        <w:rPr>
          <w:rFonts w:hint="eastAsia" w:ascii="宋体" w:hAnsi="宋体"/>
          <w:b/>
          <w:sz w:val="24"/>
          <w:szCs w:val="24"/>
          <w:highlight w:val="none"/>
          <w:lang w:val="en-US" w:eastAsia="zh-CN"/>
        </w:rPr>
        <w:t>总则</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项目名称：南网数字集团信通公司2025年分布式光纤监测预警装置产品技术鉴定零星采购项目</w:t>
      </w:r>
      <w:r>
        <w:rPr>
          <w:rFonts w:hint="eastAsia" w:ascii="宋体" w:hAnsi="宋体" w:eastAsia="宋体" w:cs="宋体"/>
          <w:sz w:val="24"/>
          <w:szCs w:val="24"/>
          <w:highlight w:val="none"/>
          <w:lang w:val="en-US" w:eastAsia="zh-CN"/>
        </w:rPr>
        <w:t>。</w:t>
      </w:r>
    </w:p>
    <w:p>
      <w:pPr>
        <w:pStyle w:val="2"/>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420" w:leftChars="20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本文件适用于</w:t>
      </w:r>
      <w:r>
        <w:rPr>
          <w:rFonts w:hint="eastAsia" w:ascii="宋体" w:hAnsi="宋体" w:cs="宋体"/>
          <w:sz w:val="24"/>
          <w:szCs w:val="24"/>
          <w:highlight w:val="none"/>
          <w:lang w:val="en-US" w:eastAsia="zh-CN"/>
        </w:rPr>
        <w:t>南方电网数字电网集团信息通信科技有限公司</w:t>
      </w:r>
      <w:r>
        <w:rPr>
          <w:rFonts w:hint="eastAsia" w:ascii="宋体" w:hAnsi="宋体" w:eastAsia="宋体" w:cs="宋体"/>
          <w:sz w:val="24"/>
          <w:szCs w:val="24"/>
          <w:highlight w:val="none"/>
        </w:rPr>
        <w:t>（以下简称</w:t>
      </w:r>
      <w:r>
        <w:rPr>
          <w:rFonts w:hint="eastAsia" w:ascii="宋体" w:hAnsi="宋体" w:eastAsia="宋体" w:cs="宋体"/>
          <w:sz w:val="24"/>
          <w:szCs w:val="24"/>
          <w:highlight w:val="none"/>
          <w:lang w:val="en-US" w:eastAsia="zh-CN"/>
        </w:rPr>
        <w:t>采购方</w:t>
      </w:r>
      <w:r>
        <w:rPr>
          <w:rFonts w:hint="eastAsia" w:ascii="宋体" w:hAnsi="宋体" w:eastAsia="宋体" w:cs="宋体"/>
          <w:sz w:val="24"/>
          <w:szCs w:val="24"/>
          <w:highlight w:val="none"/>
        </w:rPr>
        <w:t>）南网数字集团信通公司2025年分布式光纤监测预警装置产品技术鉴定零星采购项目，本文件的最终解释权归</w:t>
      </w:r>
      <w:r>
        <w:rPr>
          <w:rFonts w:hint="eastAsia" w:ascii="宋体" w:hAnsi="宋体" w:cs="宋体"/>
          <w:sz w:val="24"/>
          <w:szCs w:val="24"/>
          <w:highlight w:val="none"/>
          <w:lang w:val="en-US" w:eastAsia="zh-CN"/>
        </w:rPr>
        <w:t>南方电网数字电网集团信息通信科技有限公司</w:t>
      </w:r>
      <w:r>
        <w:rPr>
          <w:rFonts w:hint="eastAsia" w:ascii="宋体" w:hAnsi="宋体" w:eastAsia="宋体" w:cs="宋体"/>
          <w:sz w:val="24"/>
          <w:szCs w:val="24"/>
          <w:highlight w:val="none"/>
        </w:rPr>
        <w:t>。</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（3）响应方可以就采购方认为的遗漏项目提请采购方注意，并详细说明理由。采购方将就此进行澄清。</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（4）响应方应保证所提供的所有资料真实、完整、准确无误，否则采购方将有权取消响应方的响应资格，由此产生的一切后果由响应方承担。</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（5）采购方在任何时候保留和拥有对本技术规范书的解释权。</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（6）响应方未经采购方同意，不得以任何形式向第三方公开本技术规范书。</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（7）本技术规范书解释权属采购方所有。</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（8）本项目不得转让或分包。</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（9）响应方充分理解本项目的</w:t>
      </w:r>
      <w:r>
        <w:rPr>
          <w:rFonts w:hint="eastAsia" w:ascii="宋体" w:hAnsi="宋体" w:cs="宋体"/>
          <w:sz w:val="24"/>
          <w:szCs w:val="24"/>
          <w:highlight w:val="none"/>
          <w:lang w:val="en-US" w:eastAsia="zh-CN"/>
        </w:rPr>
        <w:t>服务范围</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成果交付与验收</w:t>
      </w:r>
      <w:r>
        <w:rPr>
          <w:rFonts w:hint="eastAsia" w:ascii="宋体" w:hAnsi="宋体" w:eastAsia="宋体" w:cs="宋体"/>
          <w:sz w:val="24"/>
          <w:szCs w:val="24"/>
          <w:highlight w:val="none"/>
          <w:lang w:val="en-US" w:eastAsia="zh-CN"/>
        </w:rPr>
        <w:t>等，针对</w:t>
      </w:r>
      <w:r>
        <w:rPr>
          <w:rFonts w:hint="eastAsia" w:ascii="宋体" w:hAnsi="宋体" w:cs="宋体"/>
          <w:sz w:val="24"/>
          <w:szCs w:val="24"/>
          <w:highlight w:val="none"/>
          <w:lang w:val="en-US" w:eastAsia="zh-CN"/>
        </w:rPr>
        <w:t>采购方递交的项目资料出具鉴</w:t>
      </w:r>
      <w:bookmarkStart w:id="14" w:name="_GoBack"/>
      <w:bookmarkEnd w:id="14"/>
      <w:r>
        <w:rPr>
          <w:rFonts w:hint="eastAsia" w:ascii="宋体" w:hAnsi="宋体" w:cs="宋体"/>
          <w:sz w:val="24"/>
          <w:szCs w:val="24"/>
          <w:highlight w:val="none"/>
          <w:lang w:val="en-US" w:eastAsia="zh-CN"/>
        </w:rPr>
        <w:t>定证书2份。</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bookmarkStart w:id="1" w:name="_Toc6285"/>
      <w:r>
        <w:rPr>
          <w:rFonts w:hint="eastAsia" w:ascii="宋体" w:hAnsi="宋体" w:eastAsia="宋体"/>
          <w:b/>
          <w:sz w:val="24"/>
          <w:szCs w:val="24"/>
          <w:highlight w:val="none"/>
          <w:lang w:val="en-US" w:eastAsia="zh-CN"/>
        </w:rPr>
        <w:t>服务范围</w:t>
      </w:r>
      <w:bookmarkEnd w:id="1"/>
    </w:p>
    <w:p>
      <w:pPr>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480" w:firstLineChars="200"/>
        <w:textAlignment w:val="auto"/>
        <w:rPr>
          <w:rFonts w:hint="eastAsia" w:ascii="宋体" w:hAnsi="宋体" w:eastAsia="宋体" w:cs="Times New Roman"/>
          <w:kern w:val="2"/>
          <w:sz w:val="24"/>
          <w:szCs w:val="24"/>
          <w:highlight w:val="none"/>
          <w:lang w:val="en-US" w:eastAsia="zh-CN" w:bidi="ar-SA"/>
        </w:rPr>
      </w:pPr>
      <w:r>
        <w:rPr>
          <w:rFonts w:hint="eastAsia" w:ascii="宋体" w:hAnsi="宋体"/>
          <w:sz w:val="24"/>
          <w:szCs w:val="24"/>
          <w:highlight w:val="none"/>
          <w:lang w:val="en-US" w:eastAsia="zh-CN"/>
        </w:rPr>
        <w:t>响应方</w:t>
      </w:r>
      <w:r>
        <w:rPr>
          <w:rFonts w:hint="eastAsia" w:ascii="宋体" w:hAnsi="宋体" w:eastAsia="宋体"/>
          <w:sz w:val="24"/>
          <w:szCs w:val="24"/>
          <w:highlight w:val="none"/>
        </w:rPr>
        <w:t>需</w:t>
      </w:r>
      <w:r>
        <w:rPr>
          <w:rFonts w:hint="eastAsia" w:asciiTheme="minorEastAsia" w:hAnsiTheme="minorEastAsia" w:eastAsiaTheme="minorEastAsia" w:cstheme="minorEastAsia"/>
          <w:color w:val="000000"/>
          <w:sz w:val="24"/>
          <w:lang w:val="en-US" w:eastAsia="zh-CN"/>
        </w:rPr>
        <w:t>根据采购方要求邀请行业技术专家组织</w:t>
      </w:r>
      <w:r>
        <w:rPr>
          <w:rFonts w:hint="eastAsia" w:asciiTheme="minorEastAsia" w:hAnsiTheme="minorEastAsia" w:eastAsiaTheme="minorEastAsia" w:cstheme="minorEastAsia"/>
          <w:color w:val="000000"/>
          <w:sz w:val="24"/>
        </w:rPr>
        <w:t>开展</w:t>
      </w:r>
      <w:r>
        <w:rPr>
          <w:rFonts w:hint="eastAsia" w:asciiTheme="minorEastAsia" w:hAnsiTheme="minorEastAsia" w:eastAsiaTheme="minorEastAsia" w:cstheme="minorEastAsia"/>
          <w:color w:val="000000"/>
          <w:sz w:val="24"/>
          <w:lang w:val="en-US" w:eastAsia="zh-CN"/>
        </w:rPr>
        <w:t>新产品</w:t>
      </w:r>
      <w:r>
        <w:rPr>
          <w:rFonts w:hint="eastAsia" w:ascii="Times New Roman" w:hAnsi="Times New Roman" w:eastAsia="宋体" w:cs="Times New Roman"/>
          <w:color w:val="auto"/>
          <w:sz w:val="24"/>
          <w:lang w:val="en-US" w:eastAsia="zh-CN"/>
        </w:rPr>
        <w:t>技术鉴定</w:t>
      </w:r>
      <w:r>
        <w:rPr>
          <w:rFonts w:hint="eastAsia" w:ascii="宋体" w:hAnsi="宋体" w:eastAsia="宋体"/>
          <w:sz w:val="24"/>
          <w:szCs w:val="24"/>
          <w:highlight w:val="none"/>
        </w:rPr>
        <w:t>，</w:t>
      </w:r>
      <w:r>
        <w:rPr>
          <w:rFonts w:hint="eastAsia" w:asciiTheme="minorEastAsia" w:hAnsiTheme="minorEastAsia" w:eastAsiaTheme="minorEastAsia" w:cstheme="minorEastAsia"/>
          <w:color w:val="000000"/>
          <w:sz w:val="24"/>
          <w:lang w:val="en-US" w:eastAsia="zh-CN"/>
        </w:rPr>
        <w:t>并出具技术鉴定证书2份</w:t>
      </w:r>
      <w:r>
        <w:rPr>
          <w:rFonts w:hint="eastAsia" w:ascii="宋体" w:hAnsi="宋体" w:eastAsia="宋体"/>
          <w:sz w:val="24"/>
          <w:szCs w:val="24"/>
          <w:highlight w:val="none"/>
        </w:rPr>
        <w:t>。</w:t>
      </w:r>
      <w:bookmarkStart w:id="2" w:name="_Toc14640"/>
      <w:bookmarkStart w:id="3" w:name="_Toc161832196"/>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rPr>
      </w:pPr>
      <w:r>
        <w:rPr>
          <w:rFonts w:hint="eastAsia" w:ascii="宋体" w:hAnsi="宋体" w:eastAsia="宋体"/>
          <w:b/>
          <w:sz w:val="24"/>
          <w:szCs w:val="24"/>
          <w:highlight w:val="none"/>
        </w:rPr>
        <w:t>成果交付与验收</w:t>
      </w:r>
      <w:bookmarkEnd w:id="2"/>
      <w:bookmarkEnd w:id="3"/>
    </w:p>
    <w:p>
      <w:pPr>
        <w:spacing w:line="360" w:lineRule="auto"/>
        <w:ind w:firstLine="480" w:firstLineChars="200"/>
        <w:rPr>
          <w:rFonts w:hint="eastAsia" w:asciiTheme="minorEastAsia" w:hAnsiTheme="minorEastAsia" w:eastAsiaTheme="minorEastAsia" w:cstheme="minorEastAsia"/>
          <w:color w:val="000000"/>
          <w:sz w:val="24"/>
        </w:rPr>
      </w:pPr>
      <w:bookmarkStart w:id="4" w:name="_Toc161832197"/>
      <w:r>
        <w:rPr>
          <w:rFonts w:hint="eastAsia" w:asciiTheme="minorEastAsia" w:hAnsiTheme="minorEastAsia" w:eastAsiaTheme="minorEastAsia" w:cstheme="minorEastAsia"/>
          <w:color w:val="000000"/>
          <w:sz w:val="24"/>
          <w:lang w:val="en-US" w:eastAsia="zh-CN"/>
        </w:rPr>
        <w:t>响应方</w:t>
      </w:r>
      <w:r>
        <w:rPr>
          <w:rFonts w:hint="eastAsia" w:asciiTheme="minorEastAsia" w:hAnsiTheme="minorEastAsia" w:eastAsiaTheme="minorEastAsia" w:cstheme="minorEastAsia"/>
          <w:color w:val="000000"/>
          <w:sz w:val="24"/>
        </w:rPr>
        <w:t>需于</w:t>
      </w:r>
      <w:r>
        <w:rPr>
          <w:rFonts w:hint="eastAsia" w:asciiTheme="minorEastAsia" w:hAnsiTheme="minorEastAsia" w:eastAsiaTheme="minorEastAsia" w:cstheme="minorEastAsia"/>
          <w:color w:val="000000"/>
          <w:sz w:val="24"/>
          <w:lang w:val="en-US" w:eastAsia="zh-CN"/>
        </w:rPr>
        <w:t>合同签订之日起10天内完成</w:t>
      </w:r>
      <w:r>
        <w:rPr>
          <w:rFonts w:hint="eastAsia" w:ascii="Times New Roman" w:hAnsi="Times New Roman" w:cs="Times New Roman"/>
          <w:color w:val="auto"/>
          <w:sz w:val="24"/>
          <w:lang w:val="en-US" w:eastAsia="zh-CN"/>
        </w:rPr>
        <w:t>项目</w:t>
      </w:r>
      <w:r>
        <w:rPr>
          <w:rFonts w:hint="eastAsia" w:ascii="Times New Roman" w:hAnsi="Times New Roman" w:eastAsia="宋体" w:cs="Times New Roman"/>
          <w:color w:val="auto"/>
          <w:sz w:val="24"/>
          <w:lang w:val="en-US" w:eastAsia="zh-CN"/>
        </w:rPr>
        <w:t>技术鉴定</w:t>
      </w:r>
      <w:r>
        <w:rPr>
          <w:rFonts w:hint="eastAsia" w:asciiTheme="minorEastAsia" w:hAnsiTheme="minorEastAsia" w:eastAsiaTheme="minorEastAsia" w:cstheme="minorEastAsia"/>
          <w:color w:val="000000"/>
          <w:sz w:val="24"/>
          <w:lang w:val="en-US" w:eastAsia="zh-CN"/>
        </w:rPr>
        <w:t>，出具技术鉴定证书2份，并</w:t>
      </w:r>
      <w:r>
        <w:rPr>
          <w:rFonts w:hint="eastAsia" w:asciiTheme="minorEastAsia" w:hAnsiTheme="minorEastAsia" w:eastAsiaTheme="minorEastAsia" w:cstheme="minorEastAsia"/>
          <w:color w:val="000000"/>
          <w:sz w:val="24"/>
        </w:rPr>
        <w:t>通过</w:t>
      </w:r>
      <w:r>
        <w:rPr>
          <w:rFonts w:hint="eastAsia" w:asciiTheme="minorEastAsia" w:hAnsiTheme="minorEastAsia" w:eastAsiaTheme="minorEastAsia" w:cstheme="minorEastAsia"/>
          <w:color w:val="000000"/>
          <w:sz w:val="24"/>
          <w:lang w:val="en-US" w:eastAsia="zh-CN"/>
        </w:rPr>
        <w:t>采购方</w:t>
      </w:r>
      <w:r>
        <w:rPr>
          <w:rFonts w:hint="eastAsia" w:asciiTheme="minorEastAsia" w:hAnsiTheme="minorEastAsia" w:eastAsiaTheme="minorEastAsia" w:cstheme="minorEastAsia"/>
          <w:color w:val="000000"/>
          <w:sz w:val="24"/>
        </w:rPr>
        <w:t>验收。</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rPr>
      </w:pPr>
      <w:bookmarkStart w:id="5" w:name="_Toc19595"/>
      <w:bookmarkStart w:id="6" w:name="_Toc9734"/>
      <w:bookmarkStart w:id="7" w:name="_Toc28612"/>
      <w:bookmarkStart w:id="8" w:name="_Toc8632"/>
      <w:bookmarkStart w:id="9" w:name="_Toc14542"/>
      <w:bookmarkStart w:id="10" w:name="_Toc16085"/>
      <w:bookmarkStart w:id="11" w:name="_Toc15816"/>
      <w:bookmarkStart w:id="12" w:name="_Toc9600"/>
      <w:bookmarkStart w:id="13" w:name="_Toc26678"/>
      <w:r>
        <w:rPr>
          <w:rFonts w:hint="eastAsia" w:ascii="宋体" w:hAnsi="宋体" w:eastAsia="宋体"/>
          <w:b/>
          <w:sz w:val="24"/>
          <w:szCs w:val="24"/>
          <w:highlight w:val="none"/>
        </w:rPr>
        <w:t>安全保密要求</w:t>
      </w:r>
      <w:bookmarkEnd w:id="5"/>
      <w:bookmarkEnd w:id="6"/>
      <w:bookmarkEnd w:id="7"/>
      <w:bookmarkEnd w:id="8"/>
      <w:bookmarkEnd w:id="9"/>
      <w:bookmarkEnd w:id="10"/>
      <w:bookmarkEnd w:id="11"/>
      <w:bookmarkEnd w:id="12"/>
      <w:bookmarkEnd w:id="13"/>
    </w:p>
    <w:p>
      <w:pPr>
        <w:pStyle w:val="12"/>
        <w:spacing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lang w:eastAsia="zh-CN"/>
        </w:rPr>
        <w:t>响应方</w:t>
      </w:r>
      <w:r>
        <w:rPr>
          <w:rFonts w:hint="eastAsia" w:ascii="宋体" w:hAnsi="宋体" w:eastAsia="宋体" w:cs="宋体"/>
          <w:sz w:val="24"/>
          <w:szCs w:val="24"/>
        </w:rPr>
        <w:t>在服务期间，负有保护</w:t>
      </w:r>
      <w:r>
        <w:rPr>
          <w:rFonts w:hint="eastAsia" w:ascii="宋体" w:hAnsi="宋体" w:cs="宋体"/>
          <w:sz w:val="24"/>
          <w:szCs w:val="24"/>
          <w:highlight w:val="none"/>
          <w:lang w:val="en-US" w:eastAsia="zh-CN"/>
        </w:rPr>
        <w:t>南方电网数字电网集团信息通信科技有限公司</w:t>
      </w:r>
      <w:r>
        <w:rPr>
          <w:rFonts w:hint="eastAsia" w:ascii="宋体" w:hAnsi="宋体" w:eastAsia="宋体" w:cs="宋体"/>
          <w:sz w:val="24"/>
          <w:szCs w:val="24"/>
        </w:rPr>
        <w:t>的网络安全、信息安全和系统数据安全的义务和责任；负有保护所持有、接触的属于或涉及</w:t>
      </w:r>
      <w:r>
        <w:rPr>
          <w:rFonts w:hint="eastAsia" w:ascii="宋体" w:hAnsi="宋体" w:cs="宋体"/>
          <w:sz w:val="24"/>
          <w:szCs w:val="24"/>
          <w:highlight w:val="none"/>
          <w:lang w:val="en-US" w:eastAsia="zh-CN"/>
        </w:rPr>
        <w:t>南方电网数字电网集团信息通信科技有限公司</w:t>
      </w:r>
      <w:r>
        <w:rPr>
          <w:rFonts w:hint="eastAsia" w:ascii="宋体" w:hAnsi="宋体" w:eastAsia="宋体" w:cs="宋体"/>
          <w:sz w:val="24"/>
          <w:szCs w:val="24"/>
        </w:rPr>
        <w:t>商业秘密的信息安全的义务和责任。</w:t>
      </w:r>
    </w:p>
    <w:p>
      <w:pPr>
        <w:pStyle w:val="12"/>
        <w:spacing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rPr>
        <w:t>除非有</w:t>
      </w:r>
      <w:r>
        <w:rPr>
          <w:rFonts w:hint="eastAsia" w:ascii="宋体" w:hAnsi="宋体" w:eastAsia="宋体" w:cs="宋体"/>
          <w:sz w:val="24"/>
          <w:szCs w:val="24"/>
          <w:lang w:eastAsia="zh-CN"/>
        </w:rPr>
        <w:t>采购方</w:t>
      </w:r>
      <w:r>
        <w:rPr>
          <w:rFonts w:hint="eastAsia" w:ascii="宋体" w:hAnsi="宋体" w:eastAsia="宋体" w:cs="宋体"/>
          <w:sz w:val="24"/>
          <w:szCs w:val="24"/>
        </w:rPr>
        <w:t>的书面许可，或该信息已被</w:t>
      </w:r>
      <w:r>
        <w:rPr>
          <w:rFonts w:hint="eastAsia" w:ascii="宋体" w:hAnsi="宋体" w:eastAsia="宋体" w:cs="宋体"/>
          <w:sz w:val="24"/>
          <w:szCs w:val="24"/>
          <w:lang w:eastAsia="zh-CN"/>
        </w:rPr>
        <w:t>采购方</w:t>
      </w:r>
      <w:r>
        <w:rPr>
          <w:rFonts w:hint="eastAsia" w:ascii="宋体" w:hAnsi="宋体" w:eastAsia="宋体" w:cs="宋体"/>
          <w:sz w:val="24"/>
          <w:szCs w:val="24"/>
        </w:rPr>
        <w:t>认为不再是商业秘密，或已在社会上公开，</w:t>
      </w:r>
      <w:r>
        <w:rPr>
          <w:rFonts w:hint="eastAsia" w:ascii="宋体" w:hAnsi="宋体" w:eastAsia="宋体" w:cs="宋体"/>
          <w:sz w:val="24"/>
          <w:szCs w:val="24"/>
          <w:lang w:eastAsia="zh-CN"/>
        </w:rPr>
        <w:t>响应方</w:t>
      </w:r>
      <w:r>
        <w:rPr>
          <w:rFonts w:hint="eastAsia" w:ascii="宋体" w:hAnsi="宋体" w:eastAsia="宋体" w:cs="宋体"/>
          <w:sz w:val="24"/>
          <w:szCs w:val="24"/>
        </w:rPr>
        <w:t>不得将</w:t>
      </w:r>
      <w:r>
        <w:rPr>
          <w:rFonts w:hint="eastAsia" w:ascii="宋体" w:hAnsi="宋体" w:eastAsia="宋体" w:cs="宋体"/>
          <w:sz w:val="24"/>
          <w:szCs w:val="24"/>
          <w:lang w:eastAsia="zh-CN"/>
        </w:rPr>
        <w:t>采购方</w:t>
      </w:r>
      <w:r>
        <w:rPr>
          <w:rFonts w:hint="eastAsia" w:ascii="宋体" w:hAnsi="宋体" w:eastAsia="宋体" w:cs="宋体"/>
          <w:sz w:val="24"/>
          <w:szCs w:val="24"/>
        </w:rPr>
        <w:t>经营信息及商业秘密（包括生产管理的方式方法与资料、产品技术资料、客户名单、销售渠道企业战略及其他被认为是商业秘密的信息）对外透露。</w:t>
      </w:r>
    </w:p>
    <w:p>
      <w:pPr>
        <w:pStyle w:val="12"/>
        <w:spacing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rPr>
        <w:t>在现场服务过程中，</w:t>
      </w:r>
      <w:r>
        <w:rPr>
          <w:rFonts w:hint="eastAsia" w:ascii="宋体" w:hAnsi="宋体" w:eastAsia="宋体" w:cs="宋体"/>
          <w:sz w:val="24"/>
          <w:szCs w:val="24"/>
          <w:lang w:eastAsia="zh-CN"/>
        </w:rPr>
        <w:t>响应方</w:t>
      </w:r>
      <w:r>
        <w:rPr>
          <w:rFonts w:hint="eastAsia" w:ascii="宋体" w:hAnsi="宋体" w:eastAsia="宋体" w:cs="宋体"/>
          <w:sz w:val="24"/>
          <w:szCs w:val="24"/>
        </w:rPr>
        <w:t>必须在</w:t>
      </w:r>
      <w:r>
        <w:rPr>
          <w:rFonts w:hint="eastAsia" w:ascii="宋体" w:hAnsi="宋体" w:eastAsia="宋体" w:cs="宋体"/>
          <w:sz w:val="24"/>
          <w:szCs w:val="24"/>
          <w:lang w:eastAsia="zh-CN"/>
        </w:rPr>
        <w:t>采购方</w:t>
      </w:r>
      <w:r>
        <w:rPr>
          <w:rFonts w:hint="eastAsia" w:ascii="宋体" w:hAnsi="宋体" w:eastAsia="宋体" w:cs="宋体"/>
          <w:sz w:val="24"/>
          <w:szCs w:val="24"/>
        </w:rPr>
        <w:t>指定地点办公，并遵守</w:t>
      </w:r>
      <w:r>
        <w:rPr>
          <w:rFonts w:hint="eastAsia" w:ascii="宋体" w:hAnsi="宋体" w:eastAsia="宋体" w:cs="宋体"/>
          <w:sz w:val="24"/>
          <w:szCs w:val="24"/>
          <w:lang w:eastAsia="zh-CN"/>
        </w:rPr>
        <w:t>采购方</w:t>
      </w:r>
      <w:r>
        <w:rPr>
          <w:rFonts w:hint="eastAsia" w:ascii="宋体" w:hAnsi="宋体" w:eastAsia="宋体" w:cs="宋体"/>
          <w:sz w:val="24"/>
          <w:szCs w:val="24"/>
        </w:rPr>
        <w:t>关于第三方人员管理规定要求；未经许可不得以任何方式对保密信息及工作成果进行复制、传播、泄漏、告知，不得将保密信息带离办公场所。</w:t>
      </w:r>
    </w:p>
    <w:p>
      <w:pPr>
        <w:pStyle w:val="12"/>
        <w:spacing w:line="360" w:lineRule="auto"/>
        <w:rPr>
          <w:rFonts w:hint="eastAsia" w:asciiTheme="minorEastAsia" w:hAnsiTheme="minorEastAsia" w:eastAsiaTheme="minorEastAsia" w:cstheme="minorEastAsia"/>
          <w:color w:val="000000"/>
          <w:sz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rPr>
        <w:t>无论何种原因导致合同解除或终止，本项目约定下的保密条款、保密内容及相关的违约责任的约定仍然生效。保密期限为签订合同之后至永久，保密范围为项目所涉及的任何资料。</w:t>
      </w:r>
    </w:p>
    <w:bookmarkEnd w:id="4"/>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default"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其他要求</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会议要求：响应方</w:t>
      </w:r>
      <w:r>
        <w:rPr>
          <w:rFonts w:hint="eastAsia" w:ascii="宋体" w:hAnsi="宋体" w:eastAsia="宋体"/>
          <w:sz w:val="24"/>
          <w:szCs w:val="24"/>
          <w:highlight w:val="none"/>
          <w:lang w:val="en-US" w:eastAsia="zh-CN"/>
        </w:rPr>
        <w:t>根据</w:t>
      </w:r>
      <w:r>
        <w:rPr>
          <w:rFonts w:hint="eastAsia" w:ascii="宋体" w:hAnsi="宋体"/>
          <w:sz w:val="24"/>
          <w:szCs w:val="24"/>
          <w:highlight w:val="none"/>
          <w:lang w:val="en-US" w:eastAsia="zh-CN"/>
        </w:rPr>
        <w:t>采购方</w:t>
      </w:r>
      <w:r>
        <w:rPr>
          <w:rFonts w:hint="eastAsia" w:ascii="宋体" w:hAnsi="宋体" w:eastAsia="宋体"/>
          <w:sz w:val="24"/>
          <w:szCs w:val="24"/>
          <w:highlight w:val="none"/>
          <w:lang w:val="en-US" w:eastAsia="zh-CN"/>
        </w:rPr>
        <w:t>实际需求开展线上鉴定会议或者线下鉴定会议。如果以线下鉴定会议形式召开，会议地点需在广州开展，同时</w:t>
      </w:r>
      <w:r>
        <w:rPr>
          <w:rFonts w:hint="eastAsia" w:ascii="宋体" w:hAnsi="宋体"/>
          <w:sz w:val="24"/>
          <w:szCs w:val="24"/>
          <w:highlight w:val="none"/>
          <w:lang w:val="en-US" w:eastAsia="zh-CN"/>
        </w:rPr>
        <w:t>响应方</w:t>
      </w:r>
      <w:r>
        <w:rPr>
          <w:rFonts w:hint="eastAsia" w:ascii="宋体" w:hAnsi="宋体" w:eastAsia="宋体"/>
          <w:sz w:val="24"/>
          <w:szCs w:val="24"/>
          <w:highlight w:val="none"/>
          <w:lang w:val="en-US" w:eastAsia="zh-CN"/>
        </w:rPr>
        <w:t>需要承担场地费用。</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专家要求：电力自动化、电力设备、电机电器、智能技术、电力设备监测及传感技术、电力设备数字化智能化等电力电子相关专业</w:t>
      </w:r>
      <w:r>
        <w:rPr>
          <w:rFonts w:hint="eastAsia" w:ascii="宋体" w:hAnsi="宋体"/>
          <w:sz w:val="24"/>
          <w:szCs w:val="24"/>
          <w:highlight w:val="none"/>
          <w:lang w:val="en-US" w:eastAsia="zh-CN"/>
        </w:rPr>
        <w:t>，副高级工程师以上职称</w:t>
      </w:r>
      <w:r>
        <w:rPr>
          <w:rFonts w:hint="eastAsia" w:ascii="宋体" w:hAnsi="宋体" w:eastAsia="宋体"/>
          <w:sz w:val="24"/>
          <w:szCs w:val="24"/>
          <w:highlight w:val="none"/>
          <w:lang w:val="en-US" w:eastAsia="zh-CN"/>
        </w:rPr>
        <w:t>。</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专家数量要求：</w:t>
      </w:r>
      <w:r>
        <w:rPr>
          <w:rFonts w:hint="eastAsia" w:ascii="宋体" w:hAnsi="宋体" w:eastAsia="宋体"/>
          <w:sz w:val="24"/>
          <w:szCs w:val="24"/>
          <w:highlight w:val="none"/>
          <w:lang w:val="en-US" w:eastAsia="zh-CN"/>
        </w:rPr>
        <w:t>鉴定委员会成员</w:t>
      </w:r>
      <w:r>
        <w:rPr>
          <w:rFonts w:hint="eastAsia" w:ascii="宋体" w:hAnsi="宋体"/>
          <w:sz w:val="24"/>
          <w:szCs w:val="24"/>
          <w:highlight w:val="none"/>
          <w:lang w:val="en-US" w:eastAsia="zh-CN"/>
        </w:rPr>
        <w:t>不少于7名（单数）。</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业务范围需包含</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技术服务</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技术开发</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技术咨询等</w:t>
      </w:r>
      <w:r>
        <w:rPr>
          <w:rFonts w:hint="eastAsia" w:ascii="宋体" w:hAnsi="宋体" w:cs="宋体"/>
          <w:kern w:val="2"/>
          <w:sz w:val="24"/>
          <w:szCs w:val="24"/>
          <w:lang w:val="en-US" w:eastAsia="zh-CN" w:bidi="ar-SA"/>
        </w:rPr>
        <w:t>服务</w:t>
      </w:r>
      <w:r>
        <w:rPr>
          <w:rFonts w:hint="eastAsia" w:ascii="宋体" w:hAnsi="宋体" w:eastAsia="宋体" w:cs="宋体"/>
          <w:kern w:val="2"/>
          <w:sz w:val="24"/>
          <w:szCs w:val="24"/>
          <w:lang w:val="en-US" w:eastAsia="zh-CN" w:bidi="ar-SA"/>
        </w:rPr>
        <w:t>。</w:t>
      </w:r>
    </w:p>
    <w:p>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480" w:firstLineChars="200"/>
        <w:textAlignment w:val="auto"/>
        <w:rPr>
          <w:rFonts w:hint="default" w:ascii="宋体" w:hAnsi="宋体" w:eastAsia="宋体"/>
          <w:sz w:val="24"/>
          <w:szCs w:val="24"/>
          <w:highlight w:val="none"/>
          <w:lang w:val="en-US" w:eastAsia="zh-CN"/>
        </w:rPr>
      </w:pPr>
      <w:r>
        <w:rPr>
          <w:rFonts w:hint="eastAsia" w:ascii="宋体" w:hAnsi="宋体" w:cs="宋体"/>
          <w:kern w:val="2"/>
          <w:sz w:val="24"/>
          <w:szCs w:val="24"/>
          <w:lang w:val="en-US" w:eastAsia="zh-CN" w:bidi="ar-SA"/>
        </w:rPr>
        <w:t>业绩要求：</w:t>
      </w:r>
      <w:r>
        <w:rPr>
          <w:rFonts w:hint="eastAsia" w:ascii="宋体" w:hAnsi="宋体" w:eastAsia="宋体" w:cs="宋体"/>
          <w:kern w:val="2"/>
          <w:sz w:val="24"/>
          <w:szCs w:val="24"/>
          <w:lang w:val="en-US" w:eastAsia="zh-CN" w:bidi="ar-SA"/>
        </w:rPr>
        <w:t>具备</w:t>
      </w:r>
      <w:r>
        <w:rPr>
          <w:rFonts w:hint="eastAsia" w:ascii="宋体" w:hAnsi="宋体"/>
          <w:sz w:val="24"/>
          <w:szCs w:val="24"/>
          <w:highlight w:val="none"/>
          <w:lang w:val="en-US" w:eastAsia="zh-CN"/>
        </w:rPr>
        <w:t>电力相关产品/技术的鉴定业绩不少于2项</w:t>
      </w:r>
      <w:r>
        <w:rPr>
          <w:rFonts w:hint="eastAsia" w:ascii="宋体" w:hAnsi="宋体" w:eastAsia="宋体" w:cs="宋体"/>
          <w:kern w:val="2"/>
          <w:sz w:val="24"/>
          <w:szCs w:val="24"/>
          <w:lang w:val="en-US" w:eastAsia="zh-CN" w:bidi="ar-SA"/>
        </w:rPr>
        <w:t>。</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供应商资格</w:t>
      </w:r>
      <w:r>
        <w:rPr>
          <w:rFonts w:hint="eastAsia" w:ascii="宋体" w:hAnsi="宋体"/>
          <w:b/>
          <w:sz w:val="24"/>
          <w:szCs w:val="24"/>
          <w:highlight w:val="none"/>
          <w:lang w:val="en-US" w:eastAsia="zh-CN"/>
        </w:rPr>
        <w:t>条件</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中华人民共和国境内注册合法运作的法人或非法人组织，具有独立承担招标、采购项目的能力和独立履行合同的能力。必须提供有效期内的营业执照或其他行政主管部门核发的有效登记注册证明文件。</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响应方</w:t>
      </w:r>
      <w:r>
        <w:rPr>
          <w:rFonts w:hint="eastAsia" w:ascii="宋体" w:hAnsi="宋体" w:eastAsia="宋体" w:cs="宋体"/>
          <w:kern w:val="2"/>
          <w:sz w:val="24"/>
          <w:szCs w:val="24"/>
          <w:lang w:val="en-US" w:eastAsia="zh-CN" w:bidi="ar-SA"/>
        </w:rPr>
        <w:t>必须按照南方电网公司要求，在供应链统一服务平台（www.bidding.csg.cn）上完成供应商登记注册，并通过审核。</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sz w:val="24"/>
          <w:szCs w:val="24"/>
          <w:highlight w:val="none"/>
          <w:lang w:val="en-US" w:eastAsia="zh-CN"/>
        </w:rPr>
        <w:t>省级</w:t>
      </w:r>
      <w:r>
        <w:rPr>
          <w:rFonts w:hint="eastAsia" w:ascii="宋体" w:hAnsi="宋体" w:eastAsia="宋体" w:cs="宋体"/>
          <w:kern w:val="2"/>
          <w:sz w:val="24"/>
          <w:szCs w:val="24"/>
          <w:highlight w:val="none"/>
          <w:lang w:val="en-US" w:eastAsia="zh-CN" w:bidi="ar-SA"/>
        </w:rPr>
        <w:t>及以上专业行业协会。</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firstLineChars="0"/>
        <w:contextualSpacing/>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报价表</w:t>
      </w:r>
    </w:p>
    <w:p>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lang w:val="en-US" w:eastAsia="zh-CN"/>
        </w:rPr>
        <w:t>请各单位参考表1报价，报</w:t>
      </w:r>
      <w:r>
        <w:rPr>
          <w:rFonts w:hint="eastAsia" w:ascii="宋体" w:hAnsi="宋体" w:eastAsia="宋体" w:cs="宋体"/>
          <w:sz w:val="24"/>
          <w:szCs w:val="24"/>
        </w:rPr>
        <w:t>价单需包含税率说明，报价条目应清晰。</w:t>
      </w:r>
    </w:p>
    <w:p>
      <w:pPr>
        <w:pStyle w:val="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sz w:val="21"/>
          <w:szCs w:val="21"/>
        </w:rPr>
        <w:t xml:space="preserve">表1 </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收费报价表</w:t>
      </w:r>
    </w:p>
    <w:tbl>
      <w:tblPr>
        <w:tblStyle w:val="9"/>
        <w:tblpPr w:leftFromText="180" w:rightFromText="180" w:vertAnchor="text" w:horzAnchor="page" w:tblpXSpec="center" w:tblpY="149"/>
        <w:tblOverlap w:val="never"/>
        <w:tblW w:w="8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280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项目名称</w:t>
            </w:r>
          </w:p>
        </w:tc>
        <w:tc>
          <w:tcPr>
            <w:tcW w:w="65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单位</w:t>
            </w:r>
          </w:p>
        </w:tc>
        <w:tc>
          <w:tcPr>
            <w:tcW w:w="663"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数量</w:t>
            </w:r>
          </w:p>
        </w:tc>
        <w:tc>
          <w:tcPr>
            <w:tcW w:w="1756"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单价限价（万元）</w:t>
            </w:r>
          </w:p>
        </w:tc>
        <w:tc>
          <w:tcPr>
            <w:tcW w:w="1762"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cs="宋体"/>
                <w:b/>
                <w:bCs/>
                <w:color w:val="000000"/>
                <w:kern w:val="0"/>
                <w:sz w:val="21"/>
                <w:szCs w:val="21"/>
                <w:lang w:val="en-US" w:eastAsia="zh-CN" w:bidi="ar"/>
              </w:rPr>
            </w:pPr>
            <w:r>
              <w:rPr>
                <w:rFonts w:hint="eastAsia" w:ascii="宋体" w:hAnsi="宋体" w:cs="宋体"/>
                <w:b/>
                <w:bCs/>
                <w:color w:val="000000"/>
                <w:kern w:val="0"/>
                <w:sz w:val="21"/>
                <w:szCs w:val="21"/>
                <w:lang w:val="en-US" w:eastAsia="zh-CN" w:bidi="ar"/>
              </w:rPr>
              <w:t>合价限价（万元）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p>
        </w:tc>
        <w:tc>
          <w:tcPr>
            <w:tcW w:w="2801"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南网数字集团信通公司2025年分布式光纤监测预警装置产品技术鉴定零星采购项目</w:t>
            </w:r>
          </w:p>
        </w:tc>
        <w:tc>
          <w:tcPr>
            <w:tcW w:w="65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756"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176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总价合</w:t>
            </w:r>
            <w:r>
              <w:rPr>
                <w:rFonts w:hint="eastAsia" w:ascii="宋体" w:hAnsi="宋体" w:eastAsia="宋体" w:cs="宋体"/>
                <w:b/>
                <w:i w:val="0"/>
                <w:color w:val="auto"/>
                <w:kern w:val="0"/>
                <w:sz w:val="21"/>
                <w:szCs w:val="21"/>
                <w:highlight w:val="none"/>
                <w:u w:val="none"/>
                <w:lang w:val="en-US" w:eastAsia="zh-CN" w:bidi="ar"/>
              </w:rPr>
              <w:t>计</w:t>
            </w:r>
            <w:r>
              <w:rPr>
                <w:rFonts w:hint="eastAsia" w:ascii="宋体" w:hAnsi="宋体" w:cs="宋体"/>
                <w:b/>
                <w:i w:val="0"/>
                <w:color w:val="auto"/>
                <w:kern w:val="0"/>
                <w:sz w:val="21"/>
                <w:szCs w:val="21"/>
                <w:highlight w:val="none"/>
                <w:u w:val="none"/>
                <w:lang w:val="en-US" w:eastAsia="zh-CN" w:bidi="ar"/>
              </w:rPr>
              <w:t>（万元)</w:t>
            </w:r>
          </w:p>
        </w:tc>
        <w:tc>
          <w:tcPr>
            <w:tcW w:w="176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r>
              <w:rPr>
                <w:rFonts w:hint="eastAsia" w:ascii="宋体" w:hAnsi="宋体" w:eastAsia="宋体" w:cs="宋体"/>
                <w:kern w:val="2"/>
                <w:sz w:val="24"/>
                <w:szCs w:val="24"/>
                <w:lang w:val="en-US" w:eastAsia="zh-CN" w:bidi="ar-SA"/>
              </w:rPr>
              <w:t>4</w:t>
            </w:r>
          </w:p>
        </w:tc>
      </w:tr>
    </w:tbl>
    <w:p>
      <w:pPr>
        <w:keepNext w:val="0"/>
        <w:keepLines w:val="0"/>
        <w:pageBreakBefore w:val="0"/>
        <w:widowControl w:val="0"/>
        <w:kinsoku/>
        <w:wordWrap/>
        <w:overflowPunct/>
        <w:topLinePunct w:val="0"/>
        <w:autoSpaceDE/>
        <w:autoSpaceDN/>
        <w:bidi w:val="0"/>
        <w:snapToGrid/>
        <w:spacing w:before="313" w:beforeLines="100" w:after="313" w:afterLines="100" w:line="360" w:lineRule="auto"/>
        <w:ind w:firstLine="420" w:firstLineChars="200"/>
        <w:textAlignment w:val="auto"/>
        <w:rPr>
          <w:rFonts w:hint="eastAsia"/>
          <w:lang w:val="en-US" w:eastAsia="zh-CN"/>
        </w:rPr>
      </w:pPr>
      <w:r>
        <w:rPr>
          <w:rFonts w:hint="eastAsia" w:ascii="宋体" w:hAnsi="宋体" w:eastAsia="宋体" w:cs="宋体"/>
          <w:lang w:val="en-US" w:eastAsia="zh-CN"/>
        </w:rPr>
        <w:t>※</w:t>
      </w:r>
      <w:r>
        <w:rPr>
          <w:rFonts w:hint="eastAsia"/>
          <w:lang w:val="en-US" w:eastAsia="zh-CN"/>
        </w:rPr>
        <w:t>注：以上报价应为含税价，服务费需开具增值税专用发票。</w:t>
      </w:r>
    </w:p>
    <w:p>
      <w:pPr>
        <w:pStyle w:val="8"/>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default" w:ascii="宋体" w:hAnsi="宋体" w:cs="宋体"/>
          <w:sz w:val="24"/>
          <w:szCs w:val="24"/>
          <w:lang w:val="en-US" w:eastAsia="zh-CN"/>
        </w:rPr>
      </w:pPr>
      <w:r>
        <w:rPr>
          <w:rFonts w:hint="eastAsia" w:ascii="宋体" w:hAnsi="宋体" w:cs="宋体"/>
          <w:sz w:val="24"/>
          <w:szCs w:val="24"/>
          <w:highlight w:val="none"/>
          <w:lang w:val="en-US" w:eastAsia="zh-CN"/>
        </w:rPr>
        <w:t>南方电网数字电网集团信息通信科技有限公</w:t>
      </w:r>
      <w:r>
        <w:rPr>
          <w:rFonts w:hint="default" w:ascii="宋体" w:hAnsi="宋体" w:cs="宋体"/>
          <w:sz w:val="24"/>
          <w:szCs w:val="24"/>
          <w:lang w:val="en-US" w:eastAsia="zh-CN"/>
        </w:rPr>
        <w:t>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default" w:ascii="宋体" w:hAnsi="宋体" w:cs="宋体"/>
          <w:sz w:val="24"/>
          <w:szCs w:val="24"/>
          <w:lang w:val="en-US" w:eastAsia="zh-CN"/>
        </w:rPr>
      </w:pPr>
      <w:r>
        <w:rPr>
          <w:rFonts w:hint="eastAsia" w:ascii="宋体" w:hAnsi="宋体" w:cs="宋体"/>
          <w:sz w:val="24"/>
          <w:szCs w:val="24"/>
          <w:lang w:val="en-US" w:eastAsia="zh-CN"/>
        </w:rPr>
        <w:t>2025年3月7日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D00C58"/>
    <w:rsid w:val="02316FEE"/>
    <w:rsid w:val="02903F44"/>
    <w:rsid w:val="03091E03"/>
    <w:rsid w:val="038F3245"/>
    <w:rsid w:val="03EF3B00"/>
    <w:rsid w:val="045D5BC2"/>
    <w:rsid w:val="0488238D"/>
    <w:rsid w:val="04AA4233"/>
    <w:rsid w:val="051E41F2"/>
    <w:rsid w:val="052460FB"/>
    <w:rsid w:val="05513747"/>
    <w:rsid w:val="05DD1BC6"/>
    <w:rsid w:val="0661309E"/>
    <w:rsid w:val="06DC37CD"/>
    <w:rsid w:val="081D54B2"/>
    <w:rsid w:val="08793F74"/>
    <w:rsid w:val="087A0447"/>
    <w:rsid w:val="08E04C1D"/>
    <w:rsid w:val="09FC6B3C"/>
    <w:rsid w:val="0A5B4492"/>
    <w:rsid w:val="0C897FA2"/>
    <w:rsid w:val="0D1141AC"/>
    <w:rsid w:val="0DA61673"/>
    <w:rsid w:val="0DAD0FFE"/>
    <w:rsid w:val="0DF00BAB"/>
    <w:rsid w:val="0F9E0235"/>
    <w:rsid w:val="0FCB1378"/>
    <w:rsid w:val="10B4026F"/>
    <w:rsid w:val="10B70054"/>
    <w:rsid w:val="11027EC9"/>
    <w:rsid w:val="11142614"/>
    <w:rsid w:val="115364FF"/>
    <w:rsid w:val="117D67C0"/>
    <w:rsid w:val="11D65DD3"/>
    <w:rsid w:val="11DE5594"/>
    <w:rsid w:val="12083A72"/>
    <w:rsid w:val="1248390A"/>
    <w:rsid w:val="12B25538"/>
    <w:rsid w:val="140E3995"/>
    <w:rsid w:val="14F94D1D"/>
    <w:rsid w:val="15C44EC6"/>
    <w:rsid w:val="15D23CCD"/>
    <w:rsid w:val="162D35F1"/>
    <w:rsid w:val="18E64DFC"/>
    <w:rsid w:val="190E4E8A"/>
    <w:rsid w:val="19641C0E"/>
    <w:rsid w:val="19CA3A5C"/>
    <w:rsid w:val="1A991D03"/>
    <w:rsid w:val="1B1C4A7A"/>
    <w:rsid w:val="1B881D81"/>
    <w:rsid w:val="1BB42683"/>
    <w:rsid w:val="1CBD25FA"/>
    <w:rsid w:val="1D364F15"/>
    <w:rsid w:val="1E3C6829"/>
    <w:rsid w:val="1F412854"/>
    <w:rsid w:val="1F5570C1"/>
    <w:rsid w:val="1F59377E"/>
    <w:rsid w:val="1F7A2683"/>
    <w:rsid w:val="1F9522DE"/>
    <w:rsid w:val="201209AE"/>
    <w:rsid w:val="203778E9"/>
    <w:rsid w:val="209B2C72"/>
    <w:rsid w:val="21687359"/>
    <w:rsid w:val="216F7310"/>
    <w:rsid w:val="21CA54F6"/>
    <w:rsid w:val="22004956"/>
    <w:rsid w:val="227930C6"/>
    <w:rsid w:val="22923EC5"/>
    <w:rsid w:val="240D3B04"/>
    <w:rsid w:val="253D5128"/>
    <w:rsid w:val="269A0FB9"/>
    <w:rsid w:val="27A405A9"/>
    <w:rsid w:val="27D172E0"/>
    <w:rsid w:val="27D1735B"/>
    <w:rsid w:val="282A098B"/>
    <w:rsid w:val="2830587D"/>
    <w:rsid w:val="28D0506B"/>
    <w:rsid w:val="29CB61A1"/>
    <w:rsid w:val="2A2A4E35"/>
    <w:rsid w:val="2AD134D0"/>
    <w:rsid w:val="2B3A767C"/>
    <w:rsid w:val="2B4E5B96"/>
    <w:rsid w:val="2B552424"/>
    <w:rsid w:val="2C801F12"/>
    <w:rsid w:val="2D1101CC"/>
    <w:rsid w:val="2D8432FA"/>
    <w:rsid w:val="2E316055"/>
    <w:rsid w:val="2F17393F"/>
    <w:rsid w:val="30714674"/>
    <w:rsid w:val="31A54783"/>
    <w:rsid w:val="31DE5E92"/>
    <w:rsid w:val="32A75BE1"/>
    <w:rsid w:val="33C073C5"/>
    <w:rsid w:val="34352791"/>
    <w:rsid w:val="343C67F2"/>
    <w:rsid w:val="34AD7A7E"/>
    <w:rsid w:val="351453A4"/>
    <w:rsid w:val="3540038C"/>
    <w:rsid w:val="35C651C7"/>
    <w:rsid w:val="362E30AE"/>
    <w:rsid w:val="36602DCE"/>
    <w:rsid w:val="36BD1EDC"/>
    <w:rsid w:val="371D31FA"/>
    <w:rsid w:val="379F02D0"/>
    <w:rsid w:val="384D38EC"/>
    <w:rsid w:val="3909118E"/>
    <w:rsid w:val="3A2E433E"/>
    <w:rsid w:val="3B20012B"/>
    <w:rsid w:val="3B4309FB"/>
    <w:rsid w:val="3B614453"/>
    <w:rsid w:val="3B980E56"/>
    <w:rsid w:val="3BD16A31"/>
    <w:rsid w:val="3CB215A2"/>
    <w:rsid w:val="3DBC52D8"/>
    <w:rsid w:val="3DE21C94"/>
    <w:rsid w:val="3E47743A"/>
    <w:rsid w:val="3EE44DED"/>
    <w:rsid w:val="410B1D4A"/>
    <w:rsid w:val="412D71FD"/>
    <w:rsid w:val="414B7825"/>
    <w:rsid w:val="41F646C8"/>
    <w:rsid w:val="42CA7F23"/>
    <w:rsid w:val="430E2866"/>
    <w:rsid w:val="43254DBA"/>
    <w:rsid w:val="43E81820"/>
    <w:rsid w:val="44647CC4"/>
    <w:rsid w:val="447A33AA"/>
    <w:rsid w:val="451E70F3"/>
    <w:rsid w:val="46972D74"/>
    <w:rsid w:val="48457920"/>
    <w:rsid w:val="48AC05C9"/>
    <w:rsid w:val="49932E45"/>
    <w:rsid w:val="4A152945"/>
    <w:rsid w:val="4AD27479"/>
    <w:rsid w:val="4D463756"/>
    <w:rsid w:val="4D486759"/>
    <w:rsid w:val="4D73501E"/>
    <w:rsid w:val="4DDA5CC7"/>
    <w:rsid w:val="4E7B5851"/>
    <w:rsid w:val="4F1A33B7"/>
    <w:rsid w:val="4F801DF4"/>
    <w:rsid w:val="501034CC"/>
    <w:rsid w:val="50771950"/>
    <w:rsid w:val="507B4F96"/>
    <w:rsid w:val="51154388"/>
    <w:rsid w:val="5193364D"/>
    <w:rsid w:val="51D77336"/>
    <w:rsid w:val="542A3A4D"/>
    <w:rsid w:val="5438153A"/>
    <w:rsid w:val="54656AAB"/>
    <w:rsid w:val="55513B61"/>
    <w:rsid w:val="56070581"/>
    <w:rsid w:val="561E35DE"/>
    <w:rsid w:val="58176970"/>
    <w:rsid w:val="58F70B83"/>
    <w:rsid w:val="58FA4C7B"/>
    <w:rsid w:val="593E70A4"/>
    <w:rsid w:val="59895285"/>
    <w:rsid w:val="5A9E4350"/>
    <w:rsid w:val="5AB865E5"/>
    <w:rsid w:val="5AE605F2"/>
    <w:rsid w:val="5AEA2CC8"/>
    <w:rsid w:val="5AFA4AD0"/>
    <w:rsid w:val="5AFC7FD4"/>
    <w:rsid w:val="5B5D6D73"/>
    <w:rsid w:val="5B81031A"/>
    <w:rsid w:val="5C45642D"/>
    <w:rsid w:val="5E0B4F4B"/>
    <w:rsid w:val="5ED35121"/>
    <w:rsid w:val="5F0842F6"/>
    <w:rsid w:val="5FE77BC3"/>
    <w:rsid w:val="6091637B"/>
    <w:rsid w:val="60F85757"/>
    <w:rsid w:val="633C048F"/>
    <w:rsid w:val="63E44975"/>
    <w:rsid w:val="643C4C03"/>
    <w:rsid w:val="649A719B"/>
    <w:rsid w:val="673B3A2C"/>
    <w:rsid w:val="67651A3D"/>
    <w:rsid w:val="67746C30"/>
    <w:rsid w:val="696470D9"/>
    <w:rsid w:val="69872ACA"/>
    <w:rsid w:val="69C63668"/>
    <w:rsid w:val="6A82754B"/>
    <w:rsid w:val="6B2A2617"/>
    <w:rsid w:val="6B2E68F1"/>
    <w:rsid w:val="6BA0061C"/>
    <w:rsid w:val="6C386C1D"/>
    <w:rsid w:val="6C3A079D"/>
    <w:rsid w:val="6CBF5146"/>
    <w:rsid w:val="6CEC4142"/>
    <w:rsid w:val="6D873E94"/>
    <w:rsid w:val="6EBA5637"/>
    <w:rsid w:val="6EDB4DC7"/>
    <w:rsid w:val="6F886897"/>
    <w:rsid w:val="704542F1"/>
    <w:rsid w:val="706630F4"/>
    <w:rsid w:val="706A53C9"/>
    <w:rsid w:val="70A132D9"/>
    <w:rsid w:val="70BA2C98"/>
    <w:rsid w:val="715568A7"/>
    <w:rsid w:val="715C0189"/>
    <w:rsid w:val="71D8334A"/>
    <w:rsid w:val="73A923D2"/>
    <w:rsid w:val="74951F55"/>
    <w:rsid w:val="76970420"/>
    <w:rsid w:val="7709593C"/>
    <w:rsid w:val="771863F0"/>
    <w:rsid w:val="77D71C64"/>
    <w:rsid w:val="782146A4"/>
    <w:rsid w:val="79294BA1"/>
    <w:rsid w:val="79874087"/>
    <w:rsid w:val="79F851D5"/>
    <w:rsid w:val="7A335227"/>
    <w:rsid w:val="7A8A3819"/>
    <w:rsid w:val="7AA1145D"/>
    <w:rsid w:val="7BEE0EE2"/>
    <w:rsid w:val="7C7A21E7"/>
    <w:rsid w:val="7E281E48"/>
    <w:rsid w:val="7F893C4C"/>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rPr>
      <w:kern w:val="2"/>
      <w:sz w:val="21"/>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4">
    <w:name w:val="caption"/>
    <w:basedOn w:val="1"/>
    <w:next w:val="1"/>
    <w:semiHidden/>
    <w:unhideWhenUsed/>
    <w:qFormat/>
    <w:uiPriority w:val="0"/>
    <w:rPr>
      <w:rFonts w:ascii="Arial" w:hAnsi="Arial" w:eastAsia="黑体"/>
      <w:sz w:val="20"/>
    </w:rPr>
  </w:style>
  <w:style w:type="paragraph" w:styleId="5">
    <w:name w:val="annotation text"/>
    <w:basedOn w:val="1"/>
    <w:qFormat/>
    <w:uiPriority w:val="0"/>
    <w:pPr>
      <w:jc w:val="left"/>
    </w:pPr>
  </w:style>
  <w:style w:type="paragraph" w:styleId="6">
    <w:name w:val="Body Text Indent"/>
    <w:basedOn w:val="1"/>
    <w:unhideWhenUsed/>
    <w:qFormat/>
    <w:uiPriority w:val="99"/>
    <w:pPr>
      <w:spacing w:line="460" w:lineRule="exact"/>
      <w:ind w:firstLine="510"/>
    </w:pPr>
    <w:rPr>
      <w:kern w:val="0"/>
      <w:sz w:val="20"/>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6"/>
    <w:unhideWhenUsed/>
    <w:qFormat/>
    <w:uiPriority w:val="99"/>
    <w:pPr>
      <w:ind w:leftChars="200" w:firstLine="420" w:firstLineChars="200"/>
    </w:pPr>
  </w:style>
  <w:style w:type="paragraph" w:customStyle="1" w:styleId="11">
    <w:name w:val="一标题"/>
    <w:qFormat/>
    <w:uiPriority w:val="0"/>
    <w:pPr>
      <w:spacing w:before="100" w:beforeLines="100" w:line="360" w:lineRule="auto"/>
    </w:pPr>
    <w:rPr>
      <w:rFonts w:ascii="宋体" w:hAnsi="宋体" w:eastAsia="宋体" w:cs="Times New Roman"/>
      <w:b/>
      <w:sz w:val="24"/>
      <w:lang w:val="en-US" w:eastAsia="zh-CN" w:bidi="ar-SA"/>
    </w:rPr>
  </w:style>
  <w:style w:type="paragraph" w:customStyle="1" w:styleId="12">
    <w:name w:val="Normal Indent1"/>
    <w:basedOn w:val="1"/>
    <w:qFormat/>
    <w:uiPriority w:val="0"/>
    <w:pPr>
      <w:ind w:firstLine="200" w:firstLineChars="200"/>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1462</Words>
  <Characters>1501</Characters>
  <Lines>0</Lines>
  <Paragraphs>0</Paragraphs>
  <TotalTime>52</TotalTime>
  <ScaleCrop>false</ScaleCrop>
  <LinksUpToDate>false</LinksUpToDate>
  <CharactersWithSpaces>1505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liangzj2</cp:lastModifiedBy>
  <dcterms:modified xsi:type="dcterms:W3CDTF">2025-03-07T04:30:13Z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814D47D904124955BC89E636271920FD_13</vt:lpwstr>
  </property>
  <property fmtid="{D5CDD505-2E9C-101B-9397-08002B2CF9AE}" pid="4" name="KSOTemplateDocerSaveRecord">
    <vt:lpwstr>eyJoZGlkIjoiMjc3YjYyYzI1M2VlOWNiMmQ3YmU5MDdkN2NiMDc2ZjIiLCJ1c2VySWQiOiIxOTQyNjE3OTQifQ==</vt:lpwstr>
  </property>
</Properties>
</file>