
<file path=[Content_Types].xml><?xml version="1.0" encoding="utf-8"?>
<Types xmlns="http://schemas.openxmlformats.org/package/2006/content-types">
  <Default Extension="xml" ContentType="application/xml"/>
  <Default Extension="png" ContentType="image/png"/>
  <Default Extension="emf" ContentType="image/x-emf"/>
  <Default Extension="jpeg" ContentType="image/jpeg"/>
  <Default Extension="JPG" ContentType="image/.jp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ackground w:color="FFFFFF"/>
  <w:body>
    <w:p>
      <w:pPr>
        <w:pStyle w:val="187"/>
        <w:numPr>
          <w:ilvl w:val="1"/>
          <w:numId w:val="0"/>
        </w:numPr>
        <w:autoSpaceDE w:val="0"/>
        <w:autoSpaceDN w:val="0"/>
        <w:rPr>
          <w:rFonts w:ascii="Times New Roman"/>
          <w:color w:val="000000" w:themeColor="text1"/>
          <w14:textFill>
            <w14:solidFill>
              <w14:schemeClr w14:val="tx1"/>
            </w14:solidFill>
          </w14:textFill>
        </w:rPr>
      </w:pPr>
      <w:bookmarkStart w:id="0" w:name="_Toc246216323"/>
      <w:r>
        <w:rPr>
          <w:rFonts w:ascii="Times New Roman"/>
          <w:color w:val="000000" w:themeColor="text1"/>
          <w14:textFill>
            <w14:solidFill>
              <w14:schemeClr w14:val="tx1"/>
            </w14:solidFill>
          </w14:textFill>
        </w:rPr>
        <mc:AlternateContent>
          <mc:Choice Requires="wps">
            <w:drawing>
              <wp:anchor distT="0" distB="0" distL="114300" distR="114300" simplePos="0" relativeHeight="251659264" behindDoc="0" locked="0" layoutInCell="1" allowOverlap="1">
                <wp:simplePos x="0" y="0"/>
                <wp:positionH relativeFrom="column">
                  <wp:posOffset>-330835</wp:posOffset>
                </wp:positionH>
                <wp:positionV relativeFrom="paragraph">
                  <wp:posOffset>44450</wp:posOffset>
                </wp:positionV>
                <wp:extent cx="6267450" cy="8375650"/>
                <wp:effectExtent l="0" t="0" r="0" b="6350"/>
                <wp:wrapNone/>
                <wp:docPr id="1" name="文本框 2"/>
                <wp:cNvGraphicFramePr/>
                <a:graphic xmlns:a="http://schemas.openxmlformats.org/drawingml/2006/main">
                  <a:graphicData uri="http://schemas.microsoft.com/office/word/2010/wordprocessingShape">
                    <wps:wsp>
                      <wps:cNvSpPr txBox="1"/>
                      <wps:spPr>
                        <a:xfrm>
                          <a:off x="0" y="0"/>
                          <a:ext cx="6267450" cy="8375650"/>
                        </a:xfrm>
                        <a:prstGeom prst="rect">
                          <a:avLst/>
                        </a:prstGeom>
                        <a:solidFill>
                          <a:srgbClr val="FFFFFF"/>
                        </a:solidFill>
                        <a:ln>
                          <a:noFill/>
                        </a:ln>
                      </wps:spPr>
                      <wps:txbx>
                        <w:txbxContent>
                          <w:p>
                            <w:pPr>
                              <w:spacing w:before="240" w:beforeLines="100" w:after="600" w:afterLines="250"/>
                              <w:jc w:val="center"/>
                              <w:rPr>
                                <w:rFonts w:ascii="黑体" w:hAnsi="宋体" w:eastAsia="黑体" w:cs="宋体-18030"/>
                                <w:b/>
                                <w:sz w:val="52"/>
                                <w:szCs w:val="52"/>
                              </w:rPr>
                            </w:pPr>
                            <w:r>
                              <w:rPr>
                                <w:rFonts w:hint="eastAsia" w:ascii="黑体" w:hAnsi="宋体" w:eastAsia="黑体" w:cs="宋体-18030"/>
                                <w:b/>
                                <w:sz w:val="52"/>
                                <w:szCs w:val="52"/>
                              </w:rPr>
                              <w:t>预制舱</w:t>
                            </w:r>
                          </w:p>
                          <w:p>
                            <w:pPr>
                              <w:spacing w:before="240" w:beforeLines="100" w:after="600" w:afterLines="250"/>
                              <w:jc w:val="center"/>
                              <w:rPr>
                                <w:rFonts w:eastAsia="黑体"/>
                                <w:b/>
                                <w:sz w:val="36"/>
                              </w:rPr>
                            </w:pPr>
                            <w:r>
                              <w:rPr>
                                <w:rFonts w:hint="eastAsia" w:eastAsia="黑体"/>
                                <w:b/>
                                <w:sz w:val="52"/>
                              </w:rPr>
                              <w:t>技术规范书</w:t>
                            </w:r>
                          </w:p>
                          <w:p>
                            <w:pPr>
                              <w:spacing w:before="480" w:beforeLines="200"/>
                              <w:ind w:firstLine="2873" w:firstLineChars="795"/>
                              <w:jc w:val="left"/>
                              <w:rPr>
                                <w:rFonts w:eastAsia="黑体"/>
                                <w:b/>
                                <w:sz w:val="36"/>
                              </w:rPr>
                            </w:pPr>
                          </w:p>
                          <w:p>
                            <w:pPr>
                              <w:spacing w:before="480" w:beforeLines="200"/>
                              <w:ind w:firstLine="2873" w:firstLineChars="795"/>
                              <w:jc w:val="left"/>
                              <w:rPr>
                                <w:rFonts w:eastAsia="黑体"/>
                                <w:b/>
                                <w:sz w:val="36"/>
                              </w:rPr>
                            </w:pPr>
                          </w:p>
                          <w:p>
                            <w:pPr>
                              <w:spacing w:before="480" w:beforeLines="200"/>
                              <w:ind w:firstLine="2862" w:firstLineChars="795"/>
                              <w:jc w:val="left"/>
                              <w:rPr>
                                <w:rFonts w:eastAsia="黑体"/>
                                <w:sz w:val="36"/>
                              </w:rPr>
                            </w:pPr>
                          </w:p>
                          <w:p>
                            <w:pPr>
                              <w:spacing w:before="480" w:beforeLines="200"/>
                              <w:ind w:firstLine="2862" w:firstLineChars="795"/>
                              <w:jc w:val="left"/>
                              <w:rPr>
                                <w:rFonts w:eastAsia="黑体"/>
                                <w:sz w:val="36"/>
                              </w:rPr>
                            </w:pPr>
                          </w:p>
                          <w:p>
                            <w:pPr>
                              <w:spacing w:before="480" w:beforeLines="200"/>
                              <w:ind w:firstLine="2862" w:firstLineChars="795"/>
                              <w:jc w:val="left"/>
                              <w:rPr>
                                <w:rFonts w:eastAsia="黑体"/>
                                <w:sz w:val="36"/>
                              </w:rPr>
                            </w:pPr>
                          </w:p>
                          <w:p>
                            <w:pPr>
                              <w:spacing w:before="480" w:beforeLines="200"/>
                              <w:ind w:firstLine="2862" w:firstLineChars="795"/>
                              <w:jc w:val="left"/>
                              <w:rPr>
                                <w:rFonts w:eastAsia="黑体"/>
                                <w:sz w:val="36"/>
                              </w:rPr>
                            </w:pPr>
                          </w:p>
                          <w:p>
                            <w:pPr>
                              <w:spacing w:before="480" w:beforeLines="200"/>
                              <w:ind w:firstLine="2862" w:firstLineChars="795"/>
                              <w:jc w:val="left"/>
                              <w:rPr>
                                <w:rFonts w:eastAsia="黑体"/>
                                <w:sz w:val="36"/>
                              </w:rPr>
                            </w:pPr>
                          </w:p>
                          <w:p>
                            <w:pPr>
                              <w:spacing w:before="480" w:beforeLines="200"/>
                              <w:jc w:val="center"/>
                              <w:rPr>
                                <w:rFonts w:ascii="黑体" w:eastAsia="黑体"/>
                                <w:b/>
                                <w:spacing w:val="20"/>
                                <w:w w:val="135"/>
                                <w:sz w:val="30"/>
                              </w:rPr>
                            </w:pPr>
                            <w:r>
                              <w:rPr>
                                <w:rFonts w:hint="eastAsia" w:ascii="黑体" w:eastAsia="黑体"/>
                                <w:b/>
                                <w:spacing w:val="20"/>
                                <w:w w:val="135"/>
                                <w:sz w:val="30"/>
                              </w:rPr>
                              <w:t xml:space="preserve">  广东电网有限责任公司中山供电局</w:t>
                            </w:r>
                          </w:p>
                          <w:p>
                            <w:pPr>
                              <w:spacing w:before="480" w:beforeLines="200"/>
                              <w:ind w:firstLine="3712" w:firstLineChars="832"/>
                              <w:jc w:val="left"/>
                              <w:rPr>
                                <w:rFonts w:eastAsia="黑体"/>
                                <w:b/>
                                <w:sz w:val="36"/>
                              </w:rPr>
                            </w:pPr>
                            <w:r>
                              <w:rPr>
                                <w:rFonts w:hint="eastAsia" w:ascii="黑体" w:eastAsia="黑体"/>
                                <w:b/>
                                <w:spacing w:val="20"/>
                                <w:w w:val="135"/>
                                <w:sz w:val="30"/>
                              </w:rPr>
                              <w:t>20</w:t>
                            </w:r>
                            <w:r>
                              <w:rPr>
                                <w:rFonts w:ascii="黑体" w:eastAsia="黑体"/>
                                <w:b/>
                                <w:spacing w:val="20"/>
                                <w:w w:val="135"/>
                                <w:sz w:val="30"/>
                              </w:rPr>
                              <w:t>25</w:t>
                            </w:r>
                            <w:r>
                              <w:rPr>
                                <w:rFonts w:hint="eastAsia" w:ascii="黑体" w:eastAsia="黑体"/>
                                <w:b/>
                                <w:spacing w:val="20"/>
                                <w:w w:val="135"/>
                                <w:sz w:val="30"/>
                              </w:rPr>
                              <w:t>年0</w:t>
                            </w:r>
                            <w:r>
                              <w:rPr>
                                <w:rFonts w:hint="eastAsia" w:ascii="黑体" w:eastAsia="黑体"/>
                                <w:b/>
                                <w:spacing w:val="20"/>
                                <w:w w:val="135"/>
                                <w:sz w:val="30"/>
                                <w:lang w:val="en-US" w:eastAsia="zh-CN"/>
                              </w:rPr>
                              <w:t>3</w:t>
                            </w:r>
                            <w:r>
                              <w:rPr>
                                <w:rFonts w:hint="eastAsia" w:ascii="黑体" w:eastAsia="黑体"/>
                                <w:b/>
                                <w:spacing w:val="20"/>
                                <w:w w:val="135"/>
                                <w:sz w:val="30"/>
                              </w:rPr>
                              <w:t xml:space="preserve">月   </w:t>
                            </w:r>
                          </w:p>
                          <w:p>
                            <w:pPr>
                              <w:spacing w:before="480" w:beforeLines="200"/>
                              <w:jc w:val="center"/>
                            </w:pPr>
                          </w:p>
                        </w:txbxContent>
                      </wps:txbx>
                      <wps:bodyPr wrap="square" lIns="0" tIns="0" rIns="91440" bIns="45720" upright="1">
                        <a:noAutofit/>
                      </wps:bodyPr>
                    </wps:wsp>
                  </a:graphicData>
                </a:graphic>
              </wp:anchor>
            </w:drawing>
          </mc:Choice>
          <mc:Fallback>
            <w:pict>
              <v:shape id="文本框 2" o:spid="_x0000_s1026" o:spt="202" type="#_x0000_t202" style="position:absolute;left:0pt;margin-left:-26.05pt;margin-top:3.5pt;height:659.5pt;width:493.5pt;z-index:251659264;mso-width-relative:page;mso-height-relative:page;" fillcolor="#FFFFFF" filled="t" stroked="f" coordsize="21600,21600" o:gfxdata="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">
                <v:fill on="t" focussize="0,0"/>
                <v:stroke on="f"/>
                <v:imagedata o:title=""/>
                <o:lock v:ext="edit" aspectratio="f"/>
                <v:textbox inset="0mm,0mm,2.54mm,1.27mm">
                  <w:txbxContent>
                    <w:p>
                      <w:pPr>
                        <w:spacing w:before="240" w:beforeLines="100" w:after="600" w:afterLines="250"/>
                        <w:jc w:val="center"/>
                        <w:rPr>
                          <w:rFonts w:ascii="黑体" w:hAnsi="宋体" w:eastAsia="黑体" w:cs="宋体-18030"/>
                          <w:b/>
                          <w:sz w:val="52"/>
                          <w:szCs w:val="52"/>
                        </w:rPr>
                      </w:pPr>
                      <w:r>
                        <w:rPr>
                          <w:rFonts w:hint="eastAsia" w:ascii="黑体" w:hAnsi="宋体" w:eastAsia="黑体" w:cs="宋体-18030"/>
                          <w:b/>
                          <w:sz w:val="52"/>
                          <w:szCs w:val="52"/>
                        </w:rPr>
                        <w:t>预制舱</w:t>
                      </w:r>
                    </w:p>
                    <w:p>
                      <w:pPr>
                        <w:spacing w:before="240" w:beforeLines="100" w:after="600" w:afterLines="250"/>
                        <w:jc w:val="center"/>
                        <w:rPr>
                          <w:rFonts w:eastAsia="黑体"/>
                          <w:b/>
                          <w:sz w:val="36"/>
                        </w:rPr>
                      </w:pPr>
                      <w:r>
                        <w:rPr>
                          <w:rFonts w:hint="eastAsia" w:eastAsia="黑体"/>
                          <w:b/>
                          <w:sz w:val="52"/>
                        </w:rPr>
                        <w:t>技术规范书</w:t>
                      </w:r>
                    </w:p>
                    <w:p>
                      <w:pPr>
                        <w:spacing w:before="480" w:beforeLines="200"/>
                        <w:ind w:firstLine="2873" w:firstLineChars="795"/>
                        <w:jc w:val="left"/>
                        <w:rPr>
                          <w:rFonts w:eastAsia="黑体"/>
                          <w:b/>
                          <w:sz w:val="36"/>
                        </w:rPr>
                      </w:pPr>
                    </w:p>
                    <w:p>
                      <w:pPr>
                        <w:spacing w:before="480" w:beforeLines="200"/>
                        <w:ind w:firstLine="2873" w:firstLineChars="795"/>
                        <w:jc w:val="left"/>
                        <w:rPr>
                          <w:rFonts w:eastAsia="黑体"/>
                          <w:b/>
                          <w:sz w:val="36"/>
                        </w:rPr>
                      </w:pPr>
                    </w:p>
                    <w:p>
                      <w:pPr>
                        <w:spacing w:before="480" w:beforeLines="200"/>
                        <w:ind w:firstLine="2862" w:firstLineChars="795"/>
                        <w:jc w:val="left"/>
                        <w:rPr>
                          <w:rFonts w:eastAsia="黑体"/>
                          <w:sz w:val="36"/>
                        </w:rPr>
                      </w:pPr>
                    </w:p>
                    <w:p>
                      <w:pPr>
                        <w:spacing w:before="480" w:beforeLines="200"/>
                        <w:ind w:firstLine="2862" w:firstLineChars="795"/>
                        <w:jc w:val="left"/>
                        <w:rPr>
                          <w:rFonts w:eastAsia="黑体"/>
                          <w:sz w:val="36"/>
                        </w:rPr>
                      </w:pPr>
                    </w:p>
                    <w:p>
                      <w:pPr>
                        <w:spacing w:before="480" w:beforeLines="200"/>
                        <w:ind w:firstLine="2862" w:firstLineChars="795"/>
                        <w:jc w:val="left"/>
                        <w:rPr>
                          <w:rFonts w:eastAsia="黑体"/>
                          <w:sz w:val="36"/>
                        </w:rPr>
                      </w:pPr>
                    </w:p>
                    <w:p>
                      <w:pPr>
                        <w:spacing w:before="480" w:beforeLines="200"/>
                        <w:ind w:firstLine="2862" w:firstLineChars="795"/>
                        <w:jc w:val="left"/>
                        <w:rPr>
                          <w:rFonts w:eastAsia="黑体"/>
                          <w:sz w:val="36"/>
                        </w:rPr>
                      </w:pPr>
                    </w:p>
                    <w:p>
                      <w:pPr>
                        <w:spacing w:before="480" w:beforeLines="200"/>
                        <w:ind w:firstLine="2862" w:firstLineChars="795"/>
                        <w:jc w:val="left"/>
                        <w:rPr>
                          <w:rFonts w:eastAsia="黑体"/>
                          <w:sz w:val="36"/>
                        </w:rPr>
                      </w:pPr>
                    </w:p>
                    <w:p>
                      <w:pPr>
                        <w:spacing w:before="480" w:beforeLines="200"/>
                        <w:jc w:val="center"/>
                        <w:rPr>
                          <w:rFonts w:ascii="黑体" w:eastAsia="黑体"/>
                          <w:b/>
                          <w:spacing w:val="20"/>
                          <w:w w:val="135"/>
                          <w:sz w:val="30"/>
                        </w:rPr>
                      </w:pPr>
                      <w:r>
                        <w:rPr>
                          <w:rFonts w:hint="eastAsia" w:ascii="黑体" w:eastAsia="黑体"/>
                          <w:b/>
                          <w:spacing w:val="20"/>
                          <w:w w:val="135"/>
                          <w:sz w:val="30"/>
                        </w:rPr>
                        <w:t xml:space="preserve">  广东电网有限责任公司中山供电局</w:t>
                      </w:r>
                    </w:p>
                    <w:p>
                      <w:pPr>
                        <w:spacing w:before="480" w:beforeLines="200"/>
                        <w:ind w:firstLine="3712" w:firstLineChars="832"/>
                        <w:jc w:val="left"/>
                        <w:rPr>
                          <w:rFonts w:eastAsia="黑体"/>
                          <w:b/>
                          <w:sz w:val="36"/>
                        </w:rPr>
                      </w:pPr>
                      <w:r>
                        <w:rPr>
                          <w:rFonts w:hint="eastAsia" w:ascii="黑体" w:eastAsia="黑体"/>
                          <w:b/>
                          <w:spacing w:val="20"/>
                          <w:w w:val="135"/>
                          <w:sz w:val="30"/>
                        </w:rPr>
                        <w:t>20</w:t>
                      </w:r>
                      <w:r>
                        <w:rPr>
                          <w:rFonts w:ascii="黑体" w:eastAsia="黑体"/>
                          <w:b/>
                          <w:spacing w:val="20"/>
                          <w:w w:val="135"/>
                          <w:sz w:val="30"/>
                        </w:rPr>
                        <w:t>25</w:t>
                      </w:r>
                      <w:r>
                        <w:rPr>
                          <w:rFonts w:hint="eastAsia" w:ascii="黑体" w:eastAsia="黑体"/>
                          <w:b/>
                          <w:spacing w:val="20"/>
                          <w:w w:val="135"/>
                          <w:sz w:val="30"/>
                        </w:rPr>
                        <w:t>年0</w:t>
                      </w:r>
                      <w:r>
                        <w:rPr>
                          <w:rFonts w:hint="eastAsia" w:ascii="黑体" w:eastAsia="黑体"/>
                          <w:b/>
                          <w:spacing w:val="20"/>
                          <w:w w:val="135"/>
                          <w:sz w:val="30"/>
                          <w:lang w:val="en-US" w:eastAsia="zh-CN"/>
                        </w:rPr>
                        <w:t>3</w:t>
                      </w:r>
                      <w:r>
                        <w:rPr>
                          <w:rFonts w:hint="eastAsia" w:ascii="黑体" w:eastAsia="黑体"/>
                          <w:b/>
                          <w:spacing w:val="20"/>
                          <w:w w:val="135"/>
                          <w:sz w:val="30"/>
                        </w:rPr>
                        <w:t xml:space="preserve">月   </w:t>
                      </w:r>
                    </w:p>
                    <w:p>
                      <w:pPr>
                        <w:spacing w:before="480" w:beforeLines="200"/>
                        <w:jc w:val="center"/>
                      </w:pPr>
                    </w:p>
                  </w:txbxContent>
                </v:textbox>
              </v:shape>
            </w:pict>
          </mc:Fallback>
        </mc:AlternateContent>
      </w:r>
      <w:r>
        <w:rPr>
          <w:rFonts w:ascii="Times New Roman"/>
          <w:color w:val="000000" w:themeColor="text1"/>
          <w14:textFill>
            <w14:solidFill>
              <w14:schemeClr w14:val="tx1"/>
            </w14:solidFill>
          </w14:textFill>
        </w:rPr>
        <w:drawing>
          <wp:anchor distT="0" distB="0" distL="114300" distR="114300" simplePos="0" relativeHeight="251660288" behindDoc="1" locked="0" layoutInCell="1" allowOverlap="1">
            <wp:simplePos x="0" y="0"/>
            <wp:positionH relativeFrom="column">
              <wp:posOffset>-1078865</wp:posOffset>
            </wp:positionH>
            <wp:positionV relativeFrom="paragraph">
              <wp:posOffset>-914400</wp:posOffset>
            </wp:positionV>
            <wp:extent cx="8915400" cy="2736850"/>
            <wp:effectExtent l="0" t="0" r="0" b="6350"/>
            <wp:wrapTight wrapText="bothSides">
              <wp:wrapPolygon>
                <wp:start x="-23" y="0"/>
                <wp:lineTo x="-23" y="21525"/>
                <wp:lineTo x="21600" y="21525"/>
                <wp:lineTo x="21600" y="0"/>
                <wp:lineTo x="-23" y="0"/>
              </wp:wrapPolygon>
            </wp:wrapTight>
            <wp:docPr id="2" name="图片 3" descr="模板-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3" descr="模板-3"/>
                    <pic:cNvPicPr>
                      <a:picLocks noChangeAspect="1"/>
                    </pic:cNvPicPr>
                  </pic:nvPicPr>
                  <pic:blipFill>
                    <a:blip r:embed="rId9"/>
                    <a:stretch>
                      <a:fillRect/>
                    </a:stretch>
                  </pic:blipFill>
                  <pic:spPr>
                    <a:xfrm>
                      <a:off x="0" y="0"/>
                      <a:ext cx="8915400" cy="2736850"/>
                    </a:xfrm>
                    <a:prstGeom prst="rect">
                      <a:avLst/>
                    </a:prstGeom>
                    <a:noFill/>
                    <a:ln>
                      <a:noFill/>
                    </a:ln>
                  </pic:spPr>
                </pic:pic>
              </a:graphicData>
            </a:graphic>
          </wp:anchor>
        </w:drawing>
      </w:r>
    </w:p>
    <w:p>
      <w:pPr>
        <w:pStyle w:val="187"/>
        <w:numPr>
          <w:ilvl w:val="1"/>
          <w:numId w:val="0"/>
        </w:numPr>
        <w:autoSpaceDE w:val="0"/>
        <w:autoSpaceDN w:val="0"/>
        <w:rPr>
          <w:rFonts w:ascii="Times New Roman"/>
          <w:color w:val="000000" w:themeColor="text1"/>
          <w14:textFill>
            <w14:solidFill>
              <w14:schemeClr w14:val="tx1"/>
            </w14:solidFill>
          </w14:textFill>
        </w:rPr>
      </w:pPr>
    </w:p>
    <w:p>
      <w:pPr>
        <w:pStyle w:val="187"/>
        <w:numPr>
          <w:ilvl w:val="1"/>
          <w:numId w:val="0"/>
        </w:numPr>
        <w:autoSpaceDE w:val="0"/>
        <w:autoSpaceDN w:val="0"/>
        <w:rPr>
          <w:rFonts w:ascii="Times New Roman"/>
          <w:color w:val="000000" w:themeColor="text1"/>
          <w14:textFill>
            <w14:solidFill>
              <w14:schemeClr w14:val="tx1"/>
            </w14:solidFill>
          </w14:textFill>
        </w:rPr>
        <w:sectPr>
          <w:headerReference r:id="rId3" w:type="first"/>
          <w:footerReference r:id="rId4" w:type="default"/>
          <w:footerReference r:id="rId5" w:type="even"/>
          <w:pgSz w:w="11907" w:h="16839"/>
          <w:pgMar w:top="1440" w:right="1701" w:bottom="1440" w:left="1701" w:header="964" w:footer="737" w:gutter="0"/>
          <w:pgNumType w:start="1"/>
          <w:cols w:space="720" w:num="1"/>
          <w:titlePg/>
          <w:docGrid w:linePitch="312" w:charSpace="0"/>
        </w:sectPr>
      </w:pPr>
    </w:p>
    <w:p>
      <w:pPr>
        <w:pStyle w:val="201"/>
        <w:adjustRightInd w:val="0"/>
        <w:snapToGrid w:val="0"/>
        <w:spacing w:line="360" w:lineRule="auto"/>
        <w:ind w:firstLine="3674" w:firstLineChars="1525"/>
        <w:rPr>
          <w:rFonts w:eastAsia="宋体"/>
          <w:b/>
          <w:color w:val="000000" w:themeColor="text1"/>
          <w:sz w:val="24"/>
          <w:szCs w:val="24"/>
          <w14:textFill>
            <w14:solidFill>
              <w14:schemeClr w14:val="tx1"/>
            </w14:solidFill>
          </w14:textFill>
        </w:rPr>
      </w:pPr>
      <w:r>
        <w:rPr>
          <w:rFonts w:hint="eastAsia" w:eastAsia="宋体"/>
          <w:b/>
          <w:color w:val="000000" w:themeColor="text1"/>
          <w:sz w:val="24"/>
          <w:szCs w:val="24"/>
          <w14:textFill>
            <w14:solidFill>
              <w14:schemeClr w14:val="tx1"/>
            </w14:solidFill>
          </w14:textFill>
        </w:rPr>
        <w:t>目  录</w:t>
      </w:r>
    </w:p>
    <w:p>
      <w:pPr>
        <w:pStyle w:val="55"/>
        <w:tabs>
          <w:tab w:val="right" w:leader="dot" w:pos="8296"/>
        </w:tabs>
        <w:rPr>
          <w:rFonts w:asciiTheme="majorEastAsia" w:hAnsiTheme="majorEastAsia" w:eastAsiaTheme="majorEastAsia" w:cstheme="minorBidi"/>
          <w:b w:val="0"/>
          <w:bCs w:val="0"/>
          <w:caps w:val="0"/>
          <w:color w:val="000000" w:themeColor="text1"/>
          <w:sz w:val="24"/>
          <w:szCs w:val="24"/>
          <w14:textFill>
            <w14:solidFill>
              <w14:schemeClr w14:val="tx1"/>
            </w14:solidFill>
          </w14:textFill>
        </w:rPr>
      </w:pPr>
      <w:r>
        <w:rPr>
          <w:b w:val="0"/>
          <w:i/>
          <w:color w:val="000000" w:themeColor="text1"/>
          <w:sz w:val="24"/>
          <w:szCs w:val="24"/>
          <w14:textFill>
            <w14:solidFill>
              <w14:schemeClr w14:val="tx1"/>
            </w14:solidFill>
          </w14:textFill>
        </w:rPr>
        <w:fldChar w:fldCharType="begin"/>
      </w:r>
      <w:r>
        <w:rPr>
          <w:b w:val="0"/>
          <w:i/>
          <w:color w:val="000000" w:themeColor="text1"/>
          <w:sz w:val="24"/>
          <w:szCs w:val="24"/>
          <w14:textFill>
            <w14:solidFill>
              <w14:schemeClr w14:val="tx1"/>
            </w14:solidFill>
          </w14:textFill>
        </w:rPr>
        <w:instrText xml:space="preserve"> </w:instrText>
      </w:r>
      <w:r>
        <w:rPr>
          <w:rFonts w:hint="eastAsia"/>
          <w:b w:val="0"/>
          <w:i/>
          <w:color w:val="000000" w:themeColor="text1"/>
          <w:sz w:val="24"/>
          <w:szCs w:val="24"/>
          <w14:textFill>
            <w14:solidFill>
              <w14:schemeClr w14:val="tx1"/>
            </w14:solidFill>
          </w14:textFill>
        </w:rPr>
        <w:instrText xml:space="preserve">TOC \o "1-2" \h \z \u</w:instrText>
      </w:r>
      <w:r>
        <w:rPr>
          <w:b w:val="0"/>
          <w:i/>
          <w:color w:val="000000" w:themeColor="text1"/>
          <w:sz w:val="24"/>
          <w:szCs w:val="24"/>
          <w14:textFill>
            <w14:solidFill>
              <w14:schemeClr w14:val="tx1"/>
            </w14:solidFill>
          </w14:textFill>
        </w:rPr>
        <w:instrText xml:space="preserve"> </w:instrText>
      </w:r>
      <w:r>
        <w:rPr>
          <w:b w:val="0"/>
          <w:i/>
          <w:color w:val="000000" w:themeColor="text1"/>
          <w:sz w:val="24"/>
          <w:szCs w:val="24"/>
          <w14:textFill>
            <w14:solidFill>
              <w14:schemeClr w14:val="tx1"/>
            </w14:solidFill>
          </w14:textFill>
        </w:rPr>
        <w:fldChar w:fldCharType="separate"/>
      </w:r>
      <w:r>
        <w:fldChar w:fldCharType="begin"/>
      </w:r>
      <w:r>
        <w:instrText xml:space="preserve"> HYPERLINK \l "_Toc177995317" </w:instrText>
      </w:r>
      <w:r>
        <w:fldChar w:fldCharType="separate"/>
      </w:r>
      <w:r>
        <w:rPr>
          <w:rStyle w:val="139"/>
          <w:rFonts w:asciiTheme="majorEastAsia" w:hAnsiTheme="majorEastAsia" w:eastAsiaTheme="majorEastAsia"/>
          <w:b w:val="0"/>
          <w:bCs w:val="0"/>
          <w:color w:val="000000" w:themeColor="text1"/>
          <w:sz w:val="24"/>
          <w:szCs w:val="24"/>
          <w14:textFill>
            <w14:solidFill>
              <w14:schemeClr w14:val="tx1"/>
            </w14:solidFill>
          </w14:textFill>
        </w:rPr>
        <w:t>1 总则</w:t>
      </w:r>
      <w:r>
        <w:rPr>
          <w:rFonts w:asciiTheme="majorEastAsia" w:hAnsiTheme="majorEastAsia" w:eastAsiaTheme="majorEastAsia"/>
          <w:b w:val="0"/>
          <w:bCs w:val="0"/>
          <w:color w:val="000000" w:themeColor="text1"/>
          <w:sz w:val="24"/>
          <w:szCs w:val="24"/>
          <w14:textFill>
            <w14:solidFill>
              <w14:schemeClr w14:val="tx1"/>
            </w14:solidFill>
          </w14:textFill>
        </w:rPr>
        <w:tab/>
      </w:r>
      <w:r>
        <w:rPr>
          <w:rFonts w:asciiTheme="majorEastAsia" w:hAnsiTheme="majorEastAsia" w:eastAsiaTheme="majorEastAsia"/>
          <w:b w:val="0"/>
          <w:bCs w:val="0"/>
          <w:color w:val="000000" w:themeColor="text1"/>
          <w:sz w:val="24"/>
          <w:szCs w:val="24"/>
          <w14:textFill>
            <w14:solidFill>
              <w14:schemeClr w14:val="tx1"/>
            </w14:solidFill>
          </w14:textFill>
        </w:rPr>
        <w:fldChar w:fldCharType="begin"/>
      </w:r>
      <w:r>
        <w:rPr>
          <w:rFonts w:asciiTheme="majorEastAsia" w:hAnsiTheme="majorEastAsia" w:eastAsiaTheme="majorEastAsia"/>
          <w:b w:val="0"/>
          <w:bCs w:val="0"/>
          <w:color w:val="000000" w:themeColor="text1"/>
          <w:sz w:val="24"/>
          <w:szCs w:val="24"/>
          <w14:textFill>
            <w14:solidFill>
              <w14:schemeClr w14:val="tx1"/>
            </w14:solidFill>
          </w14:textFill>
        </w:rPr>
        <w:instrText xml:space="preserve"> PAGEREF _Toc177995317 \h </w:instrText>
      </w:r>
      <w:r>
        <w:rPr>
          <w:rFonts w:asciiTheme="majorEastAsia" w:hAnsiTheme="majorEastAsia" w:eastAsiaTheme="majorEastAsia"/>
          <w:b w:val="0"/>
          <w:bCs w:val="0"/>
          <w:color w:val="000000" w:themeColor="text1"/>
          <w:sz w:val="24"/>
          <w:szCs w:val="24"/>
          <w14:textFill>
            <w14:solidFill>
              <w14:schemeClr w14:val="tx1"/>
            </w14:solidFill>
          </w14:textFill>
        </w:rPr>
        <w:fldChar w:fldCharType="separate"/>
      </w:r>
      <w:r>
        <w:rPr>
          <w:rFonts w:asciiTheme="majorEastAsia" w:hAnsiTheme="majorEastAsia" w:eastAsiaTheme="majorEastAsia"/>
          <w:b w:val="0"/>
          <w:bCs w:val="0"/>
          <w:color w:val="000000" w:themeColor="text1"/>
          <w:sz w:val="24"/>
          <w:szCs w:val="24"/>
          <w14:textFill>
            <w14:solidFill>
              <w14:schemeClr w14:val="tx1"/>
            </w14:solidFill>
          </w14:textFill>
        </w:rPr>
        <w:t>3</w:t>
      </w:r>
      <w:r>
        <w:rPr>
          <w:rFonts w:asciiTheme="majorEastAsia" w:hAnsiTheme="majorEastAsia" w:eastAsiaTheme="majorEastAsia"/>
          <w:b w:val="0"/>
          <w:bCs w:val="0"/>
          <w:color w:val="000000" w:themeColor="text1"/>
          <w:sz w:val="24"/>
          <w:szCs w:val="24"/>
          <w14:textFill>
            <w14:solidFill>
              <w14:schemeClr w14:val="tx1"/>
            </w14:solidFill>
          </w14:textFill>
        </w:rPr>
        <w:fldChar w:fldCharType="end"/>
      </w:r>
      <w:r>
        <w:rPr>
          <w:rFonts w:asciiTheme="majorEastAsia" w:hAnsiTheme="majorEastAsia" w:eastAsiaTheme="majorEastAsia"/>
          <w:b w:val="0"/>
          <w:bCs w:val="0"/>
          <w:color w:val="000000" w:themeColor="text1"/>
          <w:sz w:val="24"/>
          <w:szCs w:val="24"/>
          <w14:textFill>
            <w14:solidFill>
              <w14:schemeClr w14:val="tx1"/>
            </w14:solidFill>
          </w14:textFill>
        </w:rPr>
        <w:fldChar w:fldCharType="end"/>
      </w:r>
    </w:p>
    <w:p>
      <w:pPr>
        <w:pStyle w:val="55"/>
        <w:tabs>
          <w:tab w:val="right" w:leader="dot" w:pos="8296"/>
        </w:tabs>
        <w:rPr>
          <w:rFonts w:asciiTheme="majorEastAsia" w:hAnsiTheme="majorEastAsia" w:eastAsiaTheme="majorEastAsia" w:cstheme="minorBidi"/>
          <w:b w:val="0"/>
          <w:bCs w:val="0"/>
          <w:caps w:val="0"/>
          <w:color w:val="000000" w:themeColor="text1"/>
          <w:sz w:val="24"/>
          <w:szCs w:val="24"/>
          <w14:textFill>
            <w14:solidFill>
              <w14:schemeClr w14:val="tx1"/>
            </w14:solidFill>
          </w14:textFill>
        </w:rPr>
      </w:pPr>
      <w:r>
        <w:fldChar w:fldCharType="begin"/>
      </w:r>
      <w:r>
        <w:instrText xml:space="preserve"> HYPERLINK \l "_Toc177995318" </w:instrText>
      </w:r>
      <w:r>
        <w:fldChar w:fldCharType="separate"/>
      </w:r>
      <w:r>
        <w:rPr>
          <w:rStyle w:val="139"/>
          <w:rFonts w:asciiTheme="majorEastAsia" w:hAnsiTheme="majorEastAsia" w:eastAsiaTheme="majorEastAsia"/>
          <w:b w:val="0"/>
          <w:bCs w:val="0"/>
          <w:color w:val="000000" w:themeColor="text1"/>
          <w:sz w:val="24"/>
          <w:szCs w:val="24"/>
          <w14:textFill>
            <w14:solidFill>
              <w14:schemeClr w14:val="tx1"/>
            </w14:solidFill>
          </w14:textFill>
        </w:rPr>
        <w:t>2 工作范围</w:t>
      </w:r>
      <w:r>
        <w:rPr>
          <w:rFonts w:asciiTheme="majorEastAsia" w:hAnsiTheme="majorEastAsia" w:eastAsiaTheme="majorEastAsia"/>
          <w:b w:val="0"/>
          <w:bCs w:val="0"/>
          <w:color w:val="000000" w:themeColor="text1"/>
          <w:sz w:val="24"/>
          <w:szCs w:val="24"/>
          <w14:textFill>
            <w14:solidFill>
              <w14:schemeClr w14:val="tx1"/>
            </w14:solidFill>
          </w14:textFill>
        </w:rPr>
        <w:tab/>
      </w:r>
      <w:r>
        <w:rPr>
          <w:rFonts w:asciiTheme="majorEastAsia" w:hAnsiTheme="majorEastAsia" w:eastAsiaTheme="majorEastAsia"/>
          <w:b w:val="0"/>
          <w:bCs w:val="0"/>
          <w:color w:val="000000" w:themeColor="text1"/>
          <w:sz w:val="24"/>
          <w:szCs w:val="24"/>
          <w14:textFill>
            <w14:solidFill>
              <w14:schemeClr w14:val="tx1"/>
            </w14:solidFill>
          </w14:textFill>
        </w:rPr>
        <w:fldChar w:fldCharType="begin"/>
      </w:r>
      <w:r>
        <w:rPr>
          <w:rFonts w:asciiTheme="majorEastAsia" w:hAnsiTheme="majorEastAsia" w:eastAsiaTheme="majorEastAsia"/>
          <w:b w:val="0"/>
          <w:bCs w:val="0"/>
          <w:color w:val="000000" w:themeColor="text1"/>
          <w:sz w:val="24"/>
          <w:szCs w:val="24"/>
          <w14:textFill>
            <w14:solidFill>
              <w14:schemeClr w14:val="tx1"/>
            </w14:solidFill>
          </w14:textFill>
        </w:rPr>
        <w:instrText xml:space="preserve"> PAGEREF _Toc177995318 \h </w:instrText>
      </w:r>
      <w:r>
        <w:rPr>
          <w:rFonts w:asciiTheme="majorEastAsia" w:hAnsiTheme="majorEastAsia" w:eastAsiaTheme="majorEastAsia"/>
          <w:b w:val="0"/>
          <w:bCs w:val="0"/>
          <w:color w:val="000000" w:themeColor="text1"/>
          <w:sz w:val="24"/>
          <w:szCs w:val="24"/>
          <w14:textFill>
            <w14:solidFill>
              <w14:schemeClr w14:val="tx1"/>
            </w14:solidFill>
          </w14:textFill>
        </w:rPr>
        <w:fldChar w:fldCharType="separate"/>
      </w:r>
      <w:r>
        <w:rPr>
          <w:rFonts w:asciiTheme="majorEastAsia" w:hAnsiTheme="majorEastAsia" w:eastAsiaTheme="majorEastAsia"/>
          <w:b w:val="0"/>
          <w:bCs w:val="0"/>
          <w:color w:val="000000" w:themeColor="text1"/>
          <w:sz w:val="24"/>
          <w:szCs w:val="24"/>
          <w14:textFill>
            <w14:solidFill>
              <w14:schemeClr w14:val="tx1"/>
            </w14:solidFill>
          </w14:textFill>
        </w:rPr>
        <w:t>4</w:t>
      </w:r>
      <w:r>
        <w:rPr>
          <w:rFonts w:asciiTheme="majorEastAsia" w:hAnsiTheme="majorEastAsia" w:eastAsiaTheme="majorEastAsia"/>
          <w:b w:val="0"/>
          <w:bCs w:val="0"/>
          <w:color w:val="000000" w:themeColor="text1"/>
          <w:sz w:val="24"/>
          <w:szCs w:val="24"/>
          <w14:textFill>
            <w14:solidFill>
              <w14:schemeClr w14:val="tx1"/>
            </w14:solidFill>
          </w14:textFill>
        </w:rPr>
        <w:fldChar w:fldCharType="end"/>
      </w:r>
      <w:r>
        <w:rPr>
          <w:rFonts w:asciiTheme="majorEastAsia" w:hAnsiTheme="majorEastAsia" w:eastAsiaTheme="majorEastAsia"/>
          <w:b w:val="0"/>
          <w:bCs w:val="0"/>
          <w:color w:val="000000" w:themeColor="text1"/>
          <w:sz w:val="24"/>
          <w:szCs w:val="24"/>
          <w14:textFill>
            <w14:solidFill>
              <w14:schemeClr w14:val="tx1"/>
            </w14:solidFill>
          </w14:textFill>
        </w:rPr>
        <w:fldChar w:fldCharType="end"/>
      </w:r>
    </w:p>
    <w:p>
      <w:pPr>
        <w:pStyle w:val="70"/>
        <w:rPr>
          <w:rFonts w:asciiTheme="majorEastAsia" w:hAnsiTheme="majorEastAsia" w:eastAsiaTheme="majorEastAsia" w:cstheme="minorBidi"/>
          <w:color w:val="000000" w:themeColor="text1"/>
          <w:sz w:val="24"/>
          <w14:textFill>
            <w14:solidFill>
              <w14:schemeClr w14:val="tx1"/>
            </w14:solidFill>
          </w14:textFill>
        </w:rPr>
      </w:pPr>
      <w:r>
        <w:fldChar w:fldCharType="begin"/>
      </w:r>
      <w:r>
        <w:instrText xml:space="preserve"> HYPERLINK \l "_Toc177995319" </w:instrText>
      </w:r>
      <w:r>
        <w:fldChar w:fldCharType="separate"/>
      </w:r>
      <w:r>
        <w:rPr>
          <w:rStyle w:val="139"/>
          <w:rFonts w:asciiTheme="majorEastAsia" w:hAnsiTheme="majorEastAsia" w:eastAsiaTheme="majorEastAsia"/>
          <w:color w:val="000000" w:themeColor="text1"/>
          <w:sz w:val="24"/>
          <w14:textFill>
            <w14:solidFill>
              <w14:schemeClr w14:val="tx1"/>
            </w14:solidFill>
          </w14:textFill>
        </w:rPr>
        <w:t>2.1 工程概况</w:t>
      </w:r>
      <w:r>
        <w:rPr>
          <w:rFonts w:asciiTheme="majorEastAsia" w:hAnsiTheme="majorEastAsia" w:eastAsiaTheme="majorEastAsia"/>
          <w:color w:val="000000" w:themeColor="text1"/>
          <w:sz w:val="24"/>
          <w14:textFill>
            <w14:solidFill>
              <w14:schemeClr w14:val="tx1"/>
            </w14:solidFill>
          </w14:textFill>
        </w:rPr>
        <w:tab/>
      </w:r>
      <w:r>
        <w:rPr>
          <w:rFonts w:asciiTheme="majorEastAsia" w:hAnsiTheme="majorEastAsia" w:eastAsiaTheme="majorEastAsia"/>
          <w:color w:val="000000" w:themeColor="text1"/>
          <w:sz w:val="24"/>
          <w14:textFill>
            <w14:solidFill>
              <w14:schemeClr w14:val="tx1"/>
            </w14:solidFill>
          </w14:textFill>
        </w:rPr>
        <w:fldChar w:fldCharType="begin"/>
      </w:r>
      <w:r>
        <w:rPr>
          <w:rFonts w:asciiTheme="majorEastAsia" w:hAnsiTheme="majorEastAsia" w:eastAsiaTheme="majorEastAsia"/>
          <w:color w:val="000000" w:themeColor="text1"/>
          <w:sz w:val="24"/>
          <w14:textFill>
            <w14:solidFill>
              <w14:schemeClr w14:val="tx1"/>
            </w14:solidFill>
          </w14:textFill>
        </w:rPr>
        <w:instrText xml:space="preserve"> PAGEREF _Toc177995319 \h </w:instrText>
      </w:r>
      <w:r>
        <w:rPr>
          <w:rFonts w:asciiTheme="majorEastAsia" w:hAnsiTheme="majorEastAsia" w:eastAsiaTheme="majorEastAsia"/>
          <w:color w:val="000000" w:themeColor="text1"/>
          <w:sz w:val="24"/>
          <w14:textFill>
            <w14:solidFill>
              <w14:schemeClr w14:val="tx1"/>
            </w14:solidFill>
          </w14:textFill>
        </w:rPr>
        <w:fldChar w:fldCharType="separate"/>
      </w:r>
      <w:r>
        <w:rPr>
          <w:rFonts w:asciiTheme="majorEastAsia" w:hAnsiTheme="majorEastAsia" w:eastAsiaTheme="majorEastAsia"/>
          <w:color w:val="000000" w:themeColor="text1"/>
          <w:sz w:val="24"/>
          <w14:textFill>
            <w14:solidFill>
              <w14:schemeClr w14:val="tx1"/>
            </w14:solidFill>
          </w14:textFill>
        </w:rPr>
        <w:t>4</w:t>
      </w:r>
      <w:r>
        <w:rPr>
          <w:rFonts w:asciiTheme="majorEastAsia" w:hAnsiTheme="majorEastAsia" w:eastAsiaTheme="majorEastAsia"/>
          <w:color w:val="000000" w:themeColor="text1"/>
          <w:sz w:val="24"/>
          <w14:textFill>
            <w14:solidFill>
              <w14:schemeClr w14:val="tx1"/>
            </w14:solidFill>
          </w14:textFill>
        </w:rPr>
        <w:fldChar w:fldCharType="end"/>
      </w:r>
      <w:r>
        <w:rPr>
          <w:rFonts w:asciiTheme="majorEastAsia" w:hAnsiTheme="majorEastAsia" w:eastAsiaTheme="majorEastAsia"/>
          <w:color w:val="000000" w:themeColor="text1"/>
          <w:sz w:val="24"/>
          <w14:textFill>
            <w14:solidFill>
              <w14:schemeClr w14:val="tx1"/>
            </w14:solidFill>
          </w14:textFill>
        </w:rPr>
        <w:fldChar w:fldCharType="end"/>
      </w:r>
    </w:p>
    <w:p>
      <w:pPr>
        <w:pStyle w:val="70"/>
        <w:rPr>
          <w:rFonts w:asciiTheme="majorEastAsia" w:hAnsiTheme="majorEastAsia" w:eastAsiaTheme="majorEastAsia" w:cstheme="minorBidi"/>
          <w:color w:val="000000" w:themeColor="text1"/>
          <w:sz w:val="24"/>
          <w14:textFill>
            <w14:solidFill>
              <w14:schemeClr w14:val="tx1"/>
            </w14:solidFill>
          </w14:textFill>
        </w:rPr>
      </w:pPr>
      <w:r>
        <w:fldChar w:fldCharType="begin"/>
      </w:r>
      <w:r>
        <w:instrText xml:space="preserve"> HYPERLINK \l "_Toc177995320" </w:instrText>
      </w:r>
      <w:r>
        <w:fldChar w:fldCharType="separate"/>
      </w:r>
      <w:r>
        <w:rPr>
          <w:rStyle w:val="139"/>
          <w:rFonts w:asciiTheme="majorEastAsia" w:hAnsiTheme="majorEastAsia" w:eastAsiaTheme="majorEastAsia"/>
          <w:color w:val="000000" w:themeColor="text1"/>
          <w:sz w:val="24"/>
          <w14:textFill>
            <w14:solidFill>
              <w14:schemeClr w14:val="tx1"/>
            </w14:solidFill>
          </w14:textFill>
        </w:rPr>
        <w:t>2.2 范围和界限</w:t>
      </w:r>
      <w:r>
        <w:rPr>
          <w:rFonts w:asciiTheme="majorEastAsia" w:hAnsiTheme="majorEastAsia" w:eastAsiaTheme="majorEastAsia"/>
          <w:color w:val="000000" w:themeColor="text1"/>
          <w:sz w:val="24"/>
          <w14:textFill>
            <w14:solidFill>
              <w14:schemeClr w14:val="tx1"/>
            </w14:solidFill>
          </w14:textFill>
        </w:rPr>
        <w:tab/>
      </w:r>
      <w:r>
        <w:rPr>
          <w:rFonts w:asciiTheme="majorEastAsia" w:hAnsiTheme="majorEastAsia" w:eastAsiaTheme="majorEastAsia"/>
          <w:color w:val="000000" w:themeColor="text1"/>
          <w:sz w:val="24"/>
          <w14:textFill>
            <w14:solidFill>
              <w14:schemeClr w14:val="tx1"/>
            </w14:solidFill>
          </w14:textFill>
        </w:rPr>
        <w:fldChar w:fldCharType="begin"/>
      </w:r>
      <w:r>
        <w:rPr>
          <w:rFonts w:asciiTheme="majorEastAsia" w:hAnsiTheme="majorEastAsia" w:eastAsiaTheme="majorEastAsia"/>
          <w:color w:val="000000" w:themeColor="text1"/>
          <w:sz w:val="24"/>
          <w14:textFill>
            <w14:solidFill>
              <w14:schemeClr w14:val="tx1"/>
            </w14:solidFill>
          </w14:textFill>
        </w:rPr>
        <w:instrText xml:space="preserve"> PAGEREF _Toc177995320 \h </w:instrText>
      </w:r>
      <w:r>
        <w:rPr>
          <w:rFonts w:asciiTheme="majorEastAsia" w:hAnsiTheme="majorEastAsia" w:eastAsiaTheme="majorEastAsia"/>
          <w:color w:val="000000" w:themeColor="text1"/>
          <w:sz w:val="24"/>
          <w14:textFill>
            <w14:solidFill>
              <w14:schemeClr w14:val="tx1"/>
            </w14:solidFill>
          </w14:textFill>
        </w:rPr>
        <w:fldChar w:fldCharType="separate"/>
      </w:r>
      <w:r>
        <w:rPr>
          <w:rFonts w:asciiTheme="majorEastAsia" w:hAnsiTheme="majorEastAsia" w:eastAsiaTheme="majorEastAsia"/>
          <w:color w:val="000000" w:themeColor="text1"/>
          <w:sz w:val="24"/>
          <w14:textFill>
            <w14:solidFill>
              <w14:schemeClr w14:val="tx1"/>
            </w14:solidFill>
          </w14:textFill>
        </w:rPr>
        <w:t>4</w:t>
      </w:r>
      <w:r>
        <w:rPr>
          <w:rFonts w:asciiTheme="majorEastAsia" w:hAnsiTheme="majorEastAsia" w:eastAsiaTheme="majorEastAsia"/>
          <w:color w:val="000000" w:themeColor="text1"/>
          <w:sz w:val="24"/>
          <w14:textFill>
            <w14:solidFill>
              <w14:schemeClr w14:val="tx1"/>
            </w14:solidFill>
          </w14:textFill>
        </w:rPr>
        <w:fldChar w:fldCharType="end"/>
      </w:r>
      <w:r>
        <w:rPr>
          <w:rFonts w:asciiTheme="majorEastAsia" w:hAnsiTheme="majorEastAsia" w:eastAsiaTheme="majorEastAsia"/>
          <w:color w:val="000000" w:themeColor="text1"/>
          <w:sz w:val="24"/>
          <w14:textFill>
            <w14:solidFill>
              <w14:schemeClr w14:val="tx1"/>
            </w14:solidFill>
          </w14:textFill>
        </w:rPr>
        <w:fldChar w:fldCharType="end"/>
      </w:r>
    </w:p>
    <w:p>
      <w:pPr>
        <w:pStyle w:val="70"/>
        <w:rPr>
          <w:rFonts w:asciiTheme="majorEastAsia" w:hAnsiTheme="majorEastAsia" w:eastAsiaTheme="majorEastAsia" w:cstheme="minorBidi"/>
          <w:color w:val="000000" w:themeColor="text1"/>
          <w:sz w:val="24"/>
          <w14:textFill>
            <w14:solidFill>
              <w14:schemeClr w14:val="tx1"/>
            </w14:solidFill>
          </w14:textFill>
        </w:rPr>
      </w:pPr>
      <w:r>
        <w:fldChar w:fldCharType="begin"/>
      </w:r>
      <w:r>
        <w:instrText xml:space="preserve"> HYPERLINK \l "_Toc177995321" </w:instrText>
      </w:r>
      <w:r>
        <w:fldChar w:fldCharType="separate"/>
      </w:r>
      <w:r>
        <w:rPr>
          <w:rStyle w:val="139"/>
          <w:rFonts w:asciiTheme="majorEastAsia" w:hAnsiTheme="majorEastAsia" w:eastAsiaTheme="majorEastAsia"/>
          <w:color w:val="000000" w:themeColor="text1"/>
          <w:sz w:val="24"/>
          <w14:textFill>
            <w14:solidFill>
              <w14:schemeClr w14:val="tx1"/>
            </w14:solidFill>
          </w14:textFill>
        </w:rPr>
        <w:t>2.3 服务范围</w:t>
      </w:r>
      <w:r>
        <w:rPr>
          <w:rFonts w:asciiTheme="majorEastAsia" w:hAnsiTheme="majorEastAsia" w:eastAsiaTheme="majorEastAsia"/>
          <w:color w:val="000000" w:themeColor="text1"/>
          <w:sz w:val="24"/>
          <w14:textFill>
            <w14:solidFill>
              <w14:schemeClr w14:val="tx1"/>
            </w14:solidFill>
          </w14:textFill>
        </w:rPr>
        <w:tab/>
      </w:r>
      <w:r>
        <w:rPr>
          <w:rFonts w:asciiTheme="majorEastAsia" w:hAnsiTheme="majorEastAsia" w:eastAsiaTheme="majorEastAsia"/>
          <w:color w:val="000000" w:themeColor="text1"/>
          <w:sz w:val="24"/>
          <w14:textFill>
            <w14:solidFill>
              <w14:schemeClr w14:val="tx1"/>
            </w14:solidFill>
          </w14:textFill>
        </w:rPr>
        <w:fldChar w:fldCharType="begin"/>
      </w:r>
      <w:r>
        <w:rPr>
          <w:rFonts w:asciiTheme="majorEastAsia" w:hAnsiTheme="majorEastAsia" w:eastAsiaTheme="majorEastAsia"/>
          <w:color w:val="000000" w:themeColor="text1"/>
          <w:sz w:val="24"/>
          <w14:textFill>
            <w14:solidFill>
              <w14:schemeClr w14:val="tx1"/>
            </w14:solidFill>
          </w14:textFill>
        </w:rPr>
        <w:instrText xml:space="preserve"> PAGEREF _Toc177995321 \h </w:instrText>
      </w:r>
      <w:r>
        <w:rPr>
          <w:rFonts w:asciiTheme="majorEastAsia" w:hAnsiTheme="majorEastAsia" w:eastAsiaTheme="majorEastAsia"/>
          <w:color w:val="000000" w:themeColor="text1"/>
          <w:sz w:val="24"/>
          <w14:textFill>
            <w14:solidFill>
              <w14:schemeClr w14:val="tx1"/>
            </w14:solidFill>
          </w14:textFill>
        </w:rPr>
        <w:fldChar w:fldCharType="separate"/>
      </w:r>
      <w:r>
        <w:rPr>
          <w:rFonts w:asciiTheme="majorEastAsia" w:hAnsiTheme="majorEastAsia" w:eastAsiaTheme="majorEastAsia"/>
          <w:color w:val="000000" w:themeColor="text1"/>
          <w:sz w:val="24"/>
          <w14:textFill>
            <w14:solidFill>
              <w14:schemeClr w14:val="tx1"/>
            </w14:solidFill>
          </w14:textFill>
        </w:rPr>
        <w:t>4</w:t>
      </w:r>
      <w:r>
        <w:rPr>
          <w:rFonts w:asciiTheme="majorEastAsia" w:hAnsiTheme="majorEastAsia" w:eastAsiaTheme="majorEastAsia"/>
          <w:color w:val="000000" w:themeColor="text1"/>
          <w:sz w:val="24"/>
          <w14:textFill>
            <w14:solidFill>
              <w14:schemeClr w14:val="tx1"/>
            </w14:solidFill>
          </w14:textFill>
        </w:rPr>
        <w:fldChar w:fldCharType="end"/>
      </w:r>
      <w:r>
        <w:rPr>
          <w:rFonts w:asciiTheme="majorEastAsia" w:hAnsiTheme="majorEastAsia" w:eastAsiaTheme="majorEastAsia"/>
          <w:color w:val="000000" w:themeColor="text1"/>
          <w:sz w:val="24"/>
          <w14:textFill>
            <w14:solidFill>
              <w14:schemeClr w14:val="tx1"/>
            </w14:solidFill>
          </w14:textFill>
        </w:rPr>
        <w:fldChar w:fldCharType="end"/>
      </w:r>
    </w:p>
    <w:p>
      <w:pPr>
        <w:pStyle w:val="55"/>
        <w:tabs>
          <w:tab w:val="right" w:leader="dot" w:pos="8296"/>
        </w:tabs>
        <w:rPr>
          <w:rFonts w:asciiTheme="majorEastAsia" w:hAnsiTheme="majorEastAsia" w:eastAsiaTheme="majorEastAsia" w:cstheme="minorBidi"/>
          <w:b w:val="0"/>
          <w:bCs w:val="0"/>
          <w:caps w:val="0"/>
          <w:color w:val="000000" w:themeColor="text1"/>
          <w:sz w:val="24"/>
          <w:szCs w:val="24"/>
          <w14:textFill>
            <w14:solidFill>
              <w14:schemeClr w14:val="tx1"/>
            </w14:solidFill>
          </w14:textFill>
        </w:rPr>
      </w:pPr>
      <w:r>
        <w:fldChar w:fldCharType="begin"/>
      </w:r>
      <w:r>
        <w:instrText xml:space="preserve"> HYPERLINK \l "_Toc177995322" </w:instrText>
      </w:r>
      <w:r>
        <w:fldChar w:fldCharType="separate"/>
      </w:r>
      <w:r>
        <w:rPr>
          <w:rStyle w:val="139"/>
          <w:rFonts w:asciiTheme="majorEastAsia" w:hAnsiTheme="majorEastAsia" w:eastAsiaTheme="majorEastAsia"/>
          <w:b w:val="0"/>
          <w:bCs w:val="0"/>
          <w:color w:val="000000" w:themeColor="text1"/>
          <w:sz w:val="24"/>
          <w:szCs w:val="24"/>
          <w14:textFill>
            <w14:solidFill>
              <w14:schemeClr w14:val="tx1"/>
            </w14:solidFill>
          </w14:textFill>
        </w:rPr>
        <w:t>3 应遵循的主要标准</w:t>
      </w:r>
      <w:r>
        <w:rPr>
          <w:rFonts w:asciiTheme="majorEastAsia" w:hAnsiTheme="majorEastAsia" w:eastAsiaTheme="majorEastAsia"/>
          <w:b w:val="0"/>
          <w:bCs w:val="0"/>
          <w:color w:val="000000" w:themeColor="text1"/>
          <w:sz w:val="24"/>
          <w:szCs w:val="24"/>
          <w14:textFill>
            <w14:solidFill>
              <w14:schemeClr w14:val="tx1"/>
            </w14:solidFill>
          </w14:textFill>
        </w:rPr>
        <w:tab/>
      </w:r>
      <w:r>
        <w:rPr>
          <w:rFonts w:asciiTheme="majorEastAsia" w:hAnsiTheme="majorEastAsia" w:eastAsiaTheme="majorEastAsia"/>
          <w:b w:val="0"/>
          <w:bCs w:val="0"/>
          <w:color w:val="000000" w:themeColor="text1"/>
          <w:sz w:val="24"/>
          <w:szCs w:val="24"/>
          <w14:textFill>
            <w14:solidFill>
              <w14:schemeClr w14:val="tx1"/>
            </w14:solidFill>
          </w14:textFill>
        </w:rPr>
        <w:fldChar w:fldCharType="begin"/>
      </w:r>
      <w:r>
        <w:rPr>
          <w:rFonts w:asciiTheme="majorEastAsia" w:hAnsiTheme="majorEastAsia" w:eastAsiaTheme="majorEastAsia"/>
          <w:b w:val="0"/>
          <w:bCs w:val="0"/>
          <w:color w:val="000000" w:themeColor="text1"/>
          <w:sz w:val="24"/>
          <w:szCs w:val="24"/>
          <w14:textFill>
            <w14:solidFill>
              <w14:schemeClr w14:val="tx1"/>
            </w14:solidFill>
          </w14:textFill>
        </w:rPr>
        <w:instrText xml:space="preserve"> PAGEREF _Toc177995322 \h </w:instrText>
      </w:r>
      <w:r>
        <w:rPr>
          <w:rFonts w:asciiTheme="majorEastAsia" w:hAnsiTheme="majorEastAsia" w:eastAsiaTheme="majorEastAsia"/>
          <w:b w:val="0"/>
          <w:bCs w:val="0"/>
          <w:color w:val="000000" w:themeColor="text1"/>
          <w:sz w:val="24"/>
          <w:szCs w:val="24"/>
          <w14:textFill>
            <w14:solidFill>
              <w14:schemeClr w14:val="tx1"/>
            </w14:solidFill>
          </w14:textFill>
        </w:rPr>
        <w:fldChar w:fldCharType="separate"/>
      </w:r>
      <w:r>
        <w:rPr>
          <w:rFonts w:asciiTheme="majorEastAsia" w:hAnsiTheme="majorEastAsia" w:eastAsiaTheme="majorEastAsia"/>
          <w:b w:val="0"/>
          <w:bCs w:val="0"/>
          <w:color w:val="000000" w:themeColor="text1"/>
          <w:sz w:val="24"/>
          <w:szCs w:val="24"/>
          <w14:textFill>
            <w14:solidFill>
              <w14:schemeClr w14:val="tx1"/>
            </w14:solidFill>
          </w14:textFill>
        </w:rPr>
        <w:t>8</w:t>
      </w:r>
      <w:r>
        <w:rPr>
          <w:rFonts w:asciiTheme="majorEastAsia" w:hAnsiTheme="majorEastAsia" w:eastAsiaTheme="majorEastAsia"/>
          <w:b w:val="0"/>
          <w:bCs w:val="0"/>
          <w:color w:val="000000" w:themeColor="text1"/>
          <w:sz w:val="24"/>
          <w:szCs w:val="24"/>
          <w14:textFill>
            <w14:solidFill>
              <w14:schemeClr w14:val="tx1"/>
            </w14:solidFill>
          </w14:textFill>
        </w:rPr>
        <w:fldChar w:fldCharType="end"/>
      </w:r>
      <w:r>
        <w:rPr>
          <w:rFonts w:asciiTheme="majorEastAsia" w:hAnsiTheme="majorEastAsia" w:eastAsiaTheme="majorEastAsia"/>
          <w:b w:val="0"/>
          <w:bCs w:val="0"/>
          <w:color w:val="000000" w:themeColor="text1"/>
          <w:sz w:val="24"/>
          <w:szCs w:val="24"/>
          <w14:textFill>
            <w14:solidFill>
              <w14:schemeClr w14:val="tx1"/>
            </w14:solidFill>
          </w14:textFill>
        </w:rPr>
        <w:fldChar w:fldCharType="end"/>
      </w:r>
    </w:p>
    <w:p>
      <w:pPr>
        <w:pStyle w:val="55"/>
        <w:tabs>
          <w:tab w:val="right" w:leader="dot" w:pos="8296"/>
        </w:tabs>
        <w:rPr>
          <w:rFonts w:asciiTheme="majorEastAsia" w:hAnsiTheme="majorEastAsia" w:eastAsiaTheme="majorEastAsia" w:cstheme="minorBidi"/>
          <w:b w:val="0"/>
          <w:bCs w:val="0"/>
          <w:caps w:val="0"/>
          <w:color w:val="000000" w:themeColor="text1"/>
          <w:sz w:val="24"/>
          <w:szCs w:val="24"/>
          <w14:textFill>
            <w14:solidFill>
              <w14:schemeClr w14:val="tx1"/>
            </w14:solidFill>
          </w14:textFill>
        </w:rPr>
      </w:pPr>
      <w:r>
        <w:fldChar w:fldCharType="begin"/>
      </w:r>
      <w:r>
        <w:instrText xml:space="preserve"> HYPERLINK \l "_Toc177995323" </w:instrText>
      </w:r>
      <w:r>
        <w:fldChar w:fldCharType="separate"/>
      </w:r>
      <w:r>
        <w:rPr>
          <w:rStyle w:val="139"/>
          <w:rFonts w:asciiTheme="majorEastAsia" w:hAnsiTheme="majorEastAsia" w:eastAsiaTheme="majorEastAsia"/>
          <w:b w:val="0"/>
          <w:bCs w:val="0"/>
          <w:color w:val="000000" w:themeColor="text1"/>
          <w:sz w:val="24"/>
          <w:szCs w:val="24"/>
          <w14:textFill>
            <w14:solidFill>
              <w14:schemeClr w14:val="tx1"/>
            </w14:solidFill>
          </w14:textFill>
        </w:rPr>
        <w:t xml:space="preserve">4 </w:t>
      </w:r>
      <w:r>
        <w:rPr>
          <w:rStyle w:val="139"/>
          <w:rFonts w:cs="Segoe UI Symbol" w:asciiTheme="majorEastAsia" w:hAnsiTheme="majorEastAsia" w:eastAsiaTheme="majorEastAsia"/>
          <w:b w:val="0"/>
          <w:bCs w:val="0"/>
          <w:color w:val="000000" w:themeColor="text1"/>
          <w:sz w:val="24"/>
          <w:szCs w:val="24"/>
          <w14:textFill>
            <w14:solidFill>
              <w14:schemeClr w14:val="tx1"/>
            </w14:solidFill>
          </w14:textFill>
        </w:rPr>
        <w:t>★</w:t>
      </w:r>
      <w:r>
        <w:rPr>
          <w:rStyle w:val="139"/>
          <w:rFonts w:asciiTheme="majorEastAsia" w:hAnsiTheme="majorEastAsia" w:eastAsiaTheme="majorEastAsia"/>
          <w:b w:val="0"/>
          <w:bCs w:val="0"/>
          <w:color w:val="000000" w:themeColor="text1"/>
          <w:sz w:val="24"/>
          <w:szCs w:val="24"/>
          <w14:textFill>
            <w14:solidFill>
              <w14:schemeClr w14:val="tx1"/>
            </w14:solidFill>
          </w14:textFill>
        </w:rPr>
        <w:t>使用条件</w:t>
      </w:r>
      <w:r>
        <w:rPr>
          <w:rFonts w:asciiTheme="majorEastAsia" w:hAnsiTheme="majorEastAsia" w:eastAsiaTheme="majorEastAsia"/>
          <w:b w:val="0"/>
          <w:bCs w:val="0"/>
          <w:color w:val="000000" w:themeColor="text1"/>
          <w:sz w:val="24"/>
          <w:szCs w:val="24"/>
          <w14:textFill>
            <w14:solidFill>
              <w14:schemeClr w14:val="tx1"/>
            </w14:solidFill>
          </w14:textFill>
        </w:rPr>
        <w:tab/>
      </w:r>
      <w:r>
        <w:rPr>
          <w:rFonts w:asciiTheme="majorEastAsia" w:hAnsiTheme="majorEastAsia" w:eastAsiaTheme="majorEastAsia"/>
          <w:b w:val="0"/>
          <w:bCs w:val="0"/>
          <w:color w:val="000000" w:themeColor="text1"/>
          <w:sz w:val="24"/>
          <w:szCs w:val="24"/>
          <w14:textFill>
            <w14:solidFill>
              <w14:schemeClr w14:val="tx1"/>
            </w14:solidFill>
          </w14:textFill>
        </w:rPr>
        <w:fldChar w:fldCharType="begin"/>
      </w:r>
      <w:r>
        <w:rPr>
          <w:rFonts w:asciiTheme="majorEastAsia" w:hAnsiTheme="majorEastAsia" w:eastAsiaTheme="majorEastAsia"/>
          <w:b w:val="0"/>
          <w:bCs w:val="0"/>
          <w:color w:val="000000" w:themeColor="text1"/>
          <w:sz w:val="24"/>
          <w:szCs w:val="24"/>
          <w14:textFill>
            <w14:solidFill>
              <w14:schemeClr w14:val="tx1"/>
            </w14:solidFill>
          </w14:textFill>
        </w:rPr>
        <w:instrText xml:space="preserve"> PAGEREF _Toc177995323 \h </w:instrText>
      </w:r>
      <w:r>
        <w:rPr>
          <w:rFonts w:asciiTheme="majorEastAsia" w:hAnsiTheme="majorEastAsia" w:eastAsiaTheme="majorEastAsia"/>
          <w:b w:val="0"/>
          <w:bCs w:val="0"/>
          <w:color w:val="000000" w:themeColor="text1"/>
          <w:sz w:val="24"/>
          <w:szCs w:val="24"/>
          <w14:textFill>
            <w14:solidFill>
              <w14:schemeClr w14:val="tx1"/>
            </w14:solidFill>
          </w14:textFill>
        </w:rPr>
        <w:fldChar w:fldCharType="separate"/>
      </w:r>
      <w:r>
        <w:rPr>
          <w:rFonts w:asciiTheme="majorEastAsia" w:hAnsiTheme="majorEastAsia" w:eastAsiaTheme="majorEastAsia"/>
          <w:b w:val="0"/>
          <w:bCs w:val="0"/>
          <w:color w:val="000000" w:themeColor="text1"/>
          <w:sz w:val="24"/>
          <w:szCs w:val="24"/>
          <w14:textFill>
            <w14:solidFill>
              <w14:schemeClr w14:val="tx1"/>
            </w14:solidFill>
          </w14:textFill>
        </w:rPr>
        <w:t>9</w:t>
      </w:r>
      <w:r>
        <w:rPr>
          <w:rFonts w:asciiTheme="majorEastAsia" w:hAnsiTheme="majorEastAsia" w:eastAsiaTheme="majorEastAsia"/>
          <w:b w:val="0"/>
          <w:bCs w:val="0"/>
          <w:color w:val="000000" w:themeColor="text1"/>
          <w:sz w:val="24"/>
          <w:szCs w:val="24"/>
          <w14:textFill>
            <w14:solidFill>
              <w14:schemeClr w14:val="tx1"/>
            </w14:solidFill>
          </w14:textFill>
        </w:rPr>
        <w:fldChar w:fldCharType="end"/>
      </w:r>
      <w:r>
        <w:rPr>
          <w:rFonts w:asciiTheme="majorEastAsia" w:hAnsiTheme="majorEastAsia" w:eastAsiaTheme="majorEastAsia"/>
          <w:b w:val="0"/>
          <w:bCs w:val="0"/>
          <w:color w:val="000000" w:themeColor="text1"/>
          <w:sz w:val="24"/>
          <w:szCs w:val="24"/>
          <w14:textFill>
            <w14:solidFill>
              <w14:schemeClr w14:val="tx1"/>
            </w14:solidFill>
          </w14:textFill>
        </w:rPr>
        <w:fldChar w:fldCharType="end"/>
      </w:r>
    </w:p>
    <w:p>
      <w:pPr>
        <w:pStyle w:val="70"/>
        <w:rPr>
          <w:rFonts w:asciiTheme="majorEastAsia" w:hAnsiTheme="majorEastAsia" w:eastAsiaTheme="majorEastAsia" w:cstheme="minorBidi"/>
          <w:color w:val="000000" w:themeColor="text1"/>
          <w:sz w:val="24"/>
          <w14:textFill>
            <w14:solidFill>
              <w14:schemeClr w14:val="tx1"/>
            </w14:solidFill>
          </w14:textFill>
        </w:rPr>
      </w:pPr>
      <w:r>
        <w:fldChar w:fldCharType="begin"/>
      </w:r>
      <w:r>
        <w:instrText xml:space="preserve"> HYPERLINK \l "_Toc177995324" </w:instrText>
      </w:r>
      <w:r>
        <w:fldChar w:fldCharType="separate"/>
      </w:r>
      <w:r>
        <w:rPr>
          <w:rStyle w:val="139"/>
          <w:rFonts w:asciiTheme="majorEastAsia" w:hAnsiTheme="majorEastAsia" w:eastAsiaTheme="majorEastAsia"/>
          <w:color w:val="000000" w:themeColor="text1"/>
          <w:sz w:val="24"/>
          <w14:textFill>
            <w14:solidFill>
              <w14:schemeClr w14:val="tx1"/>
            </w14:solidFill>
          </w14:textFill>
        </w:rPr>
        <w:t>4.1 环境条件</w:t>
      </w:r>
      <w:r>
        <w:rPr>
          <w:rFonts w:asciiTheme="majorEastAsia" w:hAnsiTheme="majorEastAsia" w:eastAsiaTheme="majorEastAsia"/>
          <w:color w:val="000000" w:themeColor="text1"/>
          <w:sz w:val="24"/>
          <w14:textFill>
            <w14:solidFill>
              <w14:schemeClr w14:val="tx1"/>
            </w14:solidFill>
          </w14:textFill>
        </w:rPr>
        <w:tab/>
      </w:r>
      <w:r>
        <w:rPr>
          <w:rFonts w:asciiTheme="majorEastAsia" w:hAnsiTheme="majorEastAsia" w:eastAsiaTheme="majorEastAsia"/>
          <w:color w:val="000000" w:themeColor="text1"/>
          <w:sz w:val="24"/>
          <w14:textFill>
            <w14:solidFill>
              <w14:schemeClr w14:val="tx1"/>
            </w14:solidFill>
          </w14:textFill>
        </w:rPr>
        <w:fldChar w:fldCharType="begin"/>
      </w:r>
      <w:r>
        <w:rPr>
          <w:rFonts w:asciiTheme="majorEastAsia" w:hAnsiTheme="majorEastAsia" w:eastAsiaTheme="majorEastAsia"/>
          <w:color w:val="000000" w:themeColor="text1"/>
          <w:sz w:val="24"/>
          <w14:textFill>
            <w14:solidFill>
              <w14:schemeClr w14:val="tx1"/>
            </w14:solidFill>
          </w14:textFill>
        </w:rPr>
        <w:instrText xml:space="preserve"> PAGEREF _Toc177995324 \h </w:instrText>
      </w:r>
      <w:r>
        <w:rPr>
          <w:rFonts w:asciiTheme="majorEastAsia" w:hAnsiTheme="majorEastAsia" w:eastAsiaTheme="majorEastAsia"/>
          <w:color w:val="000000" w:themeColor="text1"/>
          <w:sz w:val="24"/>
          <w14:textFill>
            <w14:solidFill>
              <w14:schemeClr w14:val="tx1"/>
            </w14:solidFill>
          </w14:textFill>
        </w:rPr>
        <w:fldChar w:fldCharType="separate"/>
      </w:r>
      <w:r>
        <w:rPr>
          <w:rFonts w:asciiTheme="majorEastAsia" w:hAnsiTheme="majorEastAsia" w:eastAsiaTheme="majorEastAsia"/>
          <w:color w:val="000000" w:themeColor="text1"/>
          <w:sz w:val="24"/>
          <w14:textFill>
            <w14:solidFill>
              <w14:schemeClr w14:val="tx1"/>
            </w14:solidFill>
          </w14:textFill>
        </w:rPr>
        <w:t>9</w:t>
      </w:r>
      <w:r>
        <w:rPr>
          <w:rFonts w:asciiTheme="majorEastAsia" w:hAnsiTheme="majorEastAsia" w:eastAsiaTheme="majorEastAsia"/>
          <w:color w:val="000000" w:themeColor="text1"/>
          <w:sz w:val="24"/>
          <w14:textFill>
            <w14:solidFill>
              <w14:schemeClr w14:val="tx1"/>
            </w14:solidFill>
          </w14:textFill>
        </w:rPr>
        <w:fldChar w:fldCharType="end"/>
      </w:r>
      <w:r>
        <w:rPr>
          <w:rFonts w:asciiTheme="majorEastAsia" w:hAnsiTheme="majorEastAsia" w:eastAsiaTheme="majorEastAsia"/>
          <w:color w:val="000000" w:themeColor="text1"/>
          <w:sz w:val="24"/>
          <w14:textFill>
            <w14:solidFill>
              <w14:schemeClr w14:val="tx1"/>
            </w14:solidFill>
          </w14:textFill>
        </w:rPr>
        <w:fldChar w:fldCharType="end"/>
      </w:r>
    </w:p>
    <w:p>
      <w:pPr>
        <w:pStyle w:val="70"/>
        <w:rPr>
          <w:rFonts w:asciiTheme="majorEastAsia" w:hAnsiTheme="majorEastAsia" w:eastAsiaTheme="majorEastAsia" w:cstheme="minorBidi"/>
          <w:color w:val="000000" w:themeColor="text1"/>
          <w:sz w:val="24"/>
          <w14:textFill>
            <w14:solidFill>
              <w14:schemeClr w14:val="tx1"/>
            </w14:solidFill>
          </w14:textFill>
        </w:rPr>
      </w:pPr>
      <w:r>
        <w:fldChar w:fldCharType="begin"/>
      </w:r>
      <w:r>
        <w:instrText xml:space="preserve"> HYPERLINK \l "_Toc177995325" </w:instrText>
      </w:r>
      <w:r>
        <w:fldChar w:fldCharType="separate"/>
      </w:r>
      <w:r>
        <w:rPr>
          <w:rStyle w:val="139"/>
          <w:rFonts w:asciiTheme="majorEastAsia" w:hAnsiTheme="majorEastAsia" w:eastAsiaTheme="majorEastAsia"/>
          <w:color w:val="000000" w:themeColor="text1"/>
          <w:sz w:val="24"/>
          <w14:textFill>
            <w14:solidFill>
              <w14:schemeClr w14:val="tx1"/>
            </w14:solidFill>
          </w14:textFill>
        </w:rPr>
        <w:t>4.2 储存条件</w:t>
      </w:r>
      <w:r>
        <w:rPr>
          <w:rFonts w:asciiTheme="majorEastAsia" w:hAnsiTheme="majorEastAsia" w:eastAsiaTheme="majorEastAsia"/>
          <w:color w:val="000000" w:themeColor="text1"/>
          <w:sz w:val="24"/>
          <w14:textFill>
            <w14:solidFill>
              <w14:schemeClr w14:val="tx1"/>
            </w14:solidFill>
          </w14:textFill>
        </w:rPr>
        <w:tab/>
      </w:r>
      <w:r>
        <w:rPr>
          <w:rFonts w:asciiTheme="majorEastAsia" w:hAnsiTheme="majorEastAsia" w:eastAsiaTheme="majorEastAsia"/>
          <w:color w:val="000000" w:themeColor="text1"/>
          <w:sz w:val="24"/>
          <w14:textFill>
            <w14:solidFill>
              <w14:schemeClr w14:val="tx1"/>
            </w14:solidFill>
          </w14:textFill>
        </w:rPr>
        <w:fldChar w:fldCharType="begin"/>
      </w:r>
      <w:r>
        <w:rPr>
          <w:rFonts w:asciiTheme="majorEastAsia" w:hAnsiTheme="majorEastAsia" w:eastAsiaTheme="majorEastAsia"/>
          <w:color w:val="000000" w:themeColor="text1"/>
          <w:sz w:val="24"/>
          <w14:textFill>
            <w14:solidFill>
              <w14:schemeClr w14:val="tx1"/>
            </w14:solidFill>
          </w14:textFill>
        </w:rPr>
        <w:instrText xml:space="preserve"> PAGEREF _Toc177995325 \h </w:instrText>
      </w:r>
      <w:r>
        <w:rPr>
          <w:rFonts w:asciiTheme="majorEastAsia" w:hAnsiTheme="majorEastAsia" w:eastAsiaTheme="majorEastAsia"/>
          <w:color w:val="000000" w:themeColor="text1"/>
          <w:sz w:val="24"/>
          <w14:textFill>
            <w14:solidFill>
              <w14:schemeClr w14:val="tx1"/>
            </w14:solidFill>
          </w14:textFill>
        </w:rPr>
        <w:fldChar w:fldCharType="separate"/>
      </w:r>
      <w:r>
        <w:rPr>
          <w:rFonts w:asciiTheme="majorEastAsia" w:hAnsiTheme="majorEastAsia" w:eastAsiaTheme="majorEastAsia"/>
          <w:color w:val="000000" w:themeColor="text1"/>
          <w:sz w:val="24"/>
          <w14:textFill>
            <w14:solidFill>
              <w14:schemeClr w14:val="tx1"/>
            </w14:solidFill>
          </w14:textFill>
        </w:rPr>
        <w:t>10</w:t>
      </w:r>
      <w:r>
        <w:rPr>
          <w:rFonts w:asciiTheme="majorEastAsia" w:hAnsiTheme="majorEastAsia" w:eastAsiaTheme="majorEastAsia"/>
          <w:color w:val="000000" w:themeColor="text1"/>
          <w:sz w:val="24"/>
          <w14:textFill>
            <w14:solidFill>
              <w14:schemeClr w14:val="tx1"/>
            </w14:solidFill>
          </w14:textFill>
        </w:rPr>
        <w:fldChar w:fldCharType="end"/>
      </w:r>
      <w:r>
        <w:rPr>
          <w:rFonts w:asciiTheme="majorEastAsia" w:hAnsiTheme="majorEastAsia" w:eastAsiaTheme="majorEastAsia"/>
          <w:color w:val="000000" w:themeColor="text1"/>
          <w:sz w:val="24"/>
          <w14:textFill>
            <w14:solidFill>
              <w14:schemeClr w14:val="tx1"/>
            </w14:solidFill>
          </w14:textFill>
        </w:rPr>
        <w:fldChar w:fldCharType="end"/>
      </w:r>
    </w:p>
    <w:p>
      <w:pPr>
        <w:pStyle w:val="70"/>
        <w:rPr>
          <w:rFonts w:asciiTheme="majorEastAsia" w:hAnsiTheme="majorEastAsia" w:eastAsiaTheme="majorEastAsia" w:cstheme="minorBidi"/>
          <w:color w:val="000000" w:themeColor="text1"/>
          <w:sz w:val="24"/>
          <w14:textFill>
            <w14:solidFill>
              <w14:schemeClr w14:val="tx1"/>
            </w14:solidFill>
          </w14:textFill>
        </w:rPr>
      </w:pPr>
      <w:r>
        <w:fldChar w:fldCharType="begin"/>
      </w:r>
      <w:r>
        <w:instrText xml:space="preserve"> HYPERLINK \l "_Toc177995326" </w:instrText>
      </w:r>
      <w:r>
        <w:fldChar w:fldCharType="separate"/>
      </w:r>
      <w:r>
        <w:rPr>
          <w:rStyle w:val="139"/>
          <w:rFonts w:asciiTheme="majorEastAsia" w:hAnsiTheme="majorEastAsia" w:eastAsiaTheme="majorEastAsia"/>
          <w:color w:val="000000" w:themeColor="text1"/>
          <w:sz w:val="24"/>
          <w14:textFill>
            <w14:solidFill>
              <w14:schemeClr w14:val="tx1"/>
            </w14:solidFill>
          </w14:textFill>
        </w:rPr>
        <w:t>4.3 运输条件</w:t>
      </w:r>
      <w:r>
        <w:rPr>
          <w:rFonts w:asciiTheme="majorEastAsia" w:hAnsiTheme="majorEastAsia" w:eastAsiaTheme="majorEastAsia"/>
          <w:color w:val="000000" w:themeColor="text1"/>
          <w:sz w:val="24"/>
          <w14:textFill>
            <w14:solidFill>
              <w14:schemeClr w14:val="tx1"/>
            </w14:solidFill>
          </w14:textFill>
        </w:rPr>
        <w:tab/>
      </w:r>
      <w:r>
        <w:rPr>
          <w:rFonts w:asciiTheme="majorEastAsia" w:hAnsiTheme="majorEastAsia" w:eastAsiaTheme="majorEastAsia"/>
          <w:color w:val="000000" w:themeColor="text1"/>
          <w:sz w:val="24"/>
          <w14:textFill>
            <w14:solidFill>
              <w14:schemeClr w14:val="tx1"/>
            </w14:solidFill>
          </w14:textFill>
        </w:rPr>
        <w:fldChar w:fldCharType="begin"/>
      </w:r>
      <w:r>
        <w:rPr>
          <w:rFonts w:asciiTheme="majorEastAsia" w:hAnsiTheme="majorEastAsia" w:eastAsiaTheme="majorEastAsia"/>
          <w:color w:val="000000" w:themeColor="text1"/>
          <w:sz w:val="24"/>
          <w14:textFill>
            <w14:solidFill>
              <w14:schemeClr w14:val="tx1"/>
            </w14:solidFill>
          </w14:textFill>
        </w:rPr>
        <w:instrText xml:space="preserve"> PAGEREF _Toc177995326 \h </w:instrText>
      </w:r>
      <w:r>
        <w:rPr>
          <w:rFonts w:asciiTheme="majorEastAsia" w:hAnsiTheme="majorEastAsia" w:eastAsiaTheme="majorEastAsia"/>
          <w:color w:val="000000" w:themeColor="text1"/>
          <w:sz w:val="24"/>
          <w14:textFill>
            <w14:solidFill>
              <w14:schemeClr w14:val="tx1"/>
            </w14:solidFill>
          </w14:textFill>
        </w:rPr>
        <w:fldChar w:fldCharType="separate"/>
      </w:r>
      <w:r>
        <w:rPr>
          <w:rFonts w:asciiTheme="majorEastAsia" w:hAnsiTheme="majorEastAsia" w:eastAsiaTheme="majorEastAsia"/>
          <w:color w:val="000000" w:themeColor="text1"/>
          <w:sz w:val="24"/>
          <w14:textFill>
            <w14:solidFill>
              <w14:schemeClr w14:val="tx1"/>
            </w14:solidFill>
          </w14:textFill>
        </w:rPr>
        <w:t>10</w:t>
      </w:r>
      <w:r>
        <w:rPr>
          <w:rFonts w:asciiTheme="majorEastAsia" w:hAnsiTheme="majorEastAsia" w:eastAsiaTheme="majorEastAsia"/>
          <w:color w:val="000000" w:themeColor="text1"/>
          <w:sz w:val="24"/>
          <w14:textFill>
            <w14:solidFill>
              <w14:schemeClr w14:val="tx1"/>
            </w14:solidFill>
          </w14:textFill>
        </w:rPr>
        <w:fldChar w:fldCharType="end"/>
      </w:r>
      <w:r>
        <w:rPr>
          <w:rFonts w:asciiTheme="majorEastAsia" w:hAnsiTheme="majorEastAsia" w:eastAsiaTheme="majorEastAsia"/>
          <w:color w:val="000000" w:themeColor="text1"/>
          <w:sz w:val="24"/>
          <w14:textFill>
            <w14:solidFill>
              <w14:schemeClr w14:val="tx1"/>
            </w14:solidFill>
          </w14:textFill>
        </w:rPr>
        <w:fldChar w:fldCharType="end"/>
      </w:r>
    </w:p>
    <w:p>
      <w:pPr>
        <w:pStyle w:val="70"/>
        <w:rPr>
          <w:rFonts w:asciiTheme="majorEastAsia" w:hAnsiTheme="majorEastAsia" w:eastAsiaTheme="majorEastAsia" w:cstheme="minorBidi"/>
          <w:color w:val="000000" w:themeColor="text1"/>
          <w:sz w:val="24"/>
          <w14:textFill>
            <w14:solidFill>
              <w14:schemeClr w14:val="tx1"/>
            </w14:solidFill>
          </w14:textFill>
        </w:rPr>
      </w:pPr>
      <w:r>
        <w:fldChar w:fldCharType="begin"/>
      </w:r>
      <w:r>
        <w:instrText xml:space="preserve"> HYPERLINK \l "_Toc177995327" </w:instrText>
      </w:r>
      <w:r>
        <w:fldChar w:fldCharType="separate"/>
      </w:r>
      <w:r>
        <w:rPr>
          <w:rStyle w:val="139"/>
          <w:rFonts w:asciiTheme="majorEastAsia" w:hAnsiTheme="majorEastAsia" w:eastAsiaTheme="majorEastAsia"/>
          <w:color w:val="000000" w:themeColor="text1"/>
          <w:sz w:val="24"/>
          <w14:textFill>
            <w14:solidFill>
              <w14:schemeClr w14:val="tx1"/>
            </w14:solidFill>
          </w14:textFill>
        </w:rPr>
        <w:t>4.4 机械要求</w:t>
      </w:r>
      <w:r>
        <w:rPr>
          <w:rFonts w:asciiTheme="majorEastAsia" w:hAnsiTheme="majorEastAsia" w:eastAsiaTheme="majorEastAsia"/>
          <w:color w:val="000000" w:themeColor="text1"/>
          <w:sz w:val="24"/>
          <w14:textFill>
            <w14:solidFill>
              <w14:schemeClr w14:val="tx1"/>
            </w14:solidFill>
          </w14:textFill>
        </w:rPr>
        <w:tab/>
      </w:r>
      <w:r>
        <w:rPr>
          <w:rFonts w:asciiTheme="majorEastAsia" w:hAnsiTheme="majorEastAsia" w:eastAsiaTheme="majorEastAsia"/>
          <w:color w:val="000000" w:themeColor="text1"/>
          <w:sz w:val="24"/>
          <w14:textFill>
            <w14:solidFill>
              <w14:schemeClr w14:val="tx1"/>
            </w14:solidFill>
          </w14:textFill>
        </w:rPr>
        <w:fldChar w:fldCharType="begin"/>
      </w:r>
      <w:r>
        <w:rPr>
          <w:rFonts w:asciiTheme="majorEastAsia" w:hAnsiTheme="majorEastAsia" w:eastAsiaTheme="majorEastAsia"/>
          <w:color w:val="000000" w:themeColor="text1"/>
          <w:sz w:val="24"/>
          <w14:textFill>
            <w14:solidFill>
              <w14:schemeClr w14:val="tx1"/>
            </w14:solidFill>
          </w14:textFill>
        </w:rPr>
        <w:instrText xml:space="preserve"> PAGEREF _Toc177995327 \h </w:instrText>
      </w:r>
      <w:r>
        <w:rPr>
          <w:rFonts w:asciiTheme="majorEastAsia" w:hAnsiTheme="majorEastAsia" w:eastAsiaTheme="majorEastAsia"/>
          <w:color w:val="000000" w:themeColor="text1"/>
          <w:sz w:val="24"/>
          <w14:textFill>
            <w14:solidFill>
              <w14:schemeClr w14:val="tx1"/>
            </w14:solidFill>
          </w14:textFill>
        </w:rPr>
        <w:fldChar w:fldCharType="separate"/>
      </w:r>
      <w:r>
        <w:rPr>
          <w:rFonts w:asciiTheme="majorEastAsia" w:hAnsiTheme="majorEastAsia" w:eastAsiaTheme="majorEastAsia"/>
          <w:color w:val="000000" w:themeColor="text1"/>
          <w:sz w:val="24"/>
          <w14:textFill>
            <w14:solidFill>
              <w14:schemeClr w14:val="tx1"/>
            </w14:solidFill>
          </w14:textFill>
        </w:rPr>
        <w:t>10</w:t>
      </w:r>
      <w:r>
        <w:rPr>
          <w:rFonts w:asciiTheme="majorEastAsia" w:hAnsiTheme="majorEastAsia" w:eastAsiaTheme="majorEastAsia"/>
          <w:color w:val="000000" w:themeColor="text1"/>
          <w:sz w:val="24"/>
          <w14:textFill>
            <w14:solidFill>
              <w14:schemeClr w14:val="tx1"/>
            </w14:solidFill>
          </w14:textFill>
        </w:rPr>
        <w:fldChar w:fldCharType="end"/>
      </w:r>
      <w:r>
        <w:rPr>
          <w:rFonts w:asciiTheme="majorEastAsia" w:hAnsiTheme="majorEastAsia" w:eastAsiaTheme="majorEastAsia"/>
          <w:color w:val="000000" w:themeColor="text1"/>
          <w:sz w:val="24"/>
          <w14:textFill>
            <w14:solidFill>
              <w14:schemeClr w14:val="tx1"/>
            </w14:solidFill>
          </w14:textFill>
        </w:rPr>
        <w:fldChar w:fldCharType="end"/>
      </w:r>
    </w:p>
    <w:p>
      <w:pPr>
        <w:pStyle w:val="55"/>
        <w:tabs>
          <w:tab w:val="right" w:leader="dot" w:pos="8296"/>
        </w:tabs>
        <w:rPr>
          <w:rFonts w:asciiTheme="majorEastAsia" w:hAnsiTheme="majorEastAsia" w:eastAsiaTheme="majorEastAsia" w:cstheme="minorBidi"/>
          <w:b w:val="0"/>
          <w:bCs w:val="0"/>
          <w:caps w:val="0"/>
          <w:color w:val="000000" w:themeColor="text1"/>
          <w:sz w:val="24"/>
          <w:szCs w:val="24"/>
          <w14:textFill>
            <w14:solidFill>
              <w14:schemeClr w14:val="tx1"/>
            </w14:solidFill>
          </w14:textFill>
        </w:rPr>
      </w:pPr>
      <w:r>
        <w:fldChar w:fldCharType="begin"/>
      </w:r>
      <w:r>
        <w:instrText xml:space="preserve"> HYPERLINK \l "_Toc177995328" </w:instrText>
      </w:r>
      <w:r>
        <w:fldChar w:fldCharType="separate"/>
      </w:r>
      <w:r>
        <w:rPr>
          <w:rStyle w:val="139"/>
          <w:rFonts w:asciiTheme="majorEastAsia" w:hAnsiTheme="majorEastAsia" w:eastAsiaTheme="majorEastAsia"/>
          <w:b w:val="0"/>
          <w:bCs w:val="0"/>
          <w:color w:val="000000" w:themeColor="text1"/>
          <w:sz w:val="24"/>
          <w:szCs w:val="24"/>
          <w14:textFill>
            <w14:solidFill>
              <w14:schemeClr w14:val="tx1"/>
            </w14:solidFill>
          </w14:textFill>
        </w:rPr>
        <w:t xml:space="preserve">5 </w:t>
      </w:r>
      <w:r>
        <w:rPr>
          <w:rStyle w:val="139"/>
          <w:rFonts w:cs="Segoe UI Symbol" w:asciiTheme="majorEastAsia" w:hAnsiTheme="majorEastAsia" w:eastAsiaTheme="majorEastAsia"/>
          <w:b w:val="0"/>
          <w:bCs w:val="0"/>
          <w:color w:val="000000" w:themeColor="text1"/>
          <w:sz w:val="24"/>
          <w:szCs w:val="24"/>
          <w14:textFill>
            <w14:solidFill>
              <w14:schemeClr w14:val="tx1"/>
            </w14:solidFill>
          </w14:textFill>
        </w:rPr>
        <w:t>★</w:t>
      </w:r>
      <w:r>
        <w:rPr>
          <w:rStyle w:val="139"/>
          <w:rFonts w:asciiTheme="majorEastAsia" w:hAnsiTheme="majorEastAsia" w:eastAsiaTheme="majorEastAsia"/>
          <w:b w:val="0"/>
          <w:bCs w:val="0"/>
          <w:color w:val="000000" w:themeColor="text1"/>
          <w:sz w:val="24"/>
          <w:szCs w:val="24"/>
          <w14:textFill>
            <w14:solidFill>
              <w14:schemeClr w14:val="tx1"/>
            </w14:solidFill>
          </w14:textFill>
        </w:rPr>
        <w:t>舱体通用部分技术要求</w:t>
      </w:r>
      <w:r>
        <w:rPr>
          <w:rFonts w:asciiTheme="majorEastAsia" w:hAnsiTheme="majorEastAsia" w:eastAsiaTheme="majorEastAsia"/>
          <w:b w:val="0"/>
          <w:bCs w:val="0"/>
          <w:color w:val="000000" w:themeColor="text1"/>
          <w:sz w:val="24"/>
          <w:szCs w:val="24"/>
          <w14:textFill>
            <w14:solidFill>
              <w14:schemeClr w14:val="tx1"/>
            </w14:solidFill>
          </w14:textFill>
        </w:rPr>
        <w:tab/>
      </w:r>
      <w:r>
        <w:rPr>
          <w:rFonts w:asciiTheme="majorEastAsia" w:hAnsiTheme="majorEastAsia" w:eastAsiaTheme="majorEastAsia"/>
          <w:b w:val="0"/>
          <w:bCs w:val="0"/>
          <w:color w:val="000000" w:themeColor="text1"/>
          <w:sz w:val="24"/>
          <w:szCs w:val="24"/>
          <w14:textFill>
            <w14:solidFill>
              <w14:schemeClr w14:val="tx1"/>
            </w14:solidFill>
          </w14:textFill>
        </w:rPr>
        <w:fldChar w:fldCharType="begin"/>
      </w:r>
      <w:r>
        <w:rPr>
          <w:rFonts w:asciiTheme="majorEastAsia" w:hAnsiTheme="majorEastAsia" w:eastAsiaTheme="majorEastAsia"/>
          <w:b w:val="0"/>
          <w:bCs w:val="0"/>
          <w:color w:val="000000" w:themeColor="text1"/>
          <w:sz w:val="24"/>
          <w:szCs w:val="24"/>
          <w14:textFill>
            <w14:solidFill>
              <w14:schemeClr w14:val="tx1"/>
            </w14:solidFill>
          </w14:textFill>
        </w:rPr>
        <w:instrText xml:space="preserve"> PAGEREF _Toc177995328 \h </w:instrText>
      </w:r>
      <w:r>
        <w:rPr>
          <w:rFonts w:asciiTheme="majorEastAsia" w:hAnsiTheme="majorEastAsia" w:eastAsiaTheme="majorEastAsia"/>
          <w:b w:val="0"/>
          <w:bCs w:val="0"/>
          <w:color w:val="000000" w:themeColor="text1"/>
          <w:sz w:val="24"/>
          <w:szCs w:val="24"/>
          <w14:textFill>
            <w14:solidFill>
              <w14:schemeClr w14:val="tx1"/>
            </w14:solidFill>
          </w14:textFill>
        </w:rPr>
        <w:fldChar w:fldCharType="separate"/>
      </w:r>
      <w:r>
        <w:rPr>
          <w:rFonts w:asciiTheme="majorEastAsia" w:hAnsiTheme="majorEastAsia" w:eastAsiaTheme="majorEastAsia"/>
          <w:b w:val="0"/>
          <w:bCs w:val="0"/>
          <w:color w:val="000000" w:themeColor="text1"/>
          <w:sz w:val="24"/>
          <w:szCs w:val="24"/>
          <w14:textFill>
            <w14:solidFill>
              <w14:schemeClr w14:val="tx1"/>
            </w14:solidFill>
          </w14:textFill>
        </w:rPr>
        <w:t>11</w:t>
      </w:r>
      <w:r>
        <w:rPr>
          <w:rFonts w:asciiTheme="majorEastAsia" w:hAnsiTheme="majorEastAsia" w:eastAsiaTheme="majorEastAsia"/>
          <w:b w:val="0"/>
          <w:bCs w:val="0"/>
          <w:color w:val="000000" w:themeColor="text1"/>
          <w:sz w:val="24"/>
          <w:szCs w:val="24"/>
          <w14:textFill>
            <w14:solidFill>
              <w14:schemeClr w14:val="tx1"/>
            </w14:solidFill>
          </w14:textFill>
        </w:rPr>
        <w:fldChar w:fldCharType="end"/>
      </w:r>
      <w:r>
        <w:rPr>
          <w:rFonts w:asciiTheme="majorEastAsia" w:hAnsiTheme="majorEastAsia" w:eastAsiaTheme="majorEastAsia"/>
          <w:b w:val="0"/>
          <w:bCs w:val="0"/>
          <w:color w:val="000000" w:themeColor="text1"/>
          <w:sz w:val="24"/>
          <w:szCs w:val="24"/>
          <w14:textFill>
            <w14:solidFill>
              <w14:schemeClr w14:val="tx1"/>
            </w14:solidFill>
          </w14:textFill>
        </w:rPr>
        <w:fldChar w:fldCharType="end"/>
      </w:r>
    </w:p>
    <w:p>
      <w:pPr>
        <w:pStyle w:val="70"/>
        <w:rPr>
          <w:rFonts w:asciiTheme="majorEastAsia" w:hAnsiTheme="majorEastAsia" w:eastAsiaTheme="majorEastAsia" w:cstheme="minorBidi"/>
          <w:color w:val="000000" w:themeColor="text1"/>
          <w:sz w:val="24"/>
          <w14:textFill>
            <w14:solidFill>
              <w14:schemeClr w14:val="tx1"/>
            </w14:solidFill>
          </w14:textFill>
        </w:rPr>
      </w:pPr>
      <w:r>
        <w:fldChar w:fldCharType="begin"/>
      </w:r>
      <w:r>
        <w:instrText xml:space="preserve"> HYPERLINK \l "_Toc177995329" </w:instrText>
      </w:r>
      <w:r>
        <w:fldChar w:fldCharType="separate"/>
      </w:r>
      <w:r>
        <w:rPr>
          <w:rStyle w:val="139"/>
          <w:rFonts w:asciiTheme="majorEastAsia" w:hAnsiTheme="majorEastAsia" w:eastAsiaTheme="majorEastAsia"/>
          <w:color w:val="000000" w:themeColor="text1"/>
          <w:sz w:val="24"/>
          <w14:textFill>
            <w14:solidFill>
              <w14:schemeClr w14:val="tx1"/>
            </w14:solidFill>
          </w14:textFill>
        </w:rPr>
        <w:t>5.1 预制舱总体要求</w:t>
      </w:r>
      <w:r>
        <w:rPr>
          <w:rFonts w:asciiTheme="majorEastAsia" w:hAnsiTheme="majorEastAsia" w:eastAsiaTheme="majorEastAsia"/>
          <w:color w:val="000000" w:themeColor="text1"/>
          <w:sz w:val="24"/>
          <w14:textFill>
            <w14:solidFill>
              <w14:schemeClr w14:val="tx1"/>
            </w14:solidFill>
          </w14:textFill>
        </w:rPr>
        <w:tab/>
      </w:r>
      <w:r>
        <w:rPr>
          <w:rFonts w:asciiTheme="majorEastAsia" w:hAnsiTheme="majorEastAsia" w:eastAsiaTheme="majorEastAsia"/>
          <w:color w:val="000000" w:themeColor="text1"/>
          <w:sz w:val="24"/>
          <w14:textFill>
            <w14:solidFill>
              <w14:schemeClr w14:val="tx1"/>
            </w14:solidFill>
          </w14:textFill>
        </w:rPr>
        <w:fldChar w:fldCharType="begin"/>
      </w:r>
      <w:r>
        <w:rPr>
          <w:rFonts w:asciiTheme="majorEastAsia" w:hAnsiTheme="majorEastAsia" w:eastAsiaTheme="majorEastAsia"/>
          <w:color w:val="000000" w:themeColor="text1"/>
          <w:sz w:val="24"/>
          <w14:textFill>
            <w14:solidFill>
              <w14:schemeClr w14:val="tx1"/>
            </w14:solidFill>
          </w14:textFill>
        </w:rPr>
        <w:instrText xml:space="preserve"> PAGEREF _Toc177995329 \h </w:instrText>
      </w:r>
      <w:r>
        <w:rPr>
          <w:rFonts w:asciiTheme="majorEastAsia" w:hAnsiTheme="majorEastAsia" w:eastAsiaTheme="majorEastAsia"/>
          <w:color w:val="000000" w:themeColor="text1"/>
          <w:sz w:val="24"/>
          <w14:textFill>
            <w14:solidFill>
              <w14:schemeClr w14:val="tx1"/>
            </w14:solidFill>
          </w14:textFill>
        </w:rPr>
        <w:fldChar w:fldCharType="separate"/>
      </w:r>
      <w:r>
        <w:rPr>
          <w:rFonts w:asciiTheme="majorEastAsia" w:hAnsiTheme="majorEastAsia" w:eastAsiaTheme="majorEastAsia"/>
          <w:color w:val="000000" w:themeColor="text1"/>
          <w:sz w:val="24"/>
          <w14:textFill>
            <w14:solidFill>
              <w14:schemeClr w14:val="tx1"/>
            </w14:solidFill>
          </w14:textFill>
        </w:rPr>
        <w:t>11</w:t>
      </w:r>
      <w:r>
        <w:rPr>
          <w:rFonts w:asciiTheme="majorEastAsia" w:hAnsiTheme="majorEastAsia" w:eastAsiaTheme="majorEastAsia"/>
          <w:color w:val="000000" w:themeColor="text1"/>
          <w:sz w:val="24"/>
          <w14:textFill>
            <w14:solidFill>
              <w14:schemeClr w14:val="tx1"/>
            </w14:solidFill>
          </w14:textFill>
        </w:rPr>
        <w:fldChar w:fldCharType="end"/>
      </w:r>
      <w:r>
        <w:rPr>
          <w:rFonts w:asciiTheme="majorEastAsia" w:hAnsiTheme="majorEastAsia" w:eastAsiaTheme="majorEastAsia"/>
          <w:color w:val="000000" w:themeColor="text1"/>
          <w:sz w:val="24"/>
          <w14:textFill>
            <w14:solidFill>
              <w14:schemeClr w14:val="tx1"/>
            </w14:solidFill>
          </w14:textFill>
        </w:rPr>
        <w:fldChar w:fldCharType="end"/>
      </w:r>
    </w:p>
    <w:p>
      <w:pPr>
        <w:pStyle w:val="70"/>
        <w:rPr>
          <w:rFonts w:asciiTheme="majorEastAsia" w:hAnsiTheme="majorEastAsia" w:eastAsiaTheme="majorEastAsia" w:cstheme="minorBidi"/>
          <w:color w:val="000000" w:themeColor="text1"/>
          <w:sz w:val="24"/>
          <w14:textFill>
            <w14:solidFill>
              <w14:schemeClr w14:val="tx1"/>
            </w14:solidFill>
          </w14:textFill>
        </w:rPr>
      </w:pPr>
      <w:r>
        <w:fldChar w:fldCharType="begin"/>
      </w:r>
      <w:r>
        <w:instrText xml:space="preserve"> HYPERLINK \l "_Toc177995330" </w:instrText>
      </w:r>
      <w:r>
        <w:fldChar w:fldCharType="separate"/>
      </w:r>
      <w:r>
        <w:rPr>
          <w:rStyle w:val="139"/>
          <w:rFonts w:asciiTheme="majorEastAsia" w:hAnsiTheme="majorEastAsia" w:eastAsiaTheme="majorEastAsia"/>
          <w:color w:val="000000" w:themeColor="text1"/>
          <w:sz w:val="24"/>
          <w14:textFill>
            <w14:solidFill>
              <w14:schemeClr w14:val="tx1"/>
            </w14:solidFill>
          </w14:textFill>
        </w:rPr>
        <w:t>5.2 预制舱性能要求</w:t>
      </w:r>
      <w:r>
        <w:rPr>
          <w:rFonts w:asciiTheme="majorEastAsia" w:hAnsiTheme="majorEastAsia" w:eastAsiaTheme="majorEastAsia"/>
          <w:color w:val="000000" w:themeColor="text1"/>
          <w:sz w:val="24"/>
          <w14:textFill>
            <w14:solidFill>
              <w14:schemeClr w14:val="tx1"/>
            </w14:solidFill>
          </w14:textFill>
        </w:rPr>
        <w:tab/>
      </w:r>
      <w:r>
        <w:rPr>
          <w:rFonts w:asciiTheme="majorEastAsia" w:hAnsiTheme="majorEastAsia" w:eastAsiaTheme="majorEastAsia"/>
          <w:color w:val="000000" w:themeColor="text1"/>
          <w:sz w:val="24"/>
          <w14:textFill>
            <w14:solidFill>
              <w14:schemeClr w14:val="tx1"/>
            </w14:solidFill>
          </w14:textFill>
        </w:rPr>
        <w:fldChar w:fldCharType="begin"/>
      </w:r>
      <w:r>
        <w:rPr>
          <w:rFonts w:asciiTheme="majorEastAsia" w:hAnsiTheme="majorEastAsia" w:eastAsiaTheme="majorEastAsia"/>
          <w:color w:val="000000" w:themeColor="text1"/>
          <w:sz w:val="24"/>
          <w14:textFill>
            <w14:solidFill>
              <w14:schemeClr w14:val="tx1"/>
            </w14:solidFill>
          </w14:textFill>
        </w:rPr>
        <w:instrText xml:space="preserve"> PAGEREF _Toc177995330 \h </w:instrText>
      </w:r>
      <w:r>
        <w:rPr>
          <w:rFonts w:asciiTheme="majorEastAsia" w:hAnsiTheme="majorEastAsia" w:eastAsiaTheme="majorEastAsia"/>
          <w:color w:val="000000" w:themeColor="text1"/>
          <w:sz w:val="24"/>
          <w14:textFill>
            <w14:solidFill>
              <w14:schemeClr w14:val="tx1"/>
            </w14:solidFill>
          </w14:textFill>
        </w:rPr>
        <w:fldChar w:fldCharType="separate"/>
      </w:r>
      <w:r>
        <w:rPr>
          <w:rFonts w:asciiTheme="majorEastAsia" w:hAnsiTheme="majorEastAsia" w:eastAsiaTheme="majorEastAsia"/>
          <w:color w:val="000000" w:themeColor="text1"/>
          <w:sz w:val="24"/>
          <w14:textFill>
            <w14:solidFill>
              <w14:schemeClr w14:val="tx1"/>
            </w14:solidFill>
          </w14:textFill>
        </w:rPr>
        <w:t>11</w:t>
      </w:r>
      <w:r>
        <w:rPr>
          <w:rFonts w:asciiTheme="majorEastAsia" w:hAnsiTheme="majorEastAsia" w:eastAsiaTheme="majorEastAsia"/>
          <w:color w:val="000000" w:themeColor="text1"/>
          <w:sz w:val="24"/>
          <w14:textFill>
            <w14:solidFill>
              <w14:schemeClr w14:val="tx1"/>
            </w14:solidFill>
          </w14:textFill>
        </w:rPr>
        <w:fldChar w:fldCharType="end"/>
      </w:r>
      <w:r>
        <w:rPr>
          <w:rFonts w:asciiTheme="majorEastAsia" w:hAnsiTheme="majorEastAsia" w:eastAsiaTheme="majorEastAsia"/>
          <w:color w:val="000000" w:themeColor="text1"/>
          <w:sz w:val="24"/>
          <w14:textFill>
            <w14:solidFill>
              <w14:schemeClr w14:val="tx1"/>
            </w14:solidFill>
          </w14:textFill>
        </w:rPr>
        <w:fldChar w:fldCharType="end"/>
      </w:r>
    </w:p>
    <w:p>
      <w:pPr>
        <w:pStyle w:val="70"/>
        <w:rPr>
          <w:rFonts w:asciiTheme="majorEastAsia" w:hAnsiTheme="majorEastAsia" w:eastAsiaTheme="majorEastAsia" w:cstheme="minorBidi"/>
          <w:color w:val="000000" w:themeColor="text1"/>
          <w:sz w:val="24"/>
          <w14:textFill>
            <w14:solidFill>
              <w14:schemeClr w14:val="tx1"/>
            </w14:solidFill>
          </w14:textFill>
        </w:rPr>
      </w:pPr>
      <w:r>
        <w:fldChar w:fldCharType="begin"/>
      </w:r>
      <w:r>
        <w:instrText xml:space="preserve"> HYPERLINK \l "_Toc177995331" </w:instrText>
      </w:r>
      <w:r>
        <w:fldChar w:fldCharType="separate"/>
      </w:r>
      <w:r>
        <w:rPr>
          <w:rStyle w:val="139"/>
          <w:rFonts w:asciiTheme="majorEastAsia" w:hAnsiTheme="majorEastAsia" w:eastAsiaTheme="majorEastAsia"/>
          <w:color w:val="000000" w:themeColor="text1"/>
          <w:sz w:val="24"/>
          <w14:textFill>
            <w14:solidFill>
              <w14:schemeClr w14:val="tx1"/>
            </w14:solidFill>
          </w14:textFill>
        </w:rPr>
        <w:t>5.3 预制舱内辅助控制系统</w:t>
      </w:r>
      <w:r>
        <w:rPr>
          <w:rFonts w:asciiTheme="majorEastAsia" w:hAnsiTheme="majorEastAsia" w:eastAsiaTheme="majorEastAsia"/>
          <w:color w:val="000000" w:themeColor="text1"/>
          <w:sz w:val="24"/>
          <w14:textFill>
            <w14:solidFill>
              <w14:schemeClr w14:val="tx1"/>
            </w14:solidFill>
          </w14:textFill>
        </w:rPr>
        <w:tab/>
      </w:r>
      <w:r>
        <w:rPr>
          <w:rFonts w:asciiTheme="majorEastAsia" w:hAnsiTheme="majorEastAsia" w:eastAsiaTheme="majorEastAsia"/>
          <w:color w:val="000000" w:themeColor="text1"/>
          <w:sz w:val="24"/>
          <w14:textFill>
            <w14:solidFill>
              <w14:schemeClr w14:val="tx1"/>
            </w14:solidFill>
          </w14:textFill>
        </w:rPr>
        <w:fldChar w:fldCharType="begin"/>
      </w:r>
      <w:r>
        <w:rPr>
          <w:rFonts w:asciiTheme="majorEastAsia" w:hAnsiTheme="majorEastAsia" w:eastAsiaTheme="majorEastAsia"/>
          <w:color w:val="000000" w:themeColor="text1"/>
          <w:sz w:val="24"/>
          <w14:textFill>
            <w14:solidFill>
              <w14:schemeClr w14:val="tx1"/>
            </w14:solidFill>
          </w14:textFill>
        </w:rPr>
        <w:instrText xml:space="preserve"> PAGEREF _Toc177995331 \h </w:instrText>
      </w:r>
      <w:r>
        <w:rPr>
          <w:rFonts w:asciiTheme="majorEastAsia" w:hAnsiTheme="majorEastAsia" w:eastAsiaTheme="majorEastAsia"/>
          <w:color w:val="000000" w:themeColor="text1"/>
          <w:sz w:val="24"/>
          <w14:textFill>
            <w14:solidFill>
              <w14:schemeClr w14:val="tx1"/>
            </w14:solidFill>
          </w14:textFill>
        </w:rPr>
        <w:fldChar w:fldCharType="separate"/>
      </w:r>
      <w:r>
        <w:rPr>
          <w:rFonts w:asciiTheme="majorEastAsia" w:hAnsiTheme="majorEastAsia" w:eastAsiaTheme="majorEastAsia"/>
          <w:color w:val="000000" w:themeColor="text1"/>
          <w:sz w:val="24"/>
          <w14:textFill>
            <w14:solidFill>
              <w14:schemeClr w14:val="tx1"/>
            </w14:solidFill>
          </w14:textFill>
        </w:rPr>
        <w:t>22</w:t>
      </w:r>
      <w:r>
        <w:rPr>
          <w:rFonts w:asciiTheme="majorEastAsia" w:hAnsiTheme="majorEastAsia" w:eastAsiaTheme="majorEastAsia"/>
          <w:color w:val="000000" w:themeColor="text1"/>
          <w:sz w:val="24"/>
          <w14:textFill>
            <w14:solidFill>
              <w14:schemeClr w14:val="tx1"/>
            </w14:solidFill>
          </w14:textFill>
        </w:rPr>
        <w:fldChar w:fldCharType="end"/>
      </w:r>
      <w:r>
        <w:rPr>
          <w:rFonts w:asciiTheme="majorEastAsia" w:hAnsiTheme="majorEastAsia" w:eastAsiaTheme="majorEastAsia"/>
          <w:color w:val="000000" w:themeColor="text1"/>
          <w:sz w:val="24"/>
          <w14:textFill>
            <w14:solidFill>
              <w14:schemeClr w14:val="tx1"/>
            </w14:solidFill>
          </w14:textFill>
        </w:rPr>
        <w:fldChar w:fldCharType="end"/>
      </w:r>
    </w:p>
    <w:p>
      <w:pPr>
        <w:pStyle w:val="70"/>
        <w:rPr>
          <w:rFonts w:asciiTheme="majorEastAsia" w:hAnsiTheme="majorEastAsia" w:eastAsiaTheme="majorEastAsia" w:cstheme="minorBidi"/>
          <w:color w:val="000000" w:themeColor="text1"/>
          <w:sz w:val="24"/>
          <w14:textFill>
            <w14:solidFill>
              <w14:schemeClr w14:val="tx1"/>
            </w14:solidFill>
          </w14:textFill>
        </w:rPr>
      </w:pPr>
      <w:r>
        <w:fldChar w:fldCharType="begin"/>
      </w:r>
      <w:r>
        <w:instrText xml:space="preserve"> HYPERLINK \l "_Toc177995332" </w:instrText>
      </w:r>
      <w:r>
        <w:fldChar w:fldCharType="separate"/>
      </w:r>
      <w:r>
        <w:rPr>
          <w:rStyle w:val="139"/>
          <w:rFonts w:asciiTheme="majorEastAsia" w:hAnsiTheme="majorEastAsia" w:eastAsiaTheme="majorEastAsia"/>
          <w:color w:val="000000" w:themeColor="text1"/>
          <w:sz w:val="24"/>
          <w14:textFill>
            <w14:solidFill>
              <w14:schemeClr w14:val="tx1"/>
            </w14:solidFill>
          </w14:textFill>
        </w:rPr>
        <w:t>5.4 配电箱、检修箱要求</w:t>
      </w:r>
      <w:r>
        <w:rPr>
          <w:rFonts w:asciiTheme="majorEastAsia" w:hAnsiTheme="majorEastAsia" w:eastAsiaTheme="majorEastAsia"/>
          <w:color w:val="000000" w:themeColor="text1"/>
          <w:sz w:val="24"/>
          <w14:textFill>
            <w14:solidFill>
              <w14:schemeClr w14:val="tx1"/>
            </w14:solidFill>
          </w14:textFill>
        </w:rPr>
        <w:tab/>
      </w:r>
      <w:r>
        <w:rPr>
          <w:rFonts w:asciiTheme="majorEastAsia" w:hAnsiTheme="majorEastAsia" w:eastAsiaTheme="majorEastAsia"/>
          <w:color w:val="000000" w:themeColor="text1"/>
          <w:sz w:val="24"/>
          <w14:textFill>
            <w14:solidFill>
              <w14:schemeClr w14:val="tx1"/>
            </w14:solidFill>
          </w14:textFill>
        </w:rPr>
        <w:fldChar w:fldCharType="begin"/>
      </w:r>
      <w:r>
        <w:rPr>
          <w:rFonts w:asciiTheme="majorEastAsia" w:hAnsiTheme="majorEastAsia" w:eastAsiaTheme="majorEastAsia"/>
          <w:color w:val="000000" w:themeColor="text1"/>
          <w:sz w:val="24"/>
          <w14:textFill>
            <w14:solidFill>
              <w14:schemeClr w14:val="tx1"/>
            </w14:solidFill>
          </w14:textFill>
        </w:rPr>
        <w:instrText xml:space="preserve"> PAGEREF _Toc177995332 \h </w:instrText>
      </w:r>
      <w:r>
        <w:rPr>
          <w:rFonts w:asciiTheme="majorEastAsia" w:hAnsiTheme="majorEastAsia" w:eastAsiaTheme="majorEastAsia"/>
          <w:color w:val="000000" w:themeColor="text1"/>
          <w:sz w:val="24"/>
          <w14:textFill>
            <w14:solidFill>
              <w14:schemeClr w14:val="tx1"/>
            </w14:solidFill>
          </w14:textFill>
        </w:rPr>
        <w:fldChar w:fldCharType="separate"/>
      </w:r>
      <w:r>
        <w:rPr>
          <w:rFonts w:asciiTheme="majorEastAsia" w:hAnsiTheme="majorEastAsia" w:eastAsiaTheme="majorEastAsia"/>
          <w:color w:val="000000" w:themeColor="text1"/>
          <w:sz w:val="24"/>
          <w14:textFill>
            <w14:solidFill>
              <w14:schemeClr w14:val="tx1"/>
            </w14:solidFill>
          </w14:textFill>
        </w:rPr>
        <w:t>25</w:t>
      </w:r>
      <w:r>
        <w:rPr>
          <w:rFonts w:asciiTheme="majorEastAsia" w:hAnsiTheme="majorEastAsia" w:eastAsiaTheme="majorEastAsia"/>
          <w:color w:val="000000" w:themeColor="text1"/>
          <w:sz w:val="24"/>
          <w14:textFill>
            <w14:solidFill>
              <w14:schemeClr w14:val="tx1"/>
            </w14:solidFill>
          </w14:textFill>
        </w:rPr>
        <w:fldChar w:fldCharType="end"/>
      </w:r>
      <w:r>
        <w:rPr>
          <w:rFonts w:asciiTheme="majorEastAsia" w:hAnsiTheme="majorEastAsia" w:eastAsiaTheme="majorEastAsia"/>
          <w:color w:val="000000" w:themeColor="text1"/>
          <w:sz w:val="24"/>
          <w14:textFill>
            <w14:solidFill>
              <w14:schemeClr w14:val="tx1"/>
            </w14:solidFill>
          </w14:textFill>
        </w:rPr>
        <w:fldChar w:fldCharType="end"/>
      </w:r>
    </w:p>
    <w:p>
      <w:pPr>
        <w:pStyle w:val="70"/>
        <w:rPr>
          <w:rFonts w:asciiTheme="majorEastAsia" w:hAnsiTheme="majorEastAsia" w:eastAsiaTheme="majorEastAsia" w:cstheme="minorBidi"/>
          <w:color w:val="000000" w:themeColor="text1"/>
          <w:sz w:val="24"/>
          <w14:textFill>
            <w14:solidFill>
              <w14:schemeClr w14:val="tx1"/>
            </w14:solidFill>
          </w14:textFill>
        </w:rPr>
      </w:pPr>
      <w:r>
        <w:fldChar w:fldCharType="begin"/>
      </w:r>
      <w:r>
        <w:instrText xml:space="preserve"> HYPERLINK \l "_Toc177995333" </w:instrText>
      </w:r>
      <w:r>
        <w:fldChar w:fldCharType="separate"/>
      </w:r>
      <w:r>
        <w:rPr>
          <w:rStyle w:val="139"/>
          <w:rFonts w:asciiTheme="majorEastAsia" w:hAnsiTheme="majorEastAsia" w:eastAsiaTheme="majorEastAsia"/>
          <w:color w:val="000000" w:themeColor="text1"/>
          <w:sz w:val="24"/>
          <w14:textFill>
            <w14:solidFill>
              <w14:schemeClr w14:val="tx1"/>
            </w14:solidFill>
          </w14:textFill>
        </w:rPr>
        <w:t>5.3 主控室、继电器及通信室、蓄电池室要求</w:t>
      </w:r>
      <w:r>
        <w:rPr>
          <w:rFonts w:asciiTheme="majorEastAsia" w:hAnsiTheme="majorEastAsia" w:eastAsiaTheme="majorEastAsia"/>
          <w:color w:val="000000" w:themeColor="text1"/>
          <w:sz w:val="24"/>
          <w14:textFill>
            <w14:solidFill>
              <w14:schemeClr w14:val="tx1"/>
            </w14:solidFill>
          </w14:textFill>
        </w:rPr>
        <w:tab/>
      </w:r>
      <w:r>
        <w:rPr>
          <w:rFonts w:asciiTheme="majorEastAsia" w:hAnsiTheme="majorEastAsia" w:eastAsiaTheme="majorEastAsia"/>
          <w:color w:val="000000" w:themeColor="text1"/>
          <w:sz w:val="24"/>
          <w14:textFill>
            <w14:solidFill>
              <w14:schemeClr w14:val="tx1"/>
            </w14:solidFill>
          </w14:textFill>
        </w:rPr>
        <w:fldChar w:fldCharType="begin"/>
      </w:r>
      <w:r>
        <w:rPr>
          <w:rFonts w:asciiTheme="majorEastAsia" w:hAnsiTheme="majorEastAsia" w:eastAsiaTheme="majorEastAsia"/>
          <w:color w:val="000000" w:themeColor="text1"/>
          <w:sz w:val="24"/>
          <w14:textFill>
            <w14:solidFill>
              <w14:schemeClr w14:val="tx1"/>
            </w14:solidFill>
          </w14:textFill>
        </w:rPr>
        <w:instrText xml:space="preserve"> PAGEREF _Toc177995333 \h </w:instrText>
      </w:r>
      <w:r>
        <w:rPr>
          <w:rFonts w:asciiTheme="majorEastAsia" w:hAnsiTheme="majorEastAsia" w:eastAsiaTheme="majorEastAsia"/>
          <w:color w:val="000000" w:themeColor="text1"/>
          <w:sz w:val="24"/>
          <w14:textFill>
            <w14:solidFill>
              <w14:schemeClr w14:val="tx1"/>
            </w14:solidFill>
          </w14:textFill>
        </w:rPr>
        <w:fldChar w:fldCharType="separate"/>
      </w:r>
      <w:r>
        <w:rPr>
          <w:rFonts w:asciiTheme="majorEastAsia" w:hAnsiTheme="majorEastAsia" w:eastAsiaTheme="majorEastAsia"/>
          <w:color w:val="000000" w:themeColor="text1"/>
          <w:sz w:val="24"/>
          <w14:textFill>
            <w14:solidFill>
              <w14:schemeClr w14:val="tx1"/>
            </w14:solidFill>
          </w14:textFill>
        </w:rPr>
        <w:t>36</w:t>
      </w:r>
      <w:r>
        <w:rPr>
          <w:rFonts w:asciiTheme="majorEastAsia" w:hAnsiTheme="majorEastAsia" w:eastAsiaTheme="majorEastAsia"/>
          <w:color w:val="000000" w:themeColor="text1"/>
          <w:sz w:val="24"/>
          <w14:textFill>
            <w14:solidFill>
              <w14:schemeClr w14:val="tx1"/>
            </w14:solidFill>
          </w14:textFill>
        </w:rPr>
        <w:fldChar w:fldCharType="end"/>
      </w:r>
      <w:r>
        <w:rPr>
          <w:rFonts w:asciiTheme="majorEastAsia" w:hAnsiTheme="majorEastAsia" w:eastAsiaTheme="majorEastAsia"/>
          <w:color w:val="000000" w:themeColor="text1"/>
          <w:sz w:val="24"/>
          <w14:textFill>
            <w14:solidFill>
              <w14:schemeClr w14:val="tx1"/>
            </w14:solidFill>
          </w14:textFill>
        </w:rPr>
        <w:fldChar w:fldCharType="end"/>
      </w:r>
    </w:p>
    <w:p>
      <w:pPr>
        <w:pStyle w:val="55"/>
        <w:tabs>
          <w:tab w:val="right" w:leader="dot" w:pos="8296"/>
        </w:tabs>
        <w:rPr>
          <w:rFonts w:asciiTheme="majorEastAsia" w:hAnsiTheme="majorEastAsia" w:eastAsiaTheme="majorEastAsia" w:cstheme="minorBidi"/>
          <w:b w:val="0"/>
          <w:bCs w:val="0"/>
          <w:caps w:val="0"/>
          <w:color w:val="000000" w:themeColor="text1"/>
          <w:sz w:val="24"/>
          <w:szCs w:val="24"/>
          <w14:textFill>
            <w14:solidFill>
              <w14:schemeClr w14:val="tx1"/>
            </w14:solidFill>
          </w14:textFill>
        </w:rPr>
      </w:pPr>
      <w:r>
        <w:fldChar w:fldCharType="begin"/>
      </w:r>
      <w:r>
        <w:instrText xml:space="preserve"> HYPERLINK \l "_Toc177995334" </w:instrText>
      </w:r>
      <w:r>
        <w:fldChar w:fldCharType="separate"/>
      </w:r>
      <w:r>
        <w:rPr>
          <w:rStyle w:val="139"/>
          <w:rFonts w:asciiTheme="majorEastAsia" w:hAnsiTheme="majorEastAsia" w:eastAsiaTheme="majorEastAsia"/>
          <w:b w:val="0"/>
          <w:bCs w:val="0"/>
          <w:color w:val="000000" w:themeColor="text1"/>
          <w:sz w:val="24"/>
          <w:szCs w:val="24"/>
          <w14:textFill>
            <w14:solidFill>
              <w14:schemeClr w14:val="tx1"/>
            </w14:solidFill>
          </w14:textFill>
        </w:rPr>
        <w:t xml:space="preserve">6 </w:t>
      </w:r>
      <w:r>
        <w:rPr>
          <w:rStyle w:val="139"/>
          <w:rFonts w:cs="Segoe UI Symbol" w:asciiTheme="majorEastAsia" w:hAnsiTheme="majorEastAsia" w:eastAsiaTheme="majorEastAsia"/>
          <w:b w:val="0"/>
          <w:bCs w:val="0"/>
          <w:color w:val="000000" w:themeColor="text1"/>
          <w:sz w:val="24"/>
          <w:szCs w:val="24"/>
          <w14:textFill>
            <w14:solidFill>
              <w14:schemeClr w14:val="tx1"/>
            </w14:solidFill>
          </w14:textFill>
        </w:rPr>
        <w:t>★</w:t>
      </w:r>
      <w:r>
        <w:rPr>
          <w:rStyle w:val="139"/>
          <w:rFonts w:asciiTheme="majorEastAsia" w:hAnsiTheme="majorEastAsia" w:eastAsiaTheme="majorEastAsia"/>
          <w:b w:val="0"/>
          <w:bCs w:val="0"/>
          <w:color w:val="000000" w:themeColor="text1"/>
          <w:sz w:val="24"/>
          <w:szCs w:val="24"/>
          <w14:textFill>
            <w14:solidFill>
              <w14:schemeClr w14:val="tx1"/>
            </w14:solidFill>
          </w14:textFill>
        </w:rPr>
        <w:t>舱体专用部分技术要求</w:t>
      </w:r>
      <w:r>
        <w:rPr>
          <w:rFonts w:asciiTheme="majorEastAsia" w:hAnsiTheme="majorEastAsia" w:eastAsiaTheme="majorEastAsia"/>
          <w:b w:val="0"/>
          <w:bCs w:val="0"/>
          <w:color w:val="000000" w:themeColor="text1"/>
          <w:sz w:val="24"/>
          <w:szCs w:val="24"/>
          <w14:textFill>
            <w14:solidFill>
              <w14:schemeClr w14:val="tx1"/>
            </w14:solidFill>
          </w14:textFill>
        </w:rPr>
        <w:tab/>
      </w:r>
      <w:r>
        <w:rPr>
          <w:rFonts w:asciiTheme="majorEastAsia" w:hAnsiTheme="majorEastAsia" w:eastAsiaTheme="majorEastAsia"/>
          <w:b w:val="0"/>
          <w:bCs w:val="0"/>
          <w:color w:val="000000" w:themeColor="text1"/>
          <w:sz w:val="24"/>
          <w:szCs w:val="24"/>
          <w14:textFill>
            <w14:solidFill>
              <w14:schemeClr w14:val="tx1"/>
            </w14:solidFill>
          </w14:textFill>
        </w:rPr>
        <w:fldChar w:fldCharType="begin"/>
      </w:r>
      <w:r>
        <w:rPr>
          <w:rFonts w:asciiTheme="majorEastAsia" w:hAnsiTheme="majorEastAsia" w:eastAsiaTheme="majorEastAsia"/>
          <w:b w:val="0"/>
          <w:bCs w:val="0"/>
          <w:color w:val="000000" w:themeColor="text1"/>
          <w:sz w:val="24"/>
          <w:szCs w:val="24"/>
          <w14:textFill>
            <w14:solidFill>
              <w14:schemeClr w14:val="tx1"/>
            </w14:solidFill>
          </w14:textFill>
        </w:rPr>
        <w:instrText xml:space="preserve"> PAGEREF _Toc177995334 \h </w:instrText>
      </w:r>
      <w:r>
        <w:rPr>
          <w:rFonts w:asciiTheme="majorEastAsia" w:hAnsiTheme="majorEastAsia" w:eastAsiaTheme="majorEastAsia"/>
          <w:b w:val="0"/>
          <w:bCs w:val="0"/>
          <w:color w:val="000000" w:themeColor="text1"/>
          <w:sz w:val="24"/>
          <w:szCs w:val="24"/>
          <w14:textFill>
            <w14:solidFill>
              <w14:schemeClr w14:val="tx1"/>
            </w14:solidFill>
          </w14:textFill>
        </w:rPr>
        <w:fldChar w:fldCharType="separate"/>
      </w:r>
      <w:r>
        <w:rPr>
          <w:rFonts w:asciiTheme="majorEastAsia" w:hAnsiTheme="majorEastAsia" w:eastAsiaTheme="majorEastAsia"/>
          <w:b w:val="0"/>
          <w:bCs w:val="0"/>
          <w:color w:val="000000" w:themeColor="text1"/>
          <w:sz w:val="24"/>
          <w:szCs w:val="24"/>
          <w14:textFill>
            <w14:solidFill>
              <w14:schemeClr w14:val="tx1"/>
            </w14:solidFill>
          </w14:textFill>
        </w:rPr>
        <w:t>37</w:t>
      </w:r>
      <w:r>
        <w:rPr>
          <w:rFonts w:asciiTheme="majorEastAsia" w:hAnsiTheme="majorEastAsia" w:eastAsiaTheme="majorEastAsia"/>
          <w:b w:val="0"/>
          <w:bCs w:val="0"/>
          <w:color w:val="000000" w:themeColor="text1"/>
          <w:sz w:val="24"/>
          <w:szCs w:val="24"/>
          <w14:textFill>
            <w14:solidFill>
              <w14:schemeClr w14:val="tx1"/>
            </w14:solidFill>
          </w14:textFill>
        </w:rPr>
        <w:fldChar w:fldCharType="end"/>
      </w:r>
      <w:r>
        <w:rPr>
          <w:rFonts w:asciiTheme="majorEastAsia" w:hAnsiTheme="majorEastAsia" w:eastAsiaTheme="majorEastAsia"/>
          <w:b w:val="0"/>
          <w:bCs w:val="0"/>
          <w:color w:val="000000" w:themeColor="text1"/>
          <w:sz w:val="24"/>
          <w:szCs w:val="24"/>
          <w14:textFill>
            <w14:solidFill>
              <w14:schemeClr w14:val="tx1"/>
            </w14:solidFill>
          </w14:textFill>
        </w:rPr>
        <w:fldChar w:fldCharType="end"/>
      </w:r>
    </w:p>
    <w:p>
      <w:pPr>
        <w:pStyle w:val="70"/>
        <w:rPr>
          <w:rFonts w:asciiTheme="majorEastAsia" w:hAnsiTheme="majorEastAsia" w:eastAsiaTheme="majorEastAsia" w:cstheme="minorBidi"/>
          <w:color w:val="000000" w:themeColor="text1"/>
          <w:sz w:val="24"/>
          <w14:textFill>
            <w14:solidFill>
              <w14:schemeClr w14:val="tx1"/>
            </w14:solidFill>
          </w14:textFill>
        </w:rPr>
      </w:pPr>
      <w:r>
        <w:fldChar w:fldCharType="begin"/>
      </w:r>
      <w:r>
        <w:instrText xml:space="preserve"> HYPERLINK \l "_Toc177995335" </w:instrText>
      </w:r>
      <w:r>
        <w:fldChar w:fldCharType="separate"/>
      </w:r>
      <w:r>
        <w:rPr>
          <w:rStyle w:val="139"/>
          <w:rFonts w:asciiTheme="majorEastAsia" w:hAnsiTheme="majorEastAsia" w:eastAsiaTheme="majorEastAsia"/>
          <w:color w:val="000000" w:themeColor="text1"/>
          <w:sz w:val="24"/>
          <w14:textFill>
            <w14:solidFill>
              <w14:schemeClr w14:val="tx1"/>
            </w14:solidFill>
          </w14:textFill>
        </w:rPr>
        <w:t>6.1 预制舱技术特性要求</w:t>
      </w:r>
      <w:r>
        <w:rPr>
          <w:rFonts w:asciiTheme="majorEastAsia" w:hAnsiTheme="majorEastAsia" w:eastAsiaTheme="majorEastAsia"/>
          <w:color w:val="000000" w:themeColor="text1"/>
          <w:sz w:val="24"/>
          <w14:textFill>
            <w14:solidFill>
              <w14:schemeClr w14:val="tx1"/>
            </w14:solidFill>
          </w14:textFill>
        </w:rPr>
        <w:tab/>
      </w:r>
      <w:r>
        <w:rPr>
          <w:rFonts w:asciiTheme="majorEastAsia" w:hAnsiTheme="majorEastAsia" w:eastAsiaTheme="majorEastAsia"/>
          <w:color w:val="000000" w:themeColor="text1"/>
          <w:sz w:val="24"/>
          <w14:textFill>
            <w14:solidFill>
              <w14:schemeClr w14:val="tx1"/>
            </w14:solidFill>
          </w14:textFill>
        </w:rPr>
        <w:fldChar w:fldCharType="begin"/>
      </w:r>
      <w:r>
        <w:rPr>
          <w:rFonts w:asciiTheme="majorEastAsia" w:hAnsiTheme="majorEastAsia" w:eastAsiaTheme="majorEastAsia"/>
          <w:color w:val="000000" w:themeColor="text1"/>
          <w:sz w:val="24"/>
          <w14:textFill>
            <w14:solidFill>
              <w14:schemeClr w14:val="tx1"/>
            </w14:solidFill>
          </w14:textFill>
        </w:rPr>
        <w:instrText xml:space="preserve"> PAGEREF _Toc177995335 \h </w:instrText>
      </w:r>
      <w:r>
        <w:rPr>
          <w:rFonts w:asciiTheme="majorEastAsia" w:hAnsiTheme="majorEastAsia" w:eastAsiaTheme="majorEastAsia"/>
          <w:color w:val="000000" w:themeColor="text1"/>
          <w:sz w:val="24"/>
          <w14:textFill>
            <w14:solidFill>
              <w14:schemeClr w14:val="tx1"/>
            </w14:solidFill>
          </w14:textFill>
        </w:rPr>
        <w:fldChar w:fldCharType="separate"/>
      </w:r>
      <w:r>
        <w:rPr>
          <w:rFonts w:asciiTheme="majorEastAsia" w:hAnsiTheme="majorEastAsia" w:eastAsiaTheme="majorEastAsia"/>
          <w:color w:val="000000" w:themeColor="text1"/>
          <w:sz w:val="24"/>
          <w14:textFill>
            <w14:solidFill>
              <w14:schemeClr w14:val="tx1"/>
            </w14:solidFill>
          </w14:textFill>
        </w:rPr>
        <w:t>37</w:t>
      </w:r>
      <w:r>
        <w:rPr>
          <w:rFonts w:asciiTheme="majorEastAsia" w:hAnsiTheme="majorEastAsia" w:eastAsiaTheme="majorEastAsia"/>
          <w:color w:val="000000" w:themeColor="text1"/>
          <w:sz w:val="24"/>
          <w14:textFill>
            <w14:solidFill>
              <w14:schemeClr w14:val="tx1"/>
            </w14:solidFill>
          </w14:textFill>
        </w:rPr>
        <w:fldChar w:fldCharType="end"/>
      </w:r>
      <w:r>
        <w:rPr>
          <w:rFonts w:asciiTheme="majorEastAsia" w:hAnsiTheme="majorEastAsia" w:eastAsiaTheme="majorEastAsia"/>
          <w:color w:val="000000" w:themeColor="text1"/>
          <w:sz w:val="24"/>
          <w14:textFill>
            <w14:solidFill>
              <w14:schemeClr w14:val="tx1"/>
            </w14:solidFill>
          </w14:textFill>
        </w:rPr>
        <w:fldChar w:fldCharType="end"/>
      </w:r>
    </w:p>
    <w:p>
      <w:pPr>
        <w:pStyle w:val="70"/>
        <w:rPr>
          <w:rFonts w:asciiTheme="majorEastAsia" w:hAnsiTheme="majorEastAsia" w:eastAsiaTheme="majorEastAsia" w:cstheme="minorBidi"/>
          <w:color w:val="000000" w:themeColor="text1"/>
          <w:sz w:val="24"/>
          <w14:textFill>
            <w14:solidFill>
              <w14:schemeClr w14:val="tx1"/>
            </w14:solidFill>
          </w14:textFill>
        </w:rPr>
      </w:pPr>
      <w:r>
        <w:fldChar w:fldCharType="begin"/>
      </w:r>
      <w:r>
        <w:instrText xml:space="preserve"> HYPERLINK \l "_Toc177995336" </w:instrText>
      </w:r>
      <w:r>
        <w:fldChar w:fldCharType="separate"/>
      </w:r>
      <w:r>
        <w:rPr>
          <w:rStyle w:val="139"/>
          <w:rFonts w:asciiTheme="majorEastAsia" w:hAnsiTheme="majorEastAsia" w:eastAsiaTheme="majorEastAsia"/>
          <w:color w:val="000000" w:themeColor="text1"/>
          <w:sz w:val="24"/>
          <w14:textFill>
            <w14:solidFill>
              <w14:schemeClr w14:val="tx1"/>
            </w14:solidFill>
          </w14:textFill>
        </w:rPr>
        <w:t>6.2 配电装置组合预制舱</w:t>
      </w:r>
      <w:r>
        <w:rPr>
          <w:rFonts w:asciiTheme="majorEastAsia" w:hAnsiTheme="majorEastAsia" w:eastAsiaTheme="majorEastAsia"/>
          <w:color w:val="000000" w:themeColor="text1"/>
          <w:sz w:val="24"/>
          <w14:textFill>
            <w14:solidFill>
              <w14:schemeClr w14:val="tx1"/>
            </w14:solidFill>
          </w14:textFill>
        </w:rPr>
        <w:tab/>
      </w:r>
      <w:r>
        <w:rPr>
          <w:rFonts w:asciiTheme="majorEastAsia" w:hAnsiTheme="majorEastAsia" w:eastAsiaTheme="majorEastAsia"/>
          <w:color w:val="000000" w:themeColor="text1"/>
          <w:sz w:val="24"/>
          <w14:textFill>
            <w14:solidFill>
              <w14:schemeClr w14:val="tx1"/>
            </w14:solidFill>
          </w14:textFill>
        </w:rPr>
        <w:fldChar w:fldCharType="begin"/>
      </w:r>
      <w:r>
        <w:rPr>
          <w:rFonts w:asciiTheme="majorEastAsia" w:hAnsiTheme="majorEastAsia" w:eastAsiaTheme="majorEastAsia"/>
          <w:color w:val="000000" w:themeColor="text1"/>
          <w:sz w:val="24"/>
          <w14:textFill>
            <w14:solidFill>
              <w14:schemeClr w14:val="tx1"/>
            </w14:solidFill>
          </w14:textFill>
        </w:rPr>
        <w:instrText xml:space="preserve"> PAGEREF _Toc177995336 \h </w:instrText>
      </w:r>
      <w:r>
        <w:rPr>
          <w:rFonts w:asciiTheme="majorEastAsia" w:hAnsiTheme="majorEastAsia" w:eastAsiaTheme="majorEastAsia"/>
          <w:color w:val="000000" w:themeColor="text1"/>
          <w:sz w:val="24"/>
          <w14:textFill>
            <w14:solidFill>
              <w14:schemeClr w14:val="tx1"/>
            </w14:solidFill>
          </w14:textFill>
        </w:rPr>
        <w:fldChar w:fldCharType="separate"/>
      </w:r>
      <w:r>
        <w:rPr>
          <w:rFonts w:asciiTheme="majorEastAsia" w:hAnsiTheme="majorEastAsia" w:eastAsiaTheme="majorEastAsia"/>
          <w:color w:val="000000" w:themeColor="text1"/>
          <w:sz w:val="24"/>
          <w14:textFill>
            <w14:solidFill>
              <w14:schemeClr w14:val="tx1"/>
            </w14:solidFill>
          </w14:textFill>
        </w:rPr>
        <w:t>38</w:t>
      </w:r>
      <w:r>
        <w:rPr>
          <w:rFonts w:asciiTheme="majorEastAsia" w:hAnsiTheme="majorEastAsia" w:eastAsiaTheme="majorEastAsia"/>
          <w:color w:val="000000" w:themeColor="text1"/>
          <w:sz w:val="24"/>
          <w14:textFill>
            <w14:solidFill>
              <w14:schemeClr w14:val="tx1"/>
            </w14:solidFill>
          </w14:textFill>
        </w:rPr>
        <w:fldChar w:fldCharType="end"/>
      </w:r>
      <w:r>
        <w:rPr>
          <w:rFonts w:asciiTheme="majorEastAsia" w:hAnsiTheme="majorEastAsia" w:eastAsiaTheme="majorEastAsia"/>
          <w:color w:val="000000" w:themeColor="text1"/>
          <w:sz w:val="24"/>
          <w14:textFill>
            <w14:solidFill>
              <w14:schemeClr w14:val="tx1"/>
            </w14:solidFill>
          </w14:textFill>
        </w:rPr>
        <w:fldChar w:fldCharType="end"/>
      </w:r>
    </w:p>
    <w:p>
      <w:pPr>
        <w:pStyle w:val="70"/>
        <w:rPr>
          <w:rFonts w:asciiTheme="majorEastAsia" w:hAnsiTheme="majorEastAsia" w:eastAsiaTheme="majorEastAsia" w:cstheme="minorBidi"/>
          <w:color w:val="000000" w:themeColor="text1"/>
          <w:sz w:val="24"/>
          <w14:textFill>
            <w14:solidFill>
              <w14:schemeClr w14:val="tx1"/>
            </w14:solidFill>
          </w14:textFill>
        </w:rPr>
      </w:pPr>
      <w:r>
        <w:fldChar w:fldCharType="begin"/>
      </w:r>
      <w:r>
        <w:instrText xml:space="preserve"> HYPERLINK \l "_Toc177995337" </w:instrText>
      </w:r>
      <w:r>
        <w:fldChar w:fldCharType="separate"/>
      </w:r>
      <w:r>
        <w:rPr>
          <w:rStyle w:val="139"/>
          <w:rFonts w:asciiTheme="majorEastAsia" w:hAnsiTheme="majorEastAsia" w:eastAsiaTheme="majorEastAsia"/>
          <w:color w:val="000000" w:themeColor="text1"/>
          <w:sz w:val="24"/>
          <w14:textFill>
            <w14:solidFill>
              <w14:schemeClr w14:val="tx1"/>
            </w14:solidFill>
          </w14:textFill>
        </w:rPr>
        <w:t>6.3 SMES及升压变流系统组合预制舱</w:t>
      </w:r>
      <w:r>
        <w:rPr>
          <w:rFonts w:asciiTheme="majorEastAsia" w:hAnsiTheme="majorEastAsia" w:eastAsiaTheme="majorEastAsia"/>
          <w:color w:val="000000" w:themeColor="text1"/>
          <w:sz w:val="24"/>
          <w14:textFill>
            <w14:solidFill>
              <w14:schemeClr w14:val="tx1"/>
            </w14:solidFill>
          </w14:textFill>
        </w:rPr>
        <w:tab/>
      </w:r>
      <w:r>
        <w:rPr>
          <w:rFonts w:asciiTheme="majorEastAsia" w:hAnsiTheme="majorEastAsia" w:eastAsiaTheme="majorEastAsia"/>
          <w:color w:val="000000" w:themeColor="text1"/>
          <w:sz w:val="24"/>
          <w14:textFill>
            <w14:solidFill>
              <w14:schemeClr w14:val="tx1"/>
            </w14:solidFill>
          </w14:textFill>
        </w:rPr>
        <w:fldChar w:fldCharType="begin"/>
      </w:r>
      <w:r>
        <w:rPr>
          <w:rFonts w:asciiTheme="majorEastAsia" w:hAnsiTheme="majorEastAsia" w:eastAsiaTheme="majorEastAsia"/>
          <w:color w:val="000000" w:themeColor="text1"/>
          <w:sz w:val="24"/>
          <w14:textFill>
            <w14:solidFill>
              <w14:schemeClr w14:val="tx1"/>
            </w14:solidFill>
          </w14:textFill>
        </w:rPr>
        <w:instrText xml:space="preserve"> PAGEREF _Toc177995337 \h </w:instrText>
      </w:r>
      <w:r>
        <w:rPr>
          <w:rFonts w:asciiTheme="majorEastAsia" w:hAnsiTheme="majorEastAsia" w:eastAsiaTheme="majorEastAsia"/>
          <w:color w:val="000000" w:themeColor="text1"/>
          <w:sz w:val="24"/>
          <w14:textFill>
            <w14:solidFill>
              <w14:schemeClr w14:val="tx1"/>
            </w14:solidFill>
          </w14:textFill>
        </w:rPr>
        <w:fldChar w:fldCharType="separate"/>
      </w:r>
      <w:r>
        <w:rPr>
          <w:rFonts w:asciiTheme="majorEastAsia" w:hAnsiTheme="majorEastAsia" w:eastAsiaTheme="majorEastAsia"/>
          <w:color w:val="000000" w:themeColor="text1"/>
          <w:sz w:val="24"/>
          <w14:textFill>
            <w14:solidFill>
              <w14:schemeClr w14:val="tx1"/>
            </w14:solidFill>
          </w14:textFill>
        </w:rPr>
        <w:t>40</w:t>
      </w:r>
      <w:r>
        <w:rPr>
          <w:rFonts w:asciiTheme="majorEastAsia" w:hAnsiTheme="majorEastAsia" w:eastAsiaTheme="majorEastAsia"/>
          <w:color w:val="000000" w:themeColor="text1"/>
          <w:sz w:val="24"/>
          <w14:textFill>
            <w14:solidFill>
              <w14:schemeClr w14:val="tx1"/>
            </w14:solidFill>
          </w14:textFill>
        </w:rPr>
        <w:fldChar w:fldCharType="end"/>
      </w:r>
      <w:r>
        <w:rPr>
          <w:rFonts w:asciiTheme="majorEastAsia" w:hAnsiTheme="majorEastAsia" w:eastAsiaTheme="majorEastAsia"/>
          <w:color w:val="000000" w:themeColor="text1"/>
          <w:sz w:val="24"/>
          <w14:textFill>
            <w14:solidFill>
              <w14:schemeClr w14:val="tx1"/>
            </w14:solidFill>
          </w14:textFill>
        </w:rPr>
        <w:fldChar w:fldCharType="end"/>
      </w:r>
    </w:p>
    <w:p>
      <w:pPr>
        <w:pStyle w:val="70"/>
        <w:rPr>
          <w:rFonts w:asciiTheme="majorEastAsia" w:hAnsiTheme="majorEastAsia" w:eastAsiaTheme="majorEastAsia" w:cstheme="minorBidi"/>
          <w:color w:val="000000" w:themeColor="text1"/>
          <w:sz w:val="24"/>
          <w14:textFill>
            <w14:solidFill>
              <w14:schemeClr w14:val="tx1"/>
            </w14:solidFill>
          </w14:textFill>
        </w:rPr>
      </w:pPr>
      <w:r>
        <w:fldChar w:fldCharType="begin"/>
      </w:r>
      <w:r>
        <w:instrText xml:space="preserve"> HYPERLINK \l "_Toc177995338" </w:instrText>
      </w:r>
      <w:r>
        <w:fldChar w:fldCharType="separate"/>
      </w:r>
      <w:r>
        <w:rPr>
          <w:rStyle w:val="139"/>
          <w:rFonts w:asciiTheme="majorEastAsia" w:hAnsiTheme="majorEastAsia" w:eastAsiaTheme="majorEastAsia"/>
          <w:color w:val="000000" w:themeColor="text1"/>
          <w:sz w:val="24"/>
          <w14:textFill>
            <w14:solidFill>
              <w14:schemeClr w14:val="tx1"/>
            </w14:solidFill>
          </w14:textFill>
        </w:rPr>
        <w:t>6.4 展厅舱</w:t>
      </w:r>
      <w:r>
        <w:rPr>
          <w:rFonts w:asciiTheme="majorEastAsia" w:hAnsiTheme="majorEastAsia" w:eastAsiaTheme="majorEastAsia"/>
          <w:color w:val="000000" w:themeColor="text1"/>
          <w:sz w:val="24"/>
          <w14:textFill>
            <w14:solidFill>
              <w14:schemeClr w14:val="tx1"/>
            </w14:solidFill>
          </w14:textFill>
        </w:rPr>
        <w:tab/>
      </w:r>
      <w:r>
        <w:rPr>
          <w:rFonts w:asciiTheme="majorEastAsia" w:hAnsiTheme="majorEastAsia" w:eastAsiaTheme="majorEastAsia"/>
          <w:color w:val="000000" w:themeColor="text1"/>
          <w:sz w:val="24"/>
          <w14:textFill>
            <w14:solidFill>
              <w14:schemeClr w14:val="tx1"/>
            </w14:solidFill>
          </w14:textFill>
        </w:rPr>
        <w:fldChar w:fldCharType="begin"/>
      </w:r>
      <w:r>
        <w:rPr>
          <w:rFonts w:asciiTheme="majorEastAsia" w:hAnsiTheme="majorEastAsia" w:eastAsiaTheme="majorEastAsia"/>
          <w:color w:val="000000" w:themeColor="text1"/>
          <w:sz w:val="24"/>
          <w14:textFill>
            <w14:solidFill>
              <w14:schemeClr w14:val="tx1"/>
            </w14:solidFill>
          </w14:textFill>
        </w:rPr>
        <w:instrText xml:space="preserve"> PAGEREF _Toc177995338 \h </w:instrText>
      </w:r>
      <w:r>
        <w:rPr>
          <w:rFonts w:asciiTheme="majorEastAsia" w:hAnsiTheme="majorEastAsia" w:eastAsiaTheme="majorEastAsia"/>
          <w:color w:val="000000" w:themeColor="text1"/>
          <w:sz w:val="24"/>
          <w14:textFill>
            <w14:solidFill>
              <w14:schemeClr w14:val="tx1"/>
            </w14:solidFill>
          </w14:textFill>
        </w:rPr>
        <w:fldChar w:fldCharType="separate"/>
      </w:r>
      <w:r>
        <w:rPr>
          <w:rFonts w:asciiTheme="majorEastAsia" w:hAnsiTheme="majorEastAsia" w:eastAsiaTheme="majorEastAsia"/>
          <w:color w:val="000000" w:themeColor="text1"/>
          <w:sz w:val="24"/>
          <w14:textFill>
            <w14:solidFill>
              <w14:schemeClr w14:val="tx1"/>
            </w14:solidFill>
          </w14:textFill>
        </w:rPr>
        <w:t>42</w:t>
      </w:r>
      <w:r>
        <w:rPr>
          <w:rFonts w:asciiTheme="majorEastAsia" w:hAnsiTheme="majorEastAsia" w:eastAsiaTheme="majorEastAsia"/>
          <w:color w:val="000000" w:themeColor="text1"/>
          <w:sz w:val="24"/>
          <w14:textFill>
            <w14:solidFill>
              <w14:schemeClr w14:val="tx1"/>
            </w14:solidFill>
          </w14:textFill>
        </w:rPr>
        <w:fldChar w:fldCharType="end"/>
      </w:r>
      <w:r>
        <w:rPr>
          <w:rFonts w:asciiTheme="majorEastAsia" w:hAnsiTheme="majorEastAsia" w:eastAsiaTheme="majorEastAsia"/>
          <w:color w:val="000000" w:themeColor="text1"/>
          <w:sz w:val="24"/>
          <w14:textFill>
            <w14:solidFill>
              <w14:schemeClr w14:val="tx1"/>
            </w14:solidFill>
          </w14:textFill>
        </w:rPr>
        <w:fldChar w:fldCharType="end"/>
      </w:r>
    </w:p>
    <w:p>
      <w:pPr>
        <w:pStyle w:val="70"/>
        <w:rPr>
          <w:rFonts w:asciiTheme="majorEastAsia" w:hAnsiTheme="majorEastAsia" w:eastAsiaTheme="majorEastAsia" w:cstheme="minorBidi"/>
          <w:color w:val="000000" w:themeColor="text1"/>
          <w:sz w:val="24"/>
          <w14:textFill>
            <w14:solidFill>
              <w14:schemeClr w14:val="tx1"/>
            </w14:solidFill>
          </w14:textFill>
        </w:rPr>
      </w:pPr>
      <w:r>
        <w:fldChar w:fldCharType="begin"/>
      </w:r>
      <w:r>
        <w:instrText xml:space="preserve"> HYPERLINK \l "_Toc177995339" </w:instrText>
      </w:r>
      <w:r>
        <w:fldChar w:fldCharType="separate"/>
      </w:r>
      <w:r>
        <w:rPr>
          <w:rStyle w:val="139"/>
          <w:rFonts w:asciiTheme="majorEastAsia" w:hAnsiTheme="majorEastAsia" w:eastAsiaTheme="majorEastAsia"/>
          <w:color w:val="000000" w:themeColor="text1"/>
          <w:sz w:val="24"/>
          <w14:textFill>
            <w14:solidFill>
              <w14:schemeClr w14:val="tx1"/>
            </w14:solidFill>
          </w14:textFill>
        </w:rPr>
        <w:t>6.5工作界面划分</w:t>
      </w:r>
      <w:r>
        <w:rPr>
          <w:rFonts w:asciiTheme="majorEastAsia" w:hAnsiTheme="majorEastAsia" w:eastAsiaTheme="majorEastAsia"/>
          <w:color w:val="000000" w:themeColor="text1"/>
          <w:sz w:val="24"/>
          <w14:textFill>
            <w14:solidFill>
              <w14:schemeClr w14:val="tx1"/>
            </w14:solidFill>
          </w14:textFill>
        </w:rPr>
        <w:tab/>
      </w:r>
      <w:r>
        <w:rPr>
          <w:rFonts w:asciiTheme="majorEastAsia" w:hAnsiTheme="majorEastAsia" w:eastAsiaTheme="majorEastAsia"/>
          <w:color w:val="000000" w:themeColor="text1"/>
          <w:sz w:val="24"/>
          <w14:textFill>
            <w14:solidFill>
              <w14:schemeClr w14:val="tx1"/>
            </w14:solidFill>
          </w14:textFill>
        </w:rPr>
        <w:fldChar w:fldCharType="begin"/>
      </w:r>
      <w:r>
        <w:rPr>
          <w:rFonts w:asciiTheme="majorEastAsia" w:hAnsiTheme="majorEastAsia" w:eastAsiaTheme="majorEastAsia"/>
          <w:color w:val="000000" w:themeColor="text1"/>
          <w:sz w:val="24"/>
          <w14:textFill>
            <w14:solidFill>
              <w14:schemeClr w14:val="tx1"/>
            </w14:solidFill>
          </w14:textFill>
        </w:rPr>
        <w:instrText xml:space="preserve"> PAGEREF _Toc177995339 \h </w:instrText>
      </w:r>
      <w:r>
        <w:rPr>
          <w:rFonts w:asciiTheme="majorEastAsia" w:hAnsiTheme="majorEastAsia" w:eastAsiaTheme="majorEastAsia"/>
          <w:color w:val="000000" w:themeColor="text1"/>
          <w:sz w:val="24"/>
          <w14:textFill>
            <w14:solidFill>
              <w14:schemeClr w14:val="tx1"/>
            </w14:solidFill>
          </w14:textFill>
        </w:rPr>
        <w:fldChar w:fldCharType="separate"/>
      </w:r>
      <w:r>
        <w:rPr>
          <w:rFonts w:asciiTheme="majorEastAsia" w:hAnsiTheme="majorEastAsia" w:eastAsiaTheme="majorEastAsia"/>
          <w:color w:val="000000" w:themeColor="text1"/>
          <w:sz w:val="24"/>
          <w14:textFill>
            <w14:solidFill>
              <w14:schemeClr w14:val="tx1"/>
            </w14:solidFill>
          </w14:textFill>
        </w:rPr>
        <w:t>44</w:t>
      </w:r>
      <w:r>
        <w:rPr>
          <w:rFonts w:asciiTheme="majorEastAsia" w:hAnsiTheme="majorEastAsia" w:eastAsiaTheme="majorEastAsia"/>
          <w:color w:val="000000" w:themeColor="text1"/>
          <w:sz w:val="24"/>
          <w14:textFill>
            <w14:solidFill>
              <w14:schemeClr w14:val="tx1"/>
            </w14:solidFill>
          </w14:textFill>
        </w:rPr>
        <w:fldChar w:fldCharType="end"/>
      </w:r>
      <w:r>
        <w:rPr>
          <w:rFonts w:asciiTheme="majorEastAsia" w:hAnsiTheme="majorEastAsia" w:eastAsiaTheme="majorEastAsia"/>
          <w:color w:val="000000" w:themeColor="text1"/>
          <w:sz w:val="24"/>
          <w14:textFill>
            <w14:solidFill>
              <w14:schemeClr w14:val="tx1"/>
            </w14:solidFill>
          </w14:textFill>
        </w:rPr>
        <w:fldChar w:fldCharType="end"/>
      </w:r>
    </w:p>
    <w:p>
      <w:pPr>
        <w:pStyle w:val="55"/>
        <w:tabs>
          <w:tab w:val="right" w:leader="dot" w:pos="8296"/>
        </w:tabs>
        <w:rPr>
          <w:rFonts w:asciiTheme="majorEastAsia" w:hAnsiTheme="majorEastAsia" w:eastAsiaTheme="majorEastAsia" w:cstheme="minorBidi"/>
          <w:b w:val="0"/>
          <w:bCs w:val="0"/>
          <w:caps w:val="0"/>
          <w:color w:val="000000" w:themeColor="text1"/>
          <w:sz w:val="24"/>
          <w:szCs w:val="24"/>
          <w14:textFill>
            <w14:solidFill>
              <w14:schemeClr w14:val="tx1"/>
            </w14:solidFill>
          </w14:textFill>
        </w:rPr>
      </w:pPr>
      <w:r>
        <w:fldChar w:fldCharType="begin"/>
      </w:r>
      <w:r>
        <w:instrText xml:space="preserve"> HYPERLINK \l "_Toc177995340" </w:instrText>
      </w:r>
      <w:r>
        <w:fldChar w:fldCharType="separate"/>
      </w:r>
      <w:r>
        <w:rPr>
          <w:rStyle w:val="139"/>
          <w:rFonts w:asciiTheme="majorEastAsia" w:hAnsiTheme="majorEastAsia" w:eastAsiaTheme="majorEastAsia"/>
          <w:b w:val="0"/>
          <w:bCs w:val="0"/>
          <w:color w:val="000000" w:themeColor="text1"/>
          <w:sz w:val="24"/>
          <w:szCs w:val="24"/>
          <w14:textFill>
            <w14:solidFill>
              <w14:schemeClr w14:val="tx1"/>
            </w14:solidFill>
          </w14:textFill>
        </w:rPr>
        <w:t>7 试验</w:t>
      </w:r>
      <w:r>
        <w:rPr>
          <w:rFonts w:asciiTheme="majorEastAsia" w:hAnsiTheme="majorEastAsia" w:eastAsiaTheme="majorEastAsia"/>
          <w:b w:val="0"/>
          <w:bCs w:val="0"/>
          <w:color w:val="000000" w:themeColor="text1"/>
          <w:sz w:val="24"/>
          <w:szCs w:val="24"/>
          <w14:textFill>
            <w14:solidFill>
              <w14:schemeClr w14:val="tx1"/>
            </w14:solidFill>
          </w14:textFill>
        </w:rPr>
        <w:tab/>
      </w:r>
      <w:r>
        <w:rPr>
          <w:rFonts w:asciiTheme="majorEastAsia" w:hAnsiTheme="majorEastAsia" w:eastAsiaTheme="majorEastAsia"/>
          <w:b w:val="0"/>
          <w:bCs w:val="0"/>
          <w:color w:val="000000" w:themeColor="text1"/>
          <w:sz w:val="24"/>
          <w:szCs w:val="24"/>
          <w14:textFill>
            <w14:solidFill>
              <w14:schemeClr w14:val="tx1"/>
            </w14:solidFill>
          </w14:textFill>
        </w:rPr>
        <w:fldChar w:fldCharType="begin"/>
      </w:r>
      <w:r>
        <w:rPr>
          <w:rFonts w:asciiTheme="majorEastAsia" w:hAnsiTheme="majorEastAsia" w:eastAsiaTheme="majorEastAsia"/>
          <w:b w:val="0"/>
          <w:bCs w:val="0"/>
          <w:color w:val="000000" w:themeColor="text1"/>
          <w:sz w:val="24"/>
          <w:szCs w:val="24"/>
          <w14:textFill>
            <w14:solidFill>
              <w14:schemeClr w14:val="tx1"/>
            </w14:solidFill>
          </w14:textFill>
        </w:rPr>
        <w:instrText xml:space="preserve"> PAGEREF _Toc177995340 \h </w:instrText>
      </w:r>
      <w:r>
        <w:rPr>
          <w:rFonts w:asciiTheme="majorEastAsia" w:hAnsiTheme="majorEastAsia" w:eastAsiaTheme="majorEastAsia"/>
          <w:b w:val="0"/>
          <w:bCs w:val="0"/>
          <w:color w:val="000000" w:themeColor="text1"/>
          <w:sz w:val="24"/>
          <w:szCs w:val="24"/>
          <w14:textFill>
            <w14:solidFill>
              <w14:schemeClr w14:val="tx1"/>
            </w14:solidFill>
          </w14:textFill>
        </w:rPr>
        <w:fldChar w:fldCharType="separate"/>
      </w:r>
      <w:r>
        <w:rPr>
          <w:rFonts w:asciiTheme="majorEastAsia" w:hAnsiTheme="majorEastAsia" w:eastAsiaTheme="majorEastAsia"/>
          <w:b w:val="0"/>
          <w:bCs w:val="0"/>
          <w:color w:val="000000" w:themeColor="text1"/>
          <w:sz w:val="24"/>
          <w:szCs w:val="24"/>
          <w14:textFill>
            <w14:solidFill>
              <w14:schemeClr w14:val="tx1"/>
            </w14:solidFill>
          </w14:textFill>
        </w:rPr>
        <w:t>44</w:t>
      </w:r>
      <w:r>
        <w:rPr>
          <w:rFonts w:asciiTheme="majorEastAsia" w:hAnsiTheme="majorEastAsia" w:eastAsiaTheme="majorEastAsia"/>
          <w:b w:val="0"/>
          <w:bCs w:val="0"/>
          <w:color w:val="000000" w:themeColor="text1"/>
          <w:sz w:val="24"/>
          <w:szCs w:val="24"/>
          <w14:textFill>
            <w14:solidFill>
              <w14:schemeClr w14:val="tx1"/>
            </w14:solidFill>
          </w14:textFill>
        </w:rPr>
        <w:fldChar w:fldCharType="end"/>
      </w:r>
      <w:r>
        <w:rPr>
          <w:rFonts w:asciiTheme="majorEastAsia" w:hAnsiTheme="majorEastAsia" w:eastAsiaTheme="majorEastAsia"/>
          <w:b w:val="0"/>
          <w:bCs w:val="0"/>
          <w:color w:val="000000" w:themeColor="text1"/>
          <w:sz w:val="24"/>
          <w:szCs w:val="24"/>
          <w14:textFill>
            <w14:solidFill>
              <w14:schemeClr w14:val="tx1"/>
            </w14:solidFill>
          </w14:textFill>
        </w:rPr>
        <w:fldChar w:fldCharType="end"/>
      </w:r>
    </w:p>
    <w:p>
      <w:pPr>
        <w:pStyle w:val="70"/>
        <w:rPr>
          <w:rFonts w:asciiTheme="majorEastAsia" w:hAnsiTheme="majorEastAsia" w:eastAsiaTheme="majorEastAsia" w:cstheme="minorBidi"/>
          <w:color w:val="000000" w:themeColor="text1"/>
          <w:sz w:val="24"/>
          <w14:textFill>
            <w14:solidFill>
              <w14:schemeClr w14:val="tx1"/>
            </w14:solidFill>
          </w14:textFill>
        </w:rPr>
      </w:pPr>
      <w:r>
        <w:fldChar w:fldCharType="begin"/>
      </w:r>
      <w:r>
        <w:instrText xml:space="preserve"> HYPERLINK \l "_Toc177995341" </w:instrText>
      </w:r>
      <w:r>
        <w:fldChar w:fldCharType="separate"/>
      </w:r>
      <w:r>
        <w:rPr>
          <w:rStyle w:val="139"/>
          <w:rFonts w:asciiTheme="majorEastAsia" w:hAnsiTheme="majorEastAsia" w:eastAsiaTheme="majorEastAsia"/>
          <w:color w:val="000000" w:themeColor="text1"/>
          <w:sz w:val="24"/>
          <w14:textFill>
            <w14:solidFill>
              <w14:schemeClr w14:val="tx1"/>
            </w14:solidFill>
          </w14:textFill>
        </w:rPr>
        <w:t>7.1 型式试验</w:t>
      </w:r>
      <w:r>
        <w:rPr>
          <w:rFonts w:asciiTheme="majorEastAsia" w:hAnsiTheme="majorEastAsia" w:eastAsiaTheme="majorEastAsia"/>
          <w:color w:val="000000" w:themeColor="text1"/>
          <w:sz w:val="24"/>
          <w14:textFill>
            <w14:solidFill>
              <w14:schemeClr w14:val="tx1"/>
            </w14:solidFill>
          </w14:textFill>
        </w:rPr>
        <w:tab/>
      </w:r>
      <w:r>
        <w:rPr>
          <w:rFonts w:asciiTheme="majorEastAsia" w:hAnsiTheme="majorEastAsia" w:eastAsiaTheme="majorEastAsia"/>
          <w:color w:val="000000" w:themeColor="text1"/>
          <w:sz w:val="24"/>
          <w14:textFill>
            <w14:solidFill>
              <w14:schemeClr w14:val="tx1"/>
            </w14:solidFill>
          </w14:textFill>
        </w:rPr>
        <w:fldChar w:fldCharType="begin"/>
      </w:r>
      <w:r>
        <w:rPr>
          <w:rFonts w:asciiTheme="majorEastAsia" w:hAnsiTheme="majorEastAsia" w:eastAsiaTheme="majorEastAsia"/>
          <w:color w:val="000000" w:themeColor="text1"/>
          <w:sz w:val="24"/>
          <w14:textFill>
            <w14:solidFill>
              <w14:schemeClr w14:val="tx1"/>
            </w14:solidFill>
          </w14:textFill>
        </w:rPr>
        <w:instrText xml:space="preserve"> PAGEREF _Toc177995341 \h </w:instrText>
      </w:r>
      <w:r>
        <w:rPr>
          <w:rFonts w:asciiTheme="majorEastAsia" w:hAnsiTheme="majorEastAsia" w:eastAsiaTheme="majorEastAsia"/>
          <w:color w:val="000000" w:themeColor="text1"/>
          <w:sz w:val="24"/>
          <w14:textFill>
            <w14:solidFill>
              <w14:schemeClr w14:val="tx1"/>
            </w14:solidFill>
          </w14:textFill>
        </w:rPr>
        <w:fldChar w:fldCharType="separate"/>
      </w:r>
      <w:r>
        <w:rPr>
          <w:rFonts w:asciiTheme="majorEastAsia" w:hAnsiTheme="majorEastAsia" w:eastAsiaTheme="majorEastAsia"/>
          <w:color w:val="000000" w:themeColor="text1"/>
          <w:sz w:val="24"/>
          <w14:textFill>
            <w14:solidFill>
              <w14:schemeClr w14:val="tx1"/>
            </w14:solidFill>
          </w14:textFill>
        </w:rPr>
        <w:t>45</w:t>
      </w:r>
      <w:r>
        <w:rPr>
          <w:rFonts w:asciiTheme="majorEastAsia" w:hAnsiTheme="majorEastAsia" w:eastAsiaTheme="majorEastAsia"/>
          <w:color w:val="000000" w:themeColor="text1"/>
          <w:sz w:val="24"/>
          <w14:textFill>
            <w14:solidFill>
              <w14:schemeClr w14:val="tx1"/>
            </w14:solidFill>
          </w14:textFill>
        </w:rPr>
        <w:fldChar w:fldCharType="end"/>
      </w:r>
      <w:r>
        <w:rPr>
          <w:rFonts w:asciiTheme="majorEastAsia" w:hAnsiTheme="majorEastAsia" w:eastAsiaTheme="majorEastAsia"/>
          <w:color w:val="000000" w:themeColor="text1"/>
          <w:sz w:val="24"/>
          <w14:textFill>
            <w14:solidFill>
              <w14:schemeClr w14:val="tx1"/>
            </w14:solidFill>
          </w14:textFill>
        </w:rPr>
        <w:fldChar w:fldCharType="end"/>
      </w:r>
    </w:p>
    <w:p>
      <w:pPr>
        <w:pStyle w:val="55"/>
        <w:tabs>
          <w:tab w:val="right" w:leader="dot" w:pos="8296"/>
        </w:tabs>
        <w:rPr>
          <w:rFonts w:asciiTheme="majorEastAsia" w:hAnsiTheme="majorEastAsia" w:eastAsiaTheme="majorEastAsia" w:cstheme="minorBidi"/>
          <w:b w:val="0"/>
          <w:bCs w:val="0"/>
          <w:caps w:val="0"/>
          <w:color w:val="000000" w:themeColor="text1"/>
          <w:sz w:val="24"/>
          <w:szCs w:val="24"/>
          <w14:textFill>
            <w14:solidFill>
              <w14:schemeClr w14:val="tx1"/>
            </w14:solidFill>
          </w14:textFill>
        </w:rPr>
      </w:pPr>
      <w:r>
        <w:fldChar w:fldCharType="begin"/>
      </w:r>
      <w:r>
        <w:instrText xml:space="preserve"> HYPERLINK \l "_Toc177995342" </w:instrText>
      </w:r>
      <w:r>
        <w:fldChar w:fldCharType="separate"/>
      </w:r>
      <w:r>
        <w:rPr>
          <w:rStyle w:val="139"/>
          <w:rFonts w:asciiTheme="majorEastAsia" w:hAnsiTheme="majorEastAsia" w:eastAsiaTheme="majorEastAsia"/>
          <w:b w:val="0"/>
          <w:bCs w:val="0"/>
          <w:color w:val="000000" w:themeColor="text1"/>
          <w:sz w:val="24"/>
          <w:szCs w:val="24"/>
          <w14:textFill>
            <w14:solidFill>
              <w14:schemeClr w14:val="tx1"/>
            </w14:solidFill>
          </w14:textFill>
        </w:rPr>
        <w:t>8 技术文件要求</w:t>
      </w:r>
      <w:r>
        <w:rPr>
          <w:rFonts w:asciiTheme="majorEastAsia" w:hAnsiTheme="majorEastAsia" w:eastAsiaTheme="majorEastAsia"/>
          <w:b w:val="0"/>
          <w:bCs w:val="0"/>
          <w:color w:val="000000" w:themeColor="text1"/>
          <w:sz w:val="24"/>
          <w:szCs w:val="24"/>
          <w14:textFill>
            <w14:solidFill>
              <w14:schemeClr w14:val="tx1"/>
            </w14:solidFill>
          </w14:textFill>
        </w:rPr>
        <w:tab/>
      </w:r>
      <w:r>
        <w:rPr>
          <w:rFonts w:asciiTheme="majorEastAsia" w:hAnsiTheme="majorEastAsia" w:eastAsiaTheme="majorEastAsia"/>
          <w:b w:val="0"/>
          <w:bCs w:val="0"/>
          <w:color w:val="000000" w:themeColor="text1"/>
          <w:sz w:val="24"/>
          <w:szCs w:val="24"/>
          <w14:textFill>
            <w14:solidFill>
              <w14:schemeClr w14:val="tx1"/>
            </w14:solidFill>
          </w14:textFill>
        </w:rPr>
        <w:fldChar w:fldCharType="begin"/>
      </w:r>
      <w:r>
        <w:rPr>
          <w:rFonts w:asciiTheme="majorEastAsia" w:hAnsiTheme="majorEastAsia" w:eastAsiaTheme="majorEastAsia"/>
          <w:b w:val="0"/>
          <w:bCs w:val="0"/>
          <w:color w:val="000000" w:themeColor="text1"/>
          <w:sz w:val="24"/>
          <w:szCs w:val="24"/>
          <w14:textFill>
            <w14:solidFill>
              <w14:schemeClr w14:val="tx1"/>
            </w14:solidFill>
          </w14:textFill>
        </w:rPr>
        <w:instrText xml:space="preserve"> PAGEREF _Toc177995342 \h </w:instrText>
      </w:r>
      <w:r>
        <w:rPr>
          <w:rFonts w:asciiTheme="majorEastAsia" w:hAnsiTheme="majorEastAsia" w:eastAsiaTheme="majorEastAsia"/>
          <w:b w:val="0"/>
          <w:bCs w:val="0"/>
          <w:color w:val="000000" w:themeColor="text1"/>
          <w:sz w:val="24"/>
          <w:szCs w:val="24"/>
          <w14:textFill>
            <w14:solidFill>
              <w14:schemeClr w14:val="tx1"/>
            </w14:solidFill>
          </w14:textFill>
        </w:rPr>
        <w:fldChar w:fldCharType="separate"/>
      </w:r>
      <w:r>
        <w:rPr>
          <w:rFonts w:asciiTheme="majorEastAsia" w:hAnsiTheme="majorEastAsia" w:eastAsiaTheme="majorEastAsia"/>
          <w:b w:val="0"/>
          <w:bCs w:val="0"/>
          <w:color w:val="000000" w:themeColor="text1"/>
          <w:sz w:val="24"/>
          <w:szCs w:val="24"/>
          <w14:textFill>
            <w14:solidFill>
              <w14:schemeClr w14:val="tx1"/>
            </w14:solidFill>
          </w14:textFill>
        </w:rPr>
        <w:t>45</w:t>
      </w:r>
      <w:r>
        <w:rPr>
          <w:rFonts w:asciiTheme="majorEastAsia" w:hAnsiTheme="majorEastAsia" w:eastAsiaTheme="majorEastAsia"/>
          <w:b w:val="0"/>
          <w:bCs w:val="0"/>
          <w:color w:val="000000" w:themeColor="text1"/>
          <w:sz w:val="24"/>
          <w:szCs w:val="24"/>
          <w14:textFill>
            <w14:solidFill>
              <w14:schemeClr w14:val="tx1"/>
            </w14:solidFill>
          </w14:textFill>
        </w:rPr>
        <w:fldChar w:fldCharType="end"/>
      </w:r>
      <w:r>
        <w:rPr>
          <w:rFonts w:asciiTheme="majorEastAsia" w:hAnsiTheme="majorEastAsia" w:eastAsiaTheme="majorEastAsia"/>
          <w:b w:val="0"/>
          <w:bCs w:val="0"/>
          <w:color w:val="000000" w:themeColor="text1"/>
          <w:sz w:val="24"/>
          <w:szCs w:val="24"/>
          <w14:textFill>
            <w14:solidFill>
              <w14:schemeClr w14:val="tx1"/>
            </w14:solidFill>
          </w14:textFill>
        </w:rPr>
        <w:fldChar w:fldCharType="end"/>
      </w:r>
    </w:p>
    <w:p>
      <w:pPr>
        <w:pStyle w:val="55"/>
        <w:tabs>
          <w:tab w:val="right" w:leader="dot" w:pos="8296"/>
        </w:tabs>
        <w:rPr>
          <w:rFonts w:asciiTheme="majorEastAsia" w:hAnsiTheme="majorEastAsia" w:eastAsiaTheme="majorEastAsia" w:cstheme="minorBidi"/>
          <w:b w:val="0"/>
          <w:bCs w:val="0"/>
          <w:caps w:val="0"/>
          <w:color w:val="000000" w:themeColor="text1"/>
          <w:sz w:val="24"/>
          <w:szCs w:val="24"/>
          <w14:textFill>
            <w14:solidFill>
              <w14:schemeClr w14:val="tx1"/>
            </w14:solidFill>
          </w14:textFill>
        </w:rPr>
      </w:pPr>
      <w:r>
        <w:fldChar w:fldCharType="begin"/>
      </w:r>
      <w:r>
        <w:instrText xml:space="preserve"> HYPERLINK \l "_Toc177995343" </w:instrText>
      </w:r>
      <w:r>
        <w:fldChar w:fldCharType="separate"/>
      </w:r>
      <w:r>
        <w:rPr>
          <w:rStyle w:val="139"/>
          <w:rFonts w:asciiTheme="majorEastAsia" w:hAnsiTheme="majorEastAsia" w:eastAsiaTheme="majorEastAsia"/>
          <w:b w:val="0"/>
          <w:bCs w:val="0"/>
          <w:color w:val="000000" w:themeColor="text1"/>
          <w:sz w:val="24"/>
          <w:szCs w:val="24"/>
          <w14:textFill>
            <w14:solidFill>
              <w14:schemeClr w14:val="tx1"/>
            </w14:solidFill>
          </w14:textFill>
        </w:rPr>
        <w:t>9 监造、包装、运输、安装及质量保证</w:t>
      </w:r>
      <w:r>
        <w:rPr>
          <w:rFonts w:asciiTheme="majorEastAsia" w:hAnsiTheme="majorEastAsia" w:eastAsiaTheme="majorEastAsia"/>
          <w:b w:val="0"/>
          <w:bCs w:val="0"/>
          <w:color w:val="000000" w:themeColor="text1"/>
          <w:sz w:val="24"/>
          <w:szCs w:val="24"/>
          <w14:textFill>
            <w14:solidFill>
              <w14:schemeClr w14:val="tx1"/>
            </w14:solidFill>
          </w14:textFill>
        </w:rPr>
        <w:tab/>
      </w:r>
      <w:r>
        <w:rPr>
          <w:rFonts w:asciiTheme="majorEastAsia" w:hAnsiTheme="majorEastAsia" w:eastAsiaTheme="majorEastAsia"/>
          <w:b w:val="0"/>
          <w:bCs w:val="0"/>
          <w:color w:val="000000" w:themeColor="text1"/>
          <w:sz w:val="24"/>
          <w:szCs w:val="24"/>
          <w14:textFill>
            <w14:solidFill>
              <w14:schemeClr w14:val="tx1"/>
            </w14:solidFill>
          </w14:textFill>
        </w:rPr>
        <w:fldChar w:fldCharType="begin"/>
      </w:r>
      <w:r>
        <w:rPr>
          <w:rFonts w:asciiTheme="majorEastAsia" w:hAnsiTheme="majorEastAsia" w:eastAsiaTheme="majorEastAsia"/>
          <w:b w:val="0"/>
          <w:bCs w:val="0"/>
          <w:color w:val="000000" w:themeColor="text1"/>
          <w:sz w:val="24"/>
          <w:szCs w:val="24"/>
          <w14:textFill>
            <w14:solidFill>
              <w14:schemeClr w14:val="tx1"/>
            </w14:solidFill>
          </w14:textFill>
        </w:rPr>
        <w:instrText xml:space="preserve"> PAGEREF _Toc177995343 \h </w:instrText>
      </w:r>
      <w:r>
        <w:rPr>
          <w:rFonts w:asciiTheme="majorEastAsia" w:hAnsiTheme="majorEastAsia" w:eastAsiaTheme="majorEastAsia"/>
          <w:b w:val="0"/>
          <w:bCs w:val="0"/>
          <w:color w:val="000000" w:themeColor="text1"/>
          <w:sz w:val="24"/>
          <w:szCs w:val="24"/>
          <w14:textFill>
            <w14:solidFill>
              <w14:schemeClr w14:val="tx1"/>
            </w14:solidFill>
          </w14:textFill>
        </w:rPr>
        <w:fldChar w:fldCharType="separate"/>
      </w:r>
      <w:r>
        <w:rPr>
          <w:rFonts w:asciiTheme="majorEastAsia" w:hAnsiTheme="majorEastAsia" w:eastAsiaTheme="majorEastAsia"/>
          <w:b w:val="0"/>
          <w:bCs w:val="0"/>
          <w:color w:val="000000" w:themeColor="text1"/>
          <w:sz w:val="24"/>
          <w:szCs w:val="24"/>
          <w14:textFill>
            <w14:solidFill>
              <w14:schemeClr w14:val="tx1"/>
            </w14:solidFill>
          </w14:textFill>
        </w:rPr>
        <w:t>46</w:t>
      </w:r>
      <w:r>
        <w:rPr>
          <w:rFonts w:asciiTheme="majorEastAsia" w:hAnsiTheme="majorEastAsia" w:eastAsiaTheme="majorEastAsia"/>
          <w:b w:val="0"/>
          <w:bCs w:val="0"/>
          <w:color w:val="000000" w:themeColor="text1"/>
          <w:sz w:val="24"/>
          <w:szCs w:val="24"/>
          <w14:textFill>
            <w14:solidFill>
              <w14:schemeClr w14:val="tx1"/>
            </w14:solidFill>
          </w14:textFill>
        </w:rPr>
        <w:fldChar w:fldCharType="end"/>
      </w:r>
      <w:r>
        <w:rPr>
          <w:rFonts w:asciiTheme="majorEastAsia" w:hAnsiTheme="majorEastAsia" w:eastAsiaTheme="majorEastAsia"/>
          <w:b w:val="0"/>
          <w:bCs w:val="0"/>
          <w:color w:val="000000" w:themeColor="text1"/>
          <w:sz w:val="24"/>
          <w:szCs w:val="24"/>
          <w14:textFill>
            <w14:solidFill>
              <w14:schemeClr w14:val="tx1"/>
            </w14:solidFill>
          </w14:textFill>
        </w:rPr>
        <w:fldChar w:fldCharType="end"/>
      </w:r>
    </w:p>
    <w:p>
      <w:pPr>
        <w:pStyle w:val="70"/>
        <w:rPr>
          <w:rFonts w:asciiTheme="majorEastAsia" w:hAnsiTheme="majorEastAsia" w:eastAsiaTheme="majorEastAsia" w:cstheme="minorBidi"/>
          <w:color w:val="000000" w:themeColor="text1"/>
          <w:sz w:val="24"/>
          <w14:textFill>
            <w14:solidFill>
              <w14:schemeClr w14:val="tx1"/>
            </w14:solidFill>
          </w14:textFill>
        </w:rPr>
      </w:pPr>
      <w:r>
        <w:fldChar w:fldCharType="begin"/>
      </w:r>
      <w:r>
        <w:instrText xml:space="preserve"> HYPERLINK \l "_Toc177995344" </w:instrText>
      </w:r>
      <w:r>
        <w:fldChar w:fldCharType="separate"/>
      </w:r>
      <w:r>
        <w:rPr>
          <w:rStyle w:val="139"/>
          <w:rFonts w:asciiTheme="majorEastAsia" w:hAnsiTheme="majorEastAsia" w:eastAsiaTheme="majorEastAsia"/>
          <w:color w:val="000000" w:themeColor="text1"/>
          <w:sz w:val="24"/>
          <w14:textFill>
            <w14:solidFill>
              <w14:schemeClr w14:val="tx1"/>
            </w14:solidFill>
          </w14:textFill>
        </w:rPr>
        <w:t>9.1 监造</w:t>
      </w:r>
      <w:r>
        <w:rPr>
          <w:rFonts w:asciiTheme="majorEastAsia" w:hAnsiTheme="majorEastAsia" w:eastAsiaTheme="majorEastAsia"/>
          <w:color w:val="000000" w:themeColor="text1"/>
          <w:sz w:val="24"/>
          <w14:textFill>
            <w14:solidFill>
              <w14:schemeClr w14:val="tx1"/>
            </w14:solidFill>
          </w14:textFill>
        </w:rPr>
        <w:tab/>
      </w:r>
      <w:r>
        <w:rPr>
          <w:rFonts w:asciiTheme="majorEastAsia" w:hAnsiTheme="majorEastAsia" w:eastAsiaTheme="majorEastAsia"/>
          <w:color w:val="000000" w:themeColor="text1"/>
          <w:sz w:val="24"/>
          <w14:textFill>
            <w14:solidFill>
              <w14:schemeClr w14:val="tx1"/>
            </w14:solidFill>
          </w14:textFill>
        </w:rPr>
        <w:fldChar w:fldCharType="begin"/>
      </w:r>
      <w:r>
        <w:rPr>
          <w:rFonts w:asciiTheme="majorEastAsia" w:hAnsiTheme="majorEastAsia" w:eastAsiaTheme="majorEastAsia"/>
          <w:color w:val="000000" w:themeColor="text1"/>
          <w:sz w:val="24"/>
          <w14:textFill>
            <w14:solidFill>
              <w14:schemeClr w14:val="tx1"/>
            </w14:solidFill>
          </w14:textFill>
        </w:rPr>
        <w:instrText xml:space="preserve"> PAGEREF _Toc177995344 \h </w:instrText>
      </w:r>
      <w:r>
        <w:rPr>
          <w:rFonts w:asciiTheme="majorEastAsia" w:hAnsiTheme="majorEastAsia" w:eastAsiaTheme="majorEastAsia"/>
          <w:color w:val="000000" w:themeColor="text1"/>
          <w:sz w:val="24"/>
          <w14:textFill>
            <w14:solidFill>
              <w14:schemeClr w14:val="tx1"/>
            </w14:solidFill>
          </w14:textFill>
        </w:rPr>
        <w:fldChar w:fldCharType="separate"/>
      </w:r>
      <w:r>
        <w:rPr>
          <w:rFonts w:asciiTheme="majorEastAsia" w:hAnsiTheme="majorEastAsia" w:eastAsiaTheme="majorEastAsia"/>
          <w:color w:val="000000" w:themeColor="text1"/>
          <w:sz w:val="24"/>
          <w14:textFill>
            <w14:solidFill>
              <w14:schemeClr w14:val="tx1"/>
            </w14:solidFill>
          </w14:textFill>
        </w:rPr>
        <w:t>46</w:t>
      </w:r>
      <w:r>
        <w:rPr>
          <w:rFonts w:asciiTheme="majorEastAsia" w:hAnsiTheme="majorEastAsia" w:eastAsiaTheme="majorEastAsia"/>
          <w:color w:val="000000" w:themeColor="text1"/>
          <w:sz w:val="24"/>
          <w14:textFill>
            <w14:solidFill>
              <w14:schemeClr w14:val="tx1"/>
            </w14:solidFill>
          </w14:textFill>
        </w:rPr>
        <w:fldChar w:fldCharType="end"/>
      </w:r>
      <w:r>
        <w:rPr>
          <w:rFonts w:asciiTheme="majorEastAsia" w:hAnsiTheme="majorEastAsia" w:eastAsiaTheme="majorEastAsia"/>
          <w:color w:val="000000" w:themeColor="text1"/>
          <w:sz w:val="24"/>
          <w14:textFill>
            <w14:solidFill>
              <w14:schemeClr w14:val="tx1"/>
            </w14:solidFill>
          </w14:textFill>
        </w:rPr>
        <w:fldChar w:fldCharType="end"/>
      </w:r>
    </w:p>
    <w:p>
      <w:pPr>
        <w:pStyle w:val="70"/>
        <w:rPr>
          <w:rFonts w:asciiTheme="majorEastAsia" w:hAnsiTheme="majorEastAsia" w:eastAsiaTheme="majorEastAsia" w:cstheme="minorBidi"/>
          <w:color w:val="000000" w:themeColor="text1"/>
          <w:sz w:val="24"/>
          <w14:textFill>
            <w14:solidFill>
              <w14:schemeClr w14:val="tx1"/>
            </w14:solidFill>
          </w14:textFill>
        </w:rPr>
      </w:pPr>
      <w:r>
        <w:fldChar w:fldCharType="begin"/>
      </w:r>
      <w:r>
        <w:instrText xml:space="preserve"> HYPERLINK \l "_Toc177995345" </w:instrText>
      </w:r>
      <w:r>
        <w:fldChar w:fldCharType="separate"/>
      </w:r>
      <w:r>
        <w:rPr>
          <w:rStyle w:val="139"/>
          <w:rFonts w:asciiTheme="majorEastAsia" w:hAnsiTheme="majorEastAsia" w:eastAsiaTheme="majorEastAsia"/>
          <w:color w:val="000000" w:themeColor="text1"/>
          <w:sz w:val="24"/>
          <w14:textFill>
            <w14:solidFill>
              <w14:schemeClr w14:val="tx1"/>
            </w14:solidFill>
          </w14:textFill>
        </w:rPr>
        <w:t>9.2 包装</w:t>
      </w:r>
      <w:r>
        <w:rPr>
          <w:rFonts w:asciiTheme="majorEastAsia" w:hAnsiTheme="majorEastAsia" w:eastAsiaTheme="majorEastAsia"/>
          <w:color w:val="000000" w:themeColor="text1"/>
          <w:sz w:val="24"/>
          <w14:textFill>
            <w14:solidFill>
              <w14:schemeClr w14:val="tx1"/>
            </w14:solidFill>
          </w14:textFill>
        </w:rPr>
        <w:tab/>
      </w:r>
      <w:r>
        <w:rPr>
          <w:rFonts w:asciiTheme="majorEastAsia" w:hAnsiTheme="majorEastAsia" w:eastAsiaTheme="majorEastAsia"/>
          <w:color w:val="000000" w:themeColor="text1"/>
          <w:sz w:val="24"/>
          <w14:textFill>
            <w14:solidFill>
              <w14:schemeClr w14:val="tx1"/>
            </w14:solidFill>
          </w14:textFill>
        </w:rPr>
        <w:fldChar w:fldCharType="begin"/>
      </w:r>
      <w:r>
        <w:rPr>
          <w:rFonts w:asciiTheme="majorEastAsia" w:hAnsiTheme="majorEastAsia" w:eastAsiaTheme="majorEastAsia"/>
          <w:color w:val="000000" w:themeColor="text1"/>
          <w:sz w:val="24"/>
          <w14:textFill>
            <w14:solidFill>
              <w14:schemeClr w14:val="tx1"/>
            </w14:solidFill>
          </w14:textFill>
        </w:rPr>
        <w:instrText xml:space="preserve"> PAGEREF _Toc177995345 \h </w:instrText>
      </w:r>
      <w:r>
        <w:rPr>
          <w:rFonts w:asciiTheme="majorEastAsia" w:hAnsiTheme="majorEastAsia" w:eastAsiaTheme="majorEastAsia"/>
          <w:color w:val="000000" w:themeColor="text1"/>
          <w:sz w:val="24"/>
          <w14:textFill>
            <w14:solidFill>
              <w14:schemeClr w14:val="tx1"/>
            </w14:solidFill>
          </w14:textFill>
        </w:rPr>
        <w:fldChar w:fldCharType="separate"/>
      </w:r>
      <w:r>
        <w:rPr>
          <w:rFonts w:asciiTheme="majorEastAsia" w:hAnsiTheme="majorEastAsia" w:eastAsiaTheme="majorEastAsia"/>
          <w:color w:val="000000" w:themeColor="text1"/>
          <w:sz w:val="24"/>
          <w14:textFill>
            <w14:solidFill>
              <w14:schemeClr w14:val="tx1"/>
            </w14:solidFill>
          </w14:textFill>
        </w:rPr>
        <w:t>46</w:t>
      </w:r>
      <w:r>
        <w:rPr>
          <w:rFonts w:asciiTheme="majorEastAsia" w:hAnsiTheme="majorEastAsia" w:eastAsiaTheme="majorEastAsia"/>
          <w:color w:val="000000" w:themeColor="text1"/>
          <w:sz w:val="24"/>
          <w14:textFill>
            <w14:solidFill>
              <w14:schemeClr w14:val="tx1"/>
            </w14:solidFill>
          </w14:textFill>
        </w:rPr>
        <w:fldChar w:fldCharType="end"/>
      </w:r>
      <w:r>
        <w:rPr>
          <w:rFonts w:asciiTheme="majorEastAsia" w:hAnsiTheme="majorEastAsia" w:eastAsiaTheme="majorEastAsia"/>
          <w:color w:val="000000" w:themeColor="text1"/>
          <w:sz w:val="24"/>
          <w14:textFill>
            <w14:solidFill>
              <w14:schemeClr w14:val="tx1"/>
            </w14:solidFill>
          </w14:textFill>
        </w:rPr>
        <w:fldChar w:fldCharType="end"/>
      </w:r>
    </w:p>
    <w:p>
      <w:pPr>
        <w:pStyle w:val="70"/>
        <w:rPr>
          <w:rFonts w:asciiTheme="majorEastAsia" w:hAnsiTheme="majorEastAsia" w:eastAsiaTheme="majorEastAsia" w:cstheme="minorBidi"/>
          <w:color w:val="000000" w:themeColor="text1"/>
          <w:sz w:val="24"/>
          <w14:textFill>
            <w14:solidFill>
              <w14:schemeClr w14:val="tx1"/>
            </w14:solidFill>
          </w14:textFill>
        </w:rPr>
      </w:pPr>
      <w:r>
        <w:fldChar w:fldCharType="begin"/>
      </w:r>
      <w:r>
        <w:instrText xml:space="preserve"> HYPERLINK \l "_Toc177995346" </w:instrText>
      </w:r>
      <w:r>
        <w:fldChar w:fldCharType="separate"/>
      </w:r>
      <w:r>
        <w:rPr>
          <w:rStyle w:val="139"/>
          <w:rFonts w:asciiTheme="majorEastAsia" w:hAnsiTheme="majorEastAsia" w:eastAsiaTheme="majorEastAsia"/>
          <w:color w:val="000000" w:themeColor="text1"/>
          <w:sz w:val="24"/>
          <w14:textFill>
            <w14:solidFill>
              <w14:schemeClr w14:val="tx1"/>
            </w14:solidFill>
          </w14:textFill>
        </w:rPr>
        <w:t>9.3 运输</w:t>
      </w:r>
      <w:r>
        <w:rPr>
          <w:rFonts w:asciiTheme="majorEastAsia" w:hAnsiTheme="majorEastAsia" w:eastAsiaTheme="majorEastAsia"/>
          <w:color w:val="000000" w:themeColor="text1"/>
          <w:sz w:val="24"/>
          <w14:textFill>
            <w14:solidFill>
              <w14:schemeClr w14:val="tx1"/>
            </w14:solidFill>
          </w14:textFill>
        </w:rPr>
        <w:tab/>
      </w:r>
      <w:r>
        <w:rPr>
          <w:rFonts w:asciiTheme="majorEastAsia" w:hAnsiTheme="majorEastAsia" w:eastAsiaTheme="majorEastAsia"/>
          <w:color w:val="000000" w:themeColor="text1"/>
          <w:sz w:val="24"/>
          <w14:textFill>
            <w14:solidFill>
              <w14:schemeClr w14:val="tx1"/>
            </w14:solidFill>
          </w14:textFill>
        </w:rPr>
        <w:fldChar w:fldCharType="begin"/>
      </w:r>
      <w:r>
        <w:rPr>
          <w:rFonts w:asciiTheme="majorEastAsia" w:hAnsiTheme="majorEastAsia" w:eastAsiaTheme="majorEastAsia"/>
          <w:color w:val="000000" w:themeColor="text1"/>
          <w:sz w:val="24"/>
          <w14:textFill>
            <w14:solidFill>
              <w14:schemeClr w14:val="tx1"/>
            </w14:solidFill>
          </w14:textFill>
        </w:rPr>
        <w:instrText xml:space="preserve"> PAGEREF _Toc177995346 \h </w:instrText>
      </w:r>
      <w:r>
        <w:rPr>
          <w:rFonts w:asciiTheme="majorEastAsia" w:hAnsiTheme="majorEastAsia" w:eastAsiaTheme="majorEastAsia"/>
          <w:color w:val="000000" w:themeColor="text1"/>
          <w:sz w:val="24"/>
          <w14:textFill>
            <w14:solidFill>
              <w14:schemeClr w14:val="tx1"/>
            </w14:solidFill>
          </w14:textFill>
        </w:rPr>
        <w:fldChar w:fldCharType="separate"/>
      </w:r>
      <w:r>
        <w:rPr>
          <w:rFonts w:asciiTheme="majorEastAsia" w:hAnsiTheme="majorEastAsia" w:eastAsiaTheme="majorEastAsia"/>
          <w:color w:val="000000" w:themeColor="text1"/>
          <w:sz w:val="24"/>
          <w14:textFill>
            <w14:solidFill>
              <w14:schemeClr w14:val="tx1"/>
            </w14:solidFill>
          </w14:textFill>
        </w:rPr>
        <w:t>46</w:t>
      </w:r>
      <w:r>
        <w:rPr>
          <w:rFonts w:asciiTheme="majorEastAsia" w:hAnsiTheme="majorEastAsia" w:eastAsiaTheme="majorEastAsia"/>
          <w:color w:val="000000" w:themeColor="text1"/>
          <w:sz w:val="24"/>
          <w14:textFill>
            <w14:solidFill>
              <w14:schemeClr w14:val="tx1"/>
            </w14:solidFill>
          </w14:textFill>
        </w:rPr>
        <w:fldChar w:fldCharType="end"/>
      </w:r>
      <w:r>
        <w:rPr>
          <w:rFonts w:asciiTheme="majorEastAsia" w:hAnsiTheme="majorEastAsia" w:eastAsiaTheme="majorEastAsia"/>
          <w:color w:val="000000" w:themeColor="text1"/>
          <w:sz w:val="24"/>
          <w14:textFill>
            <w14:solidFill>
              <w14:schemeClr w14:val="tx1"/>
            </w14:solidFill>
          </w14:textFill>
        </w:rPr>
        <w:fldChar w:fldCharType="end"/>
      </w:r>
    </w:p>
    <w:p>
      <w:pPr>
        <w:pStyle w:val="70"/>
        <w:rPr>
          <w:rFonts w:asciiTheme="majorEastAsia" w:hAnsiTheme="majorEastAsia" w:eastAsiaTheme="majorEastAsia" w:cstheme="minorBidi"/>
          <w:color w:val="000000" w:themeColor="text1"/>
          <w:sz w:val="24"/>
          <w14:textFill>
            <w14:solidFill>
              <w14:schemeClr w14:val="tx1"/>
            </w14:solidFill>
          </w14:textFill>
        </w:rPr>
      </w:pPr>
      <w:r>
        <w:fldChar w:fldCharType="begin"/>
      </w:r>
      <w:r>
        <w:instrText xml:space="preserve"> HYPERLINK \l "_Toc177995347" </w:instrText>
      </w:r>
      <w:r>
        <w:fldChar w:fldCharType="separate"/>
      </w:r>
      <w:r>
        <w:rPr>
          <w:rStyle w:val="139"/>
          <w:rFonts w:asciiTheme="majorEastAsia" w:hAnsiTheme="majorEastAsia" w:eastAsiaTheme="majorEastAsia"/>
          <w:color w:val="000000" w:themeColor="text1"/>
          <w:sz w:val="24"/>
          <w14:textFill>
            <w14:solidFill>
              <w14:schemeClr w14:val="tx1"/>
            </w14:solidFill>
          </w14:textFill>
        </w:rPr>
        <w:t>9.4 安装指导</w:t>
      </w:r>
      <w:r>
        <w:rPr>
          <w:rFonts w:asciiTheme="majorEastAsia" w:hAnsiTheme="majorEastAsia" w:eastAsiaTheme="majorEastAsia"/>
          <w:color w:val="000000" w:themeColor="text1"/>
          <w:sz w:val="24"/>
          <w14:textFill>
            <w14:solidFill>
              <w14:schemeClr w14:val="tx1"/>
            </w14:solidFill>
          </w14:textFill>
        </w:rPr>
        <w:tab/>
      </w:r>
      <w:r>
        <w:rPr>
          <w:rFonts w:asciiTheme="majorEastAsia" w:hAnsiTheme="majorEastAsia" w:eastAsiaTheme="majorEastAsia"/>
          <w:color w:val="000000" w:themeColor="text1"/>
          <w:sz w:val="24"/>
          <w14:textFill>
            <w14:solidFill>
              <w14:schemeClr w14:val="tx1"/>
            </w14:solidFill>
          </w14:textFill>
        </w:rPr>
        <w:fldChar w:fldCharType="begin"/>
      </w:r>
      <w:r>
        <w:rPr>
          <w:rFonts w:asciiTheme="majorEastAsia" w:hAnsiTheme="majorEastAsia" w:eastAsiaTheme="majorEastAsia"/>
          <w:color w:val="000000" w:themeColor="text1"/>
          <w:sz w:val="24"/>
          <w14:textFill>
            <w14:solidFill>
              <w14:schemeClr w14:val="tx1"/>
            </w14:solidFill>
          </w14:textFill>
        </w:rPr>
        <w:instrText xml:space="preserve"> PAGEREF _Toc177995347 \h </w:instrText>
      </w:r>
      <w:r>
        <w:rPr>
          <w:rFonts w:asciiTheme="majorEastAsia" w:hAnsiTheme="majorEastAsia" w:eastAsiaTheme="majorEastAsia"/>
          <w:color w:val="000000" w:themeColor="text1"/>
          <w:sz w:val="24"/>
          <w14:textFill>
            <w14:solidFill>
              <w14:schemeClr w14:val="tx1"/>
            </w14:solidFill>
          </w14:textFill>
        </w:rPr>
        <w:fldChar w:fldCharType="separate"/>
      </w:r>
      <w:r>
        <w:rPr>
          <w:rFonts w:asciiTheme="majorEastAsia" w:hAnsiTheme="majorEastAsia" w:eastAsiaTheme="majorEastAsia"/>
          <w:color w:val="000000" w:themeColor="text1"/>
          <w:sz w:val="24"/>
          <w14:textFill>
            <w14:solidFill>
              <w14:schemeClr w14:val="tx1"/>
            </w14:solidFill>
          </w14:textFill>
        </w:rPr>
        <w:t>46</w:t>
      </w:r>
      <w:r>
        <w:rPr>
          <w:rFonts w:asciiTheme="majorEastAsia" w:hAnsiTheme="majorEastAsia" w:eastAsiaTheme="majorEastAsia"/>
          <w:color w:val="000000" w:themeColor="text1"/>
          <w:sz w:val="24"/>
          <w14:textFill>
            <w14:solidFill>
              <w14:schemeClr w14:val="tx1"/>
            </w14:solidFill>
          </w14:textFill>
        </w:rPr>
        <w:fldChar w:fldCharType="end"/>
      </w:r>
      <w:r>
        <w:rPr>
          <w:rFonts w:asciiTheme="majorEastAsia" w:hAnsiTheme="majorEastAsia" w:eastAsiaTheme="majorEastAsia"/>
          <w:color w:val="000000" w:themeColor="text1"/>
          <w:sz w:val="24"/>
          <w14:textFill>
            <w14:solidFill>
              <w14:schemeClr w14:val="tx1"/>
            </w14:solidFill>
          </w14:textFill>
        </w:rPr>
        <w:fldChar w:fldCharType="end"/>
      </w:r>
    </w:p>
    <w:p>
      <w:pPr>
        <w:pStyle w:val="70"/>
        <w:rPr>
          <w:rFonts w:asciiTheme="majorEastAsia" w:hAnsiTheme="majorEastAsia" w:eastAsiaTheme="majorEastAsia" w:cstheme="minorBidi"/>
          <w:color w:val="000000" w:themeColor="text1"/>
          <w:sz w:val="24"/>
          <w14:textFill>
            <w14:solidFill>
              <w14:schemeClr w14:val="tx1"/>
            </w14:solidFill>
          </w14:textFill>
        </w:rPr>
      </w:pPr>
      <w:r>
        <w:fldChar w:fldCharType="begin"/>
      </w:r>
      <w:r>
        <w:instrText xml:space="preserve"> HYPERLINK \l "_Toc177995348" </w:instrText>
      </w:r>
      <w:r>
        <w:fldChar w:fldCharType="separate"/>
      </w:r>
      <w:r>
        <w:rPr>
          <w:rStyle w:val="139"/>
          <w:rFonts w:asciiTheme="majorEastAsia" w:hAnsiTheme="majorEastAsia" w:eastAsiaTheme="majorEastAsia"/>
          <w:color w:val="000000" w:themeColor="text1"/>
          <w:sz w:val="24"/>
          <w14:textFill>
            <w14:solidFill>
              <w14:schemeClr w14:val="tx1"/>
            </w14:solidFill>
          </w14:textFill>
        </w:rPr>
        <w:t>9.5 质量保证</w:t>
      </w:r>
      <w:r>
        <w:rPr>
          <w:rFonts w:asciiTheme="majorEastAsia" w:hAnsiTheme="majorEastAsia" w:eastAsiaTheme="majorEastAsia"/>
          <w:color w:val="000000" w:themeColor="text1"/>
          <w:sz w:val="24"/>
          <w14:textFill>
            <w14:solidFill>
              <w14:schemeClr w14:val="tx1"/>
            </w14:solidFill>
          </w14:textFill>
        </w:rPr>
        <w:tab/>
      </w:r>
      <w:r>
        <w:rPr>
          <w:rFonts w:asciiTheme="majorEastAsia" w:hAnsiTheme="majorEastAsia" w:eastAsiaTheme="majorEastAsia"/>
          <w:color w:val="000000" w:themeColor="text1"/>
          <w:sz w:val="24"/>
          <w14:textFill>
            <w14:solidFill>
              <w14:schemeClr w14:val="tx1"/>
            </w14:solidFill>
          </w14:textFill>
        </w:rPr>
        <w:fldChar w:fldCharType="begin"/>
      </w:r>
      <w:r>
        <w:rPr>
          <w:rFonts w:asciiTheme="majorEastAsia" w:hAnsiTheme="majorEastAsia" w:eastAsiaTheme="majorEastAsia"/>
          <w:color w:val="000000" w:themeColor="text1"/>
          <w:sz w:val="24"/>
          <w14:textFill>
            <w14:solidFill>
              <w14:schemeClr w14:val="tx1"/>
            </w14:solidFill>
          </w14:textFill>
        </w:rPr>
        <w:instrText xml:space="preserve"> PAGEREF _Toc177995348 \h </w:instrText>
      </w:r>
      <w:r>
        <w:rPr>
          <w:rFonts w:asciiTheme="majorEastAsia" w:hAnsiTheme="majorEastAsia" w:eastAsiaTheme="majorEastAsia"/>
          <w:color w:val="000000" w:themeColor="text1"/>
          <w:sz w:val="24"/>
          <w14:textFill>
            <w14:solidFill>
              <w14:schemeClr w14:val="tx1"/>
            </w14:solidFill>
          </w14:textFill>
        </w:rPr>
        <w:fldChar w:fldCharType="separate"/>
      </w:r>
      <w:r>
        <w:rPr>
          <w:rFonts w:asciiTheme="majorEastAsia" w:hAnsiTheme="majorEastAsia" w:eastAsiaTheme="majorEastAsia"/>
          <w:color w:val="000000" w:themeColor="text1"/>
          <w:sz w:val="24"/>
          <w14:textFill>
            <w14:solidFill>
              <w14:schemeClr w14:val="tx1"/>
            </w14:solidFill>
          </w14:textFill>
        </w:rPr>
        <w:t>46</w:t>
      </w:r>
      <w:r>
        <w:rPr>
          <w:rFonts w:asciiTheme="majorEastAsia" w:hAnsiTheme="majorEastAsia" w:eastAsiaTheme="majorEastAsia"/>
          <w:color w:val="000000" w:themeColor="text1"/>
          <w:sz w:val="24"/>
          <w14:textFill>
            <w14:solidFill>
              <w14:schemeClr w14:val="tx1"/>
            </w14:solidFill>
          </w14:textFill>
        </w:rPr>
        <w:fldChar w:fldCharType="end"/>
      </w:r>
      <w:r>
        <w:rPr>
          <w:rFonts w:asciiTheme="majorEastAsia" w:hAnsiTheme="majorEastAsia" w:eastAsiaTheme="majorEastAsia"/>
          <w:color w:val="000000" w:themeColor="text1"/>
          <w:sz w:val="24"/>
          <w14:textFill>
            <w14:solidFill>
              <w14:schemeClr w14:val="tx1"/>
            </w14:solidFill>
          </w14:textFill>
        </w:rPr>
        <w:fldChar w:fldCharType="end"/>
      </w:r>
    </w:p>
    <w:p>
      <w:pPr>
        <w:pStyle w:val="55"/>
        <w:tabs>
          <w:tab w:val="right" w:leader="dot" w:pos="8296"/>
        </w:tabs>
        <w:rPr>
          <w:rFonts w:asciiTheme="majorEastAsia" w:hAnsiTheme="majorEastAsia" w:eastAsiaTheme="majorEastAsia" w:cstheme="minorBidi"/>
          <w:b w:val="0"/>
          <w:bCs w:val="0"/>
          <w:caps w:val="0"/>
          <w:color w:val="000000" w:themeColor="text1"/>
          <w:sz w:val="24"/>
          <w:szCs w:val="24"/>
          <w14:textFill>
            <w14:solidFill>
              <w14:schemeClr w14:val="tx1"/>
            </w14:solidFill>
          </w14:textFill>
        </w:rPr>
      </w:pPr>
      <w:r>
        <w:fldChar w:fldCharType="begin"/>
      </w:r>
      <w:r>
        <w:instrText xml:space="preserve"> HYPERLINK \l "_Toc177995349" </w:instrText>
      </w:r>
      <w:r>
        <w:fldChar w:fldCharType="separate"/>
      </w:r>
      <w:r>
        <w:rPr>
          <w:rStyle w:val="139"/>
          <w:rFonts w:asciiTheme="majorEastAsia" w:hAnsiTheme="majorEastAsia" w:eastAsiaTheme="majorEastAsia"/>
          <w:b w:val="0"/>
          <w:bCs w:val="0"/>
          <w:color w:val="000000" w:themeColor="text1"/>
          <w:sz w:val="24"/>
          <w:szCs w:val="24"/>
          <w14:textFill>
            <w14:solidFill>
              <w14:schemeClr w14:val="tx1"/>
            </w14:solidFill>
          </w14:textFill>
        </w:rPr>
        <w:t>10 设备技术参数和性能要求响应表</w:t>
      </w:r>
      <w:r>
        <w:rPr>
          <w:rFonts w:asciiTheme="majorEastAsia" w:hAnsiTheme="majorEastAsia" w:eastAsiaTheme="majorEastAsia"/>
          <w:b w:val="0"/>
          <w:bCs w:val="0"/>
          <w:color w:val="000000" w:themeColor="text1"/>
          <w:sz w:val="24"/>
          <w:szCs w:val="24"/>
          <w14:textFill>
            <w14:solidFill>
              <w14:schemeClr w14:val="tx1"/>
            </w14:solidFill>
          </w14:textFill>
        </w:rPr>
        <w:tab/>
      </w:r>
      <w:r>
        <w:rPr>
          <w:rFonts w:asciiTheme="majorEastAsia" w:hAnsiTheme="majorEastAsia" w:eastAsiaTheme="majorEastAsia"/>
          <w:b w:val="0"/>
          <w:bCs w:val="0"/>
          <w:color w:val="000000" w:themeColor="text1"/>
          <w:sz w:val="24"/>
          <w:szCs w:val="24"/>
          <w14:textFill>
            <w14:solidFill>
              <w14:schemeClr w14:val="tx1"/>
            </w14:solidFill>
          </w14:textFill>
        </w:rPr>
        <w:fldChar w:fldCharType="begin"/>
      </w:r>
      <w:r>
        <w:rPr>
          <w:rFonts w:asciiTheme="majorEastAsia" w:hAnsiTheme="majorEastAsia" w:eastAsiaTheme="majorEastAsia"/>
          <w:b w:val="0"/>
          <w:bCs w:val="0"/>
          <w:color w:val="000000" w:themeColor="text1"/>
          <w:sz w:val="24"/>
          <w:szCs w:val="24"/>
          <w14:textFill>
            <w14:solidFill>
              <w14:schemeClr w14:val="tx1"/>
            </w14:solidFill>
          </w14:textFill>
        </w:rPr>
        <w:instrText xml:space="preserve"> PAGEREF _Toc177995349 \h </w:instrText>
      </w:r>
      <w:r>
        <w:rPr>
          <w:rFonts w:asciiTheme="majorEastAsia" w:hAnsiTheme="majorEastAsia" w:eastAsiaTheme="majorEastAsia"/>
          <w:b w:val="0"/>
          <w:bCs w:val="0"/>
          <w:color w:val="000000" w:themeColor="text1"/>
          <w:sz w:val="24"/>
          <w:szCs w:val="24"/>
          <w14:textFill>
            <w14:solidFill>
              <w14:schemeClr w14:val="tx1"/>
            </w14:solidFill>
          </w14:textFill>
        </w:rPr>
        <w:fldChar w:fldCharType="separate"/>
      </w:r>
      <w:r>
        <w:rPr>
          <w:rFonts w:asciiTheme="majorEastAsia" w:hAnsiTheme="majorEastAsia" w:eastAsiaTheme="majorEastAsia"/>
          <w:b w:val="0"/>
          <w:bCs w:val="0"/>
          <w:color w:val="000000" w:themeColor="text1"/>
          <w:sz w:val="24"/>
          <w:szCs w:val="24"/>
          <w14:textFill>
            <w14:solidFill>
              <w14:schemeClr w14:val="tx1"/>
            </w14:solidFill>
          </w14:textFill>
        </w:rPr>
        <w:t>47</w:t>
      </w:r>
      <w:r>
        <w:rPr>
          <w:rFonts w:asciiTheme="majorEastAsia" w:hAnsiTheme="majorEastAsia" w:eastAsiaTheme="majorEastAsia"/>
          <w:b w:val="0"/>
          <w:bCs w:val="0"/>
          <w:color w:val="000000" w:themeColor="text1"/>
          <w:sz w:val="24"/>
          <w:szCs w:val="24"/>
          <w14:textFill>
            <w14:solidFill>
              <w14:schemeClr w14:val="tx1"/>
            </w14:solidFill>
          </w14:textFill>
        </w:rPr>
        <w:fldChar w:fldCharType="end"/>
      </w:r>
      <w:r>
        <w:rPr>
          <w:rFonts w:asciiTheme="majorEastAsia" w:hAnsiTheme="majorEastAsia" w:eastAsiaTheme="majorEastAsia"/>
          <w:b w:val="0"/>
          <w:bCs w:val="0"/>
          <w:color w:val="000000" w:themeColor="text1"/>
          <w:sz w:val="24"/>
          <w:szCs w:val="24"/>
          <w14:textFill>
            <w14:solidFill>
              <w14:schemeClr w14:val="tx1"/>
            </w14:solidFill>
          </w14:textFill>
        </w:rPr>
        <w:fldChar w:fldCharType="end"/>
      </w:r>
    </w:p>
    <w:p>
      <w:pPr>
        <w:pStyle w:val="55"/>
        <w:tabs>
          <w:tab w:val="right" w:leader="dot" w:pos="8296"/>
        </w:tabs>
        <w:rPr>
          <w:rFonts w:asciiTheme="majorEastAsia" w:hAnsiTheme="majorEastAsia" w:eastAsiaTheme="majorEastAsia" w:cstheme="minorBidi"/>
          <w:b w:val="0"/>
          <w:bCs w:val="0"/>
          <w:caps w:val="0"/>
          <w:color w:val="000000" w:themeColor="text1"/>
          <w:sz w:val="24"/>
          <w:szCs w:val="24"/>
          <w14:textFill>
            <w14:solidFill>
              <w14:schemeClr w14:val="tx1"/>
            </w14:solidFill>
          </w14:textFill>
        </w:rPr>
      </w:pPr>
      <w:r>
        <w:fldChar w:fldCharType="begin"/>
      </w:r>
      <w:r>
        <w:instrText xml:space="preserve"> HYPERLINK \l "_Toc177995350" </w:instrText>
      </w:r>
      <w:r>
        <w:fldChar w:fldCharType="separate"/>
      </w:r>
      <w:r>
        <w:rPr>
          <w:rStyle w:val="139"/>
          <w:rFonts w:asciiTheme="majorEastAsia" w:hAnsiTheme="majorEastAsia" w:eastAsiaTheme="majorEastAsia"/>
          <w:b w:val="0"/>
          <w:bCs w:val="0"/>
          <w:color w:val="000000" w:themeColor="text1"/>
          <w:sz w:val="24"/>
          <w:szCs w:val="24"/>
          <w14:textFill>
            <w14:solidFill>
              <w14:schemeClr w14:val="tx1"/>
            </w14:solidFill>
          </w14:textFill>
        </w:rPr>
        <w:t>11 备品备件及专用工具</w:t>
      </w:r>
      <w:r>
        <w:rPr>
          <w:rFonts w:asciiTheme="majorEastAsia" w:hAnsiTheme="majorEastAsia" w:eastAsiaTheme="majorEastAsia"/>
          <w:b w:val="0"/>
          <w:bCs w:val="0"/>
          <w:color w:val="000000" w:themeColor="text1"/>
          <w:sz w:val="24"/>
          <w:szCs w:val="24"/>
          <w14:textFill>
            <w14:solidFill>
              <w14:schemeClr w14:val="tx1"/>
            </w14:solidFill>
          </w14:textFill>
        </w:rPr>
        <w:tab/>
      </w:r>
      <w:r>
        <w:rPr>
          <w:rFonts w:asciiTheme="majorEastAsia" w:hAnsiTheme="majorEastAsia" w:eastAsiaTheme="majorEastAsia"/>
          <w:b w:val="0"/>
          <w:bCs w:val="0"/>
          <w:color w:val="000000" w:themeColor="text1"/>
          <w:sz w:val="24"/>
          <w:szCs w:val="24"/>
          <w14:textFill>
            <w14:solidFill>
              <w14:schemeClr w14:val="tx1"/>
            </w14:solidFill>
          </w14:textFill>
        </w:rPr>
        <w:fldChar w:fldCharType="begin"/>
      </w:r>
      <w:r>
        <w:rPr>
          <w:rFonts w:asciiTheme="majorEastAsia" w:hAnsiTheme="majorEastAsia" w:eastAsiaTheme="majorEastAsia"/>
          <w:b w:val="0"/>
          <w:bCs w:val="0"/>
          <w:color w:val="000000" w:themeColor="text1"/>
          <w:sz w:val="24"/>
          <w:szCs w:val="24"/>
          <w14:textFill>
            <w14:solidFill>
              <w14:schemeClr w14:val="tx1"/>
            </w14:solidFill>
          </w14:textFill>
        </w:rPr>
        <w:instrText xml:space="preserve"> PAGEREF _Toc177995350 \h </w:instrText>
      </w:r>
      <w:r>
        <w:rPr>
          <w:rFonts w:asciiTheme="majorEastAsia" w:hAnsiTheme="majorEastAsia" w:eastAsiaTheme="majorEastAsia"/>
          <w:b w:val="0"/>
          <w:bCs w:val="0"/>
          <w:color w:val="000000" w:themeColor="text1"/>
          <w:sz w:val="24"/>
          <w:szCs w:val="24"/>
          <w14:textFill>
            <w14:solidFill>
              <w14:schemeClr w14:val="tx1"/>
            </w14:solidFill>
          </w14:textFill>
        </w:rPr>
        <w:fldChar w:fldCharType="separate"/>
      </w:r>
      <w:r>
        <w:rPr>
          <w:rFonts w:asciiTheme="majorEastAsia" w:hAnsiTheme="majorEastAsia" w:eastAsiaTheme="majorEastAsia"/>
          <w:b w:val="0"/>
          <w:bCs w:val="0"/>
          <w:color w:val="000000" w:themeColor="text1"/>
          <w:sz w:val="24"/>
          <w:szCs w:val="24"/>
          <w14:textFill>
            <w14:solidFill>
              <w14:schemeClr w14:val="tx1"/>
            </w14:solidFill>
          </w14:textFill>
        </w:rPr>
        <w:t>48</w:t>
      </w:r>
      <w:r>
        <w:rPr>
          <w:rFonts w:asciiTheme="majorEastAsia" w:hAnsiTheme="majorEastAsia" w:eastAsiaTheme="majorEastAsia"/>
          <w:b w:val="0"/>
          <w:bCs w:val="0"/>
          <w:color w:val="000000" w:themeColor="text1"/>
          <w:sz w:val="24"/>
          <w:szCs w:val="24"/>
          <w14:textFill>
            <w14:solidFill>
              <w14:schemeClr w14:val="tx1"/>
            </w14:solidFill>
          </w14:textFill>
        </w:rPr>
        <w:fldChar w:fldCharType="end"/>
      </w:r>
      <w:r>
        <w:rPr>
          <w:rFonts w:asciiTheme="majorEastAsia" w:hAnsiTheme="majorEastAsia" w:eastAsiaTheme="majorEastAsia"/>
          <w:b w:val="0"/>
          <w:bCs w:val="0"/>
          <w:color w:val="000000" w:themeColor="text1"/>
          <w:sz w:val="24"/>
          <w:szCs w:val="24"/>
          <w14:textFill>
            <w14:solidFill>
              <w14:schemeClr w14:val="tx1"/>
            </w14:solidFill>
          </w14:textFill>
        </w:rPr>
        <w:fldChar w:fldCharType="end"/>
      </w:r>
    </w:p>
    <w:p>
      <w:pPr>
        <w:pStyle w:val="70"/>
        <w:rPr>
          <w:rFonts w:asciiTheme="majorEastAsia" w:hAnsiTheme="majorEastAsia" w:eastAsiaTheme="majorEastAsia" w:cstheme="minorBidi"/>
          <w:color w:val="000000" w:themeColor="text1"/>
          <w:sz w:val="24"/>
          <w14:textFill>
            <w14:solidFill>
              <w14:schemeClr w14:val="tx1"/>
            </w14:solidFill>
          </w14:textFill>
        </w:rPr>
      </w:pPr>
      <w:r>
        <w:fldChar w:fldCharType="begin"/>
      </w:r>
      <w:r>
        <w:instrText xml:space="preserve"> HYPERLINK \l "_Toc177995351" </w:instrText>
      </w:r>
      <w:r>
        <w:fldChar w:fldCharType="separate"/>
      </w:r>
      <w:r>
        <w:rPr>
          <w:rStyle w:val="139"/>
          <w:rFonts w:asciiTheme="majorEastAsia" w:hAnsiTheme="majorEastAsia" w:eastAsiaTheme="majorEastAsia"/>
          <w:color w:val="000000" w:themeColor="text1"/>
          <w:sz w:val="24"/>
          <w14:textFill>
            <w14:solidFill>
              <w14:schemeClr w14:val="tx1"/>
            </w14:solidFill>
          </w14:textFill>
        </w:rPr>
        <w:t>11.1 必备的备品备件、专用工具和仪器仪表</w:t>
      </w:r>
      <w:r>
        <w:rPr>
          <w:rFonts w:asciiTheme="majorEastAsia" w:hAnsiTheme="majorEastAsia" w:eastAsiaTheme="majorEastAsia"/>
          <w:color w:val="000000" w:themeColor="text1"/>
          <w:sz w:val="24"/>
          <w14:textFill>
            <w14:solidFill>
              <w14:schemeClr w14:val="tx1"/>
            </w14:solidFill>
          </w14:textFill>
        </w:rPr>
        <w:tab/>
      </w:r>
      <w:r>
        <w:rPr>
          <w:rFonts w:asciiTheme="majorEastAsia" w:hAnsiTheme="majorEastAsia" w:eastAsiaTheme="majorEastAsia"/>
          <w:color w:val="000000" w:themeColor="text1"/>
          <w:sz w:val="24"/>
          <w14:textFill>
            <w14:solidFill>
              <w14:schemeClr w14:val="tx1"/>
            </w14:solidFill>
          </w14:textFill>
        </w:rPr>
        <w:fldChar w:fldCharType="begin"/>
      </w:r>
      <w:r>
        <w:rPr>
          <w:rFonts w:asciiTheme="majorEastAsia" w:hAnsiTheme="majorEastAsia" w:eastAsiaTheme="majorEastAsia"/>
          <w:color w:val="000000" w:themeColor="text1"/>
          <w:sz w:val="24"/>
          <w14:textFill>
            <w14:solidFill>
              <w14:schemeClr w14:val="tx1"/>
            </w14:solidFill>
          </w14:textFill>
        </w:rPr>
        <w:instrText xml:space="preserve"> PAGEREF _Toc177995351 \h </w:instrText>
      </w:r>
      <w:r>
        <w:rPr>
          <w:rFonts w:asciiTheme="majorEastAsia" w:hAnsiTheme="majorEastAsia" w:eastAsiaTheme="majorEastAsia"/>
          <w:color w:val="000000" w:themeColor="text1"/>
          <w:sz w:val="24"/>
          <w14:textFill>
            <w14:solidFill>
              <w14:schemeClr w14:val="tx1"/>
            </w14:solidFill>
          </w14:textFill>
        </w:rPr>
        <w:fldChar w:fldCharType="separate"/>
      </w:r>
      <w:r>
        <w:rPr>
          <w:rFonts w:asciiTheme="majorEastAsia" w:hAnsiTheme="majorEastAsia" w:eastAsiaTheme="majorEastAsia"/>
          <w:color w:val="000000" w:themeColor="text1"/>
          <w:sz w:val="24"/>
          <w14:textFill>
            <w14:solidFill>
              <w14:schemeClr w14:val="tx1"/>
            </w14:solidFill>
          </w14:textFill>
        </w:rPr>
        <w:t>48</w:t>
      </w:r>
      <w:r>
        <w:rPr>
          <w:rFonts w:asciiTheme="majorEastAsia" w:hAnsiTheme="majorEastAsia" w:eastAsiaTheme="majorEastAsia"/>
          <w:color w:val="000000" w:themeColor="text1"/>
          <w:sz w:val="24"/>
          <w14:textFill>
            <w14:solidFill>
              <w14:schemeClr w14:val="tx1"/>
            </w14:solidFill>
          </w14:textFill>
        </w:rPr>
        <w:fldChar w:fldCharType="end"/>
      </w:r>
      <w:r>
        <w:rPr>
          <w:rFonts w:asciiTheme="majorEastAsia" w:hAnsiTheme="majorEastAsia" w:eastAsiaTheme="majorEastAsia"/>
          <w:color w:val="000000" w:themeColor="text1"/>
          <w:sz w:val="24"/>
          <w14:textFill>
            <w14:solidFill>
              <w14:schemeClr w14:val="tx1"/>
            </w14:solidFill>
          </w14:textFill>
        </w:rPr>
        <w:fldChar w:fldCharType="end"/>
      </w:r>
    </w:p>
    <w:p>
      <w:pPr>
        <w:pStyle w:val="70"/>
        <w:rPr>
          <w:rFonts w:asciiTheme="majorEastAsia" w:hAnsiTheme="majorEastAsia" w:eastAsiaTheme="majorEastAsia" w:cstheme="minorBidi"/>
          <w:color w:val="000000" w:themeColor="text1"/>
          <w:sz w:val="24"/>
          <w14:textFill>
            <w14:solidFill>
              <w14:schemeClr w14:val="tx1"/>
            </w14:solidFill>
          </w14:textFill>
        </w:rPr>
      </w:pPr>
      <w:r>
        <w:fldChar w:fldCharType="begin"/>
      </w:r>
      <w:r>
        <w:instrText xml:space="preserve"> HYPERLINK \l "_Toc177995352" </w:instrText>
      </w:r>
      <w:r>
        <w:fldChar w:fldCharType="separate"/>
      </w:r>
      <w:r>
        <w:rPr>
          <w:rStyle w:val="139"/>
          <w:rFonts w:asciiTheme="majorEastAsia" w:hAnsiTheme="majorEastAsia" w:eastAsiaTheme="majorEastAsia"/>
          <w:color w:val="000000" w:themeColor="text1"/>
          <w:sz w:val="24"/>
          <w14:textFill>
            <w14:solidFill>
              <w14:schemeClr w14:val="tx1"/>
            </w14:solidFill>
          </w14:textFill>
        </w:rPr>
        <w:t>11.2 推荐的备品备件、专用工具和仪器仪表</w:t>
      </w:r>
      <w:r>
        <w:rPr>
          <w:rFonts w:asciiTheme="majorEastAsia" w:hAnsiTheme="majorEastAsia" w:eastAsiaTheme="majorEastAsia"/>
          <w:color w:val="000000" w:themeColor="text1"/>
          <w:sz w:val="24"/>
          <w14:textFill>
            <w14:solidFill>
              <w14:schemeClr w14:val="tx1"/>
            </w14:solidFill>
          </w14:textFill>
        </w:rPr>
        <w:tab/>
      </w:r>
      <w:r>
        <w:rPr>
          <w:rFonts w:asciiTheme="majorEastAsia" w:hAnsiTheme="majorEastAsia" w:eastAsiaTheme="majorEastAsia"/>
          <w:color w:val="000000" w:themeColor="text1"/>
          <w:sz w:val="24"/>
          <w14:textFill>
            <w14:solidFill>
              <w14:schemeClr w14:val="tx1"/>
            </w14:solidFill>
          </w14:textFill>
        </w:rPr>
        <w:fldChar w:fldCharType="begin"/>
      </w:r>
      <w:r>
        <w:rPr>
          <w:rFonts w:asciiTheme="majorEastAsia" w:hAnsiTheme="majorEastAsia" w:eastAsiaTheme="majorEastAsia"/>
          <w:color w:val="000000" w:themeColor="text1"/>
          <w:sz w:val="24"/>
          <w14:textFill>
            <w14:solidFill>
              <w14:schemeClr w14:val="tx1"/>
            </w14:solidFill>
          </w14:textFill>
        </w:rPr>
        <w:instrText xml:space="preserve"> PAGEREF _Toc177995352 \h </w:instrText>
      </w:r>
      <w:r>
        <w:rPr>
          <w:rFonts w:asciiTheme="majorEastAsia" w:hAnsiTheme="majorEastAsia" w:eastAsiaTheme="majorEastAsia"/>
          <w:color w:val="000000" w:themeColor="text1"/>
          <w:sz w:val="24"/>
          <w14:textFill>
            <w14:solidFill>
              <w14:schemeClr w14:val="tx1"/>
            </w14:solidFill>
          </w14:textFill>
        </w:rPr>
        <w:fldChar w:fldCharType="separate"/>
      </w:r>
      <w:r>
        <w:rPr>
          <w:rFonts w:asciiTheme="majorEastAsia" w:hAnsiTheme="majorEastAsia" w:eastAsiaTheme="majorEastAsia"/>
          <w:color w:val="000000" w:themeColor="text1"/>
          <w:sz w:val="24"/>
          <w14:textFill>
            <w14:solidFill>
              <w14:schemeClr w14:val="tx1"/>
            </w14:solidFill>
          </w14:textFill>
        </w:rPr>
        <w:t>48</w:t>
      </w:r>
      <w:r>
        <w:rPr>
          <w:rFonts w:asciiTheme="majorEastAsia" w:hAnsiTheme="majorEastAsia" w:eastAsiaTheme="majorEastAsia"/>
          <w:color w:val="000000" w:themeColor="text1"/>
          <w:sz w:val="24"/>
          <w14:textFill>
            <w14:solidFill>
              <w14:schemeClr w14:val="tx1"/>
            </w14:solidFill>
          </w14:textFill>
        </w:rPr>
        <w:fldChar w:fldCharType="end"/>
      </w:r>
      <w:r>
        <w:rPr>
          <w:rFonts w:asciiTheme="majorEastAsia" w:hAnsiTheme="majorEastAsia" w:eastAsiaTheme="majorEastAsia"/>
          <w:color w:val="000000" w:themeColor="text1"/>
          <w:sz w:val="24"/>
          <w14:textFill>
            <w14:solidFill>
              <w14:schemeClr w14:val="tx1"/>
            </w14:solidFill>
          </w14:textFill>
        </w:rPr>
        <w:fldChar w:fldCharType="end"/>
      </w:r>
    </w:p>
    <w:p>
      <w:pPr>
        <w:pStyle w:val="55"/>
        <w:tabs>
          <w:tab w:val="right" w:leader="dot" w:pos="8296"/>
        </w:tabs>
        <w:rPr>
          <w:rFonts w:asciiTheme="majorEastAsia" w:hAnsiTheme="majorEastAsia" w:eastAsiaTheme="majorEastAsia" w:cstheme="minorBidi"/>
          <w:b w:val="0"/>
          <w:bCs w:val="0"/>
          <w:caps w:val="0"/>
          <w:color w:val="000000" w:themeColor="text1"/>
          <w:sz w:val="24"/>
          <w:szCs w:val="24"/>
          <w14:textFill>
            <w14:solidFill>
              <w14:schemeClr w14:val="tx1"/>
            </w14:solidFill>
          </w14:textFill>
        </w:rPr>
      </w:pPr>
      <w:r>
        <w:fldChar w:fldCharType="begin"/>
      </w:r>
      <w:r>
        <w:instrText xml:space="preserve"> HYPERLINK \l "_Toc177995353" </w:instrText>
      </w:r>
      <w:r>
        <w:fldChar w:fldCharType="separate"/>
      </w:r>
      <w:r>
        <w:rPr>
          <w:rStyle w:val="139"/>
          <w:rFonts w:asciiTheme="majorEastAsia" w:hAnsiTheme="majorEastAsia" w:eastAsiaTheme="majorEastAsia"/>
          <w:b w:val="0"/>
          <w:bCs w:val="0"/>
          <w:color w:val="000000" w:themeColor="text1"/>
          <w:sz w:val="24"/>
          <w:szCs w:val="24"/>
          <w14:textFill>
            <w14:solidFill>
              <w14:schemeClr w14:val="tx1"/>
            </w14:solidFill>
          </w14:textFill>
        </w:rPr>
        <w:t>12 主要元器件来源</w:t>
      </w:r>
      <w:r>
        <w:rPr>
          <w:rFonts w:asciiTheme="majorEastAsia" w:hAnsiTheme="majorEastAsia" w:eastAsiaTheme="majorEastAsia"/>
          <w:b w:val="0"/>
          <w:bCs w:val="0"/>
          <w:color w:val="000000" w:themeColor="text1"/>
          <w:sz w:val="24"/>
          <w:szCs w:val="24"/>
          <w14:textFill>
            <w14:solidFill>
              <w14:schemeClr w14:val="tx1"/>
            </w14:solidFill>
          </w14:textFill>
        </w:rPr>
        <w:tab/>
      </w:r>
      <w:r>
        <w:rPr>
          <w:rFonts w:asciiTheme="majorEastAsia" w:hAnsiTheme="majorEastAsia" w:eastAsiaTheme="majorEastAsia"/>
          <w:b w:val="0"/>
          <w:bCs w:val="0"/>
          <w:color w:val="000000" w:themeColor="text1"/>
          <w:sz w:val="24"/>
          <w:szCs w:val="24"/>
          <w14:textFill>
            <w14:solidFill>
              <w14:schemeClr w14:val="tx1"/>
            </w14:solidFill>
          </w14:textFill>
        </w:rPr>
        <w:fldChar w:fldCharType="begin"/>
      </w:r>
      <w:r>
        <w:rPr>
          <w:rFonts w:asciiTheme="majorEastAsia" w:hAnsiTheme="majorEastAsia" w:eastAsiaTheme="majorEastAsia"/>
          <w:b w:val="0"/>
          <w:bCs w:val="0"/>
          <w:color w:val="000000" w:themeColor="text1"/>
          <w:sz w:val="24"/>
          <w:szCs w:val="24"/>
          <w14:textFill>
            <w14:solidFill>
              <w14:schemeClr w14:val="tx1"/>
            </w14:solidFill>
          </w14:textFill>
        </w:rPr>
        <w:instrText xml:space="preserve"> PAGEREF _Toc177995353 \h </w:instrText>
      </w:r>
      <w:r>
        <w:rPr>
          <w:rFonts w:asciiTheme="majorEastAsia" w:hAnsiTheme="majorEastAsia" w:eastAsiaTheme="majorEastAsia"/>
          <w:b w:val="0"/>
          <w:bCs w:val="0"/>
          <w:color w:val="000000" w:themeColor="text1"/>
          <w:sz w:val="24"/>
          <w:szCs w:val="24"/>
          <w14:textFill>
            <w14:solidFill>
              <w14:schemeClr w14:val="tx1"/>
            </w14:solidFill>
          </w14:textFill>
        </w:rPr>
        <w:fldChar w:fldCharType="separate"/>
      </w:r>
      <w:r>
        <w:rPr>
          <w:rFonts w:asciiTheme="majorEastAsia" w:hAnsiTheme="majorEastAsia" w:eastAsiaTheme="majorEastAsia"/>
          <w:b w:val="0"/>
          <w:bCs w:val="0"/>
          <w:color w:val="000000" w:themeColor="text1"/>
          <w:sz w:val="24"/>
          <w:szCs w:val="24"/>
          <w14:textFill>
            <w14:solidFill>
              <w14:schemeClr w14:val="tx1"/>
            </w14:solidFill>
          </w14:textFill>
        </w:rPr>
        <w:t>49</w:t>
      </w:r>
      <w:r>
        <w:rPr>
          <w:rFonts w:asciiTheme="majorEastAsia" w:hAnsiTheme="majorEastAsia" w:eastAsiaTheme="majorEastAsia"/>
          <w:b w:val="0"/>
          <w:bCs w:val="0"/>
          <w:color w:val="000000" w:themeColor="text1"/>
          <w:sz w:val="24"/>
          <w:szCs w:val="24"/>
          <w14:textFill>
            <w14:solidFill>
              <w14:schemeClr w14:val="tx1"/>
            </w14:solidFill>
          </w14:textFill>
        </w:rPr>
        <w:fldChar w:fldCharType="end"/>
      </w:r>
      <w:r>
        <w:rPr>
          <w:rFonts w:asciiTheme="majorEastAsia" w:hAnsiTheme="majorEastAsia" w:eastAsiaTheme="majorEastAsia"/>
          <w:b w:val="0"/>
          <w:bCs w:val="0"/>
          <w:color w:val="000000" w:themeColor="text1"/>
          <w:sz w:val="24"/>
          <w:szCs w:val="24"/>
          <w14:textFill>
            <w14:solidFill>
              <w14:schemeClr w14:val="tx1"/>
            </w14:solidFill>
          </w14:textFill>
        </w:rPr>
        <w:fldChar w:fldCharType="end"/>
      </w:r>
    </w:p>
    <w:p>
      <w:pPr>
        <w:pStyle w:val="55"/>
        <w:tabs>
          <w:tab w:val="right" w:leader="dot" w:pos="8296"/>
        </w:tabs>
        <w:rPr>
          <w:rFonts w:asciiTheme="majorEastAsia" w:hAnsiTheme="majorEastAsia" w:eastAsiaTheme="majorEastAsia" w:cstheme="minorBidi"/>
          <w:b w:val="0"/>
          <w:bCs w:val="0"/>
          <w:caps w:val="0"/>
          <w:color w:val="000000" w:themeColor="text1"/>
          <w:sz w:val="24"/>
          <w:szCs w:val="24"/>
          <w14:textFill>
            <w14:solidFill>
              <w14:schemeClr w14:val="tx1"/>
            </w14:solidFill>
          </w14:textFill>
        </w:rPr>
      </w:pPr>
      <w:r>
        <w:fldChar w:fldCharType="begin"/>
      </w:r>
      <w:r>
        <w:instrText xml:space="preserve"> HYPERLINK \l "_Toc177995354" </w:instrText>
      </w:r>
      <w:r>
        <w:fldChar w:fldCharType="separate"/>
      </w:r>
      <w:r>
        <w:rPr>
          <w:rStyle w:val="139"/>
          <w:rFonts w:asciiTheme="majorEastAsia" w:hAnsiTheme="majorEastAsia" w:eastAsiaTheme="majorEastAsia"/>
          <w:b w:val="0"/>
          <w:bCs w:val="0"/>
          <w:color w:val="000000" w:themeColor="text1"/>
          <w:sz w:val="24"/>
          <w:szCs w:val="24"/>
          <w14:textFill>
            <w14:solidFill>
              <w14:schemeClr w14:val="tx1"/>
            </w14:solidFill>
          </w14:textFill>
        </w:rPr>
        <w:t>13 技术差异表</w:t>
      </w:r>
      <w:r>
        <w:rPr>
          <w:rFonts w:asciiTheme="majorEastAsia" w:hAnsiTheme="majorEastAsia" w:eastAsiaTheme="majorEastAsia"/>
          <w:b w:val="0"/>
          <w:bCs w:val="0"/>
          <w:color w:val="000000" w:themeColor="text1"/>
          <w:sz w:val="24"/>
          <w:szCs w:val="24"/>
          <w14:textFill>
            <w14:solidFill>
              <w14:schemeClr w14:val="tx1"/>
            </w14:solidFill>
          </w14:textFill>
        </w:rPr>
        <w:tab/>
      </w:r>
      <w:r>
        <w:rPr>
          <w:rFonts w:asciiTheme="majorEastAsia" w:hAnsiTheme="majorEastAsia" w:eastAsiaTheme="majorEastAsia"/>
          <w:b w:val="0"/>
          <w:bCs w:val="0"/>
          <w:color w:val="000000" w:themeColor="text1"/>
          <w:sz w:val="24"/>
          <w:szCs w:val="24"/>
          <w14:textFill>
            <w14:solidFill>
              <w14:schemeClr w14:val="tx1"/>
            </w14:solidFill>
          </w14:textFill>
        </w:rPr>
        <w:fldChar w:fldCharType="begin"/>
      </w:r>
      <w:r>
        <w:rPr>
          <w:rFonts w:asciiTheme="majorEastAsia" w:hAnsiTheme="majorEastAsia" w:eastAsiaTheme="majorEastAsia"/>
          <w:b w:val="0"/>
          <w:bCs w:val="0"/>
          <w:color w:val="000000" w:themeColor="text1"/>
          <w:sz w:val="24"/>
          <w:szCs w:val="24"/>
          <w14:textFill>
            <w14:solidFill>
              <w14:schemeClr w14:val="tx1"/>
            </w14:solidFill>
          </w14:textFill>
        </w:rPr>
        <w:instrText xml:space="preserve"> PAGEREF _Toc177995354 \h </w:instrText>
      </w:r>
      <w:r>
        <w:rPr>
          <w:rFonts w:asciiTheme="majorEastAsia" w:hAnsiTheme="majorEastAsia" w:eastAsiaTheme="majorEastAsia"/>
          <w:b w:val="0"/>
          <w:bCs w:val="0"/>
          <w:color w:val="000000" w:themeColor="text1"/>
          <w:sz w:val="24"/>
          <w:szCs w:val="24"/>
          <w14:textFill>
            <w14:solidFill>
              <w14:schemeClr w14:val="tx1"/>
            </w14:solidFill>
          </w14:textFill>
        </w:rPr>
        <w:fldChar w:fldCharType="separate"/>
      </w:r>
      <w:r>
        <w:rPr>
          <w:rFonts w:asciiTheme="majorEastAsia" w:hAnsiTheme="majorEastAsia" w:eastAsiaTheme="majorEastAsia"/>
          <w:b w:val="0"/>
          <w:bCs w:val="0"/>
          <w:color w:val="000000" w:themeColor="text1"/>
          <w:sz w:val="24"/>
          <w:szCs w:val="24"/>
          <w14:textFill>
            <w14:solidFill>
              <w14:schemeClr w14:val="tx1"/>
            </w14:solidFill>
          </w14:textFill>
        </w:rPr>
        <w:t>49</w:t>
      </w:r>
      <w:r>
        <w:rPr>
          <w:rFonts w:asciiTheme="majorEastAsia" w:hAnsiTheme="majorEastAsia" w:eastAsiaTheme="majorEastAsia"/>
          <w:b w:val="0"/>
          <w:bCs w:val="0"/>
          <w:color w:val="000000" w:themeColor="text1"/>
          <w:sz w:val="24"/>
          <w:szCs w:val="24"/>
          <w14:textFill>
            <w14:solidFill>
              <w14:schemeClr w14:val="tx1"/>
            </w14:solidFill>
          </w14:textFill>
        </w:rPr>
        <w:fldChar w:fldCharType="end"/>
      </w:r>
      <w:r>
        <w:rPr>
          <w:rFonts w:asciiTheme="majorEastAsia" w:hAnsiTheme="majorEastAsia" w:eastAsiaTheme="majorEastAsia"/>
          <w:b w:val="0"/>
          <w:bCs w:val="0"/>
          <w:color w:val="000000" w:themeColor="text1"/>
          <w:sz w:val="24"/>
          <w:szCs w:val="24"/>
          <w14:textFill>
            <w14:solidFill>
              <w14:schemeClr w14:val="tx1"/>
            </w14:solidFill>
          </w14:textFill>
        </w:rPr>
        <w:fldChar w:fldCharType="end"/>
      </w:r>
    </w:p>
    <w:p>
      <w:pPr>
        <w:pStyle w:val="55"/>
        <w:tabs>
          <w:tab w:val="right" w:leader="dot" w:pos="8296"/>
        </w:tabs>
        <w:rPr>
          <w:rFonts w:asciiTheme="minorHAnsi" w:hAnsiTheme="minorHAnsi" w:eastAsiaTheme="minorEastAsia" w:cstheme="minorBidi"/>
          <w:b w:val="0"/>
          <w:bCs w:val="0"/>
          <w:caps w:val="0"/>
          <w:color w:val="000000" w:themeColor="text1"/>
          <w:sz w:val="24"/>
          <w:szCs w:val="24"/>
          <w14:textFill>
            <w14:solidFill>
              <w14:schemeClr w14:val="tx1"/>
            </w14:solidFill>
          </w14:textFill>
        </w:rPr>
      </w:pPr>
      <w:r>
        <w:fldChar w:fldCharType="begin"/>
      </w:r>
      <w:r>
        <w:instrText xml:space="preserve"> HYPERLINK \l "_Toc177995355" </w:instrText>
      </w:r>
      <w:r>
        <w:fldChar w:fldCharType="separate"/>
      </w:r>
      <w:r>
        <w:rPr>
          <w:rStyle w:val="139"/>
          <w:rFonts w:asciiTheme="majorEastAsia" w:hAnsiTheme="majorEastAsia" w:eastAsiaTheme="majorEastAsia"/>
          <w:b w:val="0"/>
          <w:bCs w:val="0"/>
          <w:color w:val="000000" w:themeColor="text1"/>
          <w:sz w:val="24"/>
          <w:szCs w:val="24"/>
          <w14:textFill>
            <w14:solidFill>
              <w14:schemeClr w14:val="tx1"/>
            </w14:solidFill>
          </w14:textFill>
        </w:rPr>
        <w:t>14 投标方需说明的其他问题</w:t>
      </w:r>
      <w:r>
        <w:rPr>
          <w:rFonts w:asciiTheme="majorEastAsia" w:hAnsiTheme="majorEastAsia" w:eastAsiaTheme="majorEastAsia"/>
          <w:b w:val="0"/>
          <w:bCs w:val="0"/>
          <w:color w:val="000000" w:themeColor="text1"/>
          <w:sz w:val="24"/>
          <w:szCs w:val="24"/>
          <w14:textFill>
            <w14:solidFill>
              <w14:schemeClr w14:val="tx1"/>
            </w14:solidFill>
          </w14:textFill>
        </w:rPr>
        <w:tab/>
      </w:r>
      <w:r>
        <w:rPr>
          <w:rFonts w:asciiTheme="majorEastAsia" w:hAnsiTheme="majorEastAsia" w:eastAsiaTheme="majorEastAsia"/>
          <w:b w:val="0"/>
          <w:bCs w:val="0"/>
          <w:color w:val="000000" w:themeColor="text1"/>
          <w:sz w:val="24"/>
          <w:szCs w:val="24"/>
          <w14:textFill>
            <w14:solidFill>
              <w14:schemeClr w14:val="tx1"/>
            </w14:solidFill>
          </w14:textFill>
        </w:rPr>
        <w:fldChar w:fldCharType="begin"/>
      </w:r>
      <w:r>
        <w:rPr>
          <w:rFonts w:asciiTheme="majorEastAsia" w:hAnsiTheme="majorEastAsia" w:eastAsiaTheme="majorEastAsia"/>
          <w:b w:val="0"/>
          <w:bCs w:val="0"/>
          <w:color w:val="000000" w:themeColor="text1"/>
          <w:sz w:val="24"/>
          <w:szCs w:val="24"/>
          <w14:textFill>
            <w14:solidFill>
              <w14:schemeClr w14:val="tx1"/>
            </w14:solidFill>
          </w14:textFill>
        </w:rPr>
        <w:instrText xml:space="preserve"> PAGEREF _Toc177995355 \h </w:instrText>
      </w:r>
      <w:r>
        <w:rPr>
          <w:rFonts w:asciiTheme="majorEastAsia" w:hAnsiTheme="majorEastAsia" w:eastAsiaTheme="majorEastAsia"/>
          <w:b w:val="0"/>
          <w:bCs w:val="0"/>
          <w:color w:val="000000" w:themeColor="text1"/>
          <w:sz w:val="24"/>
          <w:szCs w:val="24"/>
          <w14:textFill>
            <w14:solidFill>
              <w14:schemeClr w14:val="tx1"/>
            </w14:solidFill>
          </w14:textFill>
        </w:rPr>
        <w:fldChar w:fldCharType="separate"/>
      </w:r>
      <w:r>
        <w:rPr>
          <w:rFonts w:asciiTheme="majorEastAsia" w:hAnsiTheme="majorEastAsia" w:eastAsiaTheme="majorEastAsia"/>
          <w:b w:val="0"/>
          <w:bCs w:val="0"/>
          <w:color w:val="000000" w:themeColor="text1"/>
          <w:sz w:val="24"/>
          <w:szCs w:val="24"/>
          <w14:textFill>
            <w14:solidFill>
              <w14:schemeClr w14:val="tx1"/>
            </w14:solidFill>
          </w14:textFill>
        </w:rPr>
        <w:t>49</w:t>
      </w:r>
      <w:r>
        <w:rPr>
          <w:rFonts w:asciiTheme="majorEastAsia" w:hAnsiTheme="majorEastAsia" w:eastAsiaTheme="majorEastAsia"/>
          <w:b w:val="0"/>
          <w:bCs w:val="0"/>
          <w:color w:val="000000" w:themeColor="text1"/>
          <w:sz w:val="24"/>
          <w:szCs w:val="24"/>
          <w14:textFill>
            <w14:solidFill>
              <w14:schemeClr w14:val="tx1"/>
            </w14:solidFill>
          </w14:textFill>
        </w:rPr>
        <w:fldChar w:fldCharType="end"/>
      </w:r>
      <w:r>
        <w:rPr>
          <w:rFonts w:asciiTheme="majorEastAsia" w:hAnsiTheme="majorEastAsia" w:eastAsiaTheme="majorEastAsia"/>
          <w:b w:val="0"/>
          <w:bCs w:val="0"/>
          <w:color w:val="000000" w:themeColor="text1"/>
          <w:sz w:val="24"/>
          <w:szCs w:val="24"/>
          <w14:textFill>
            <w14:solidFill>
              <w14:schemeClr w14:val="tx1"/>
            </w14:solidFill>
          </w14:textFill>
        </w:rPr>
        <w:fldChar w:fldCharType="end"/>
      </w:r>
    </w:p>
    <w:p>
      <w:pPr>
        <w:adjustRightInd w:val="0"/>
        <w:snapToGrid w:val="0"/>
        <w:rPr>
          <w:rFonts w:ascii="宋体" w:hAnsi="宋体"/>
          <w:color w:val="000000" w:themeColor="text1"/>
          <w:szCs w:val="21"/>
          <w14:textFill>
            <w14:solidFill>
              <w14:schemeClr w14:val="tx1"/>
            </w14:solidFill>
          </w14:textFill>
        </w:rPr>
        <w:sectPr>
          <w:footerReference r:id="rId6" w:type="default"/>
          <w:pgSz w:w="11906" w:h="16838"/>
          <w:pgMar w:top="1440" w:right="1800" w:bottom="1440" w:left="1800" w:header="851" w:footer="992" w:gutter="0"/>
          <w:pgNumType w:fmt="upperRoman" w:start="1"/>
          <w:cols w:space="720" w:num="1"/>
          <w:docGrid w:type="lines" w:linePitch="312" w:charSpace="0"/>
        </w:sectPr>
      </w:pPr>
      <w:r>
        <w:rPr>
          <w:color w:val="000000" w:themeColor="text1"/>
          <w:sz w:val="24"/>
          <w14:textFill>
            <w14:solidFill>
              <w14:schemeClr w14:val="tx1"/>
            </w14:solidFill>
          </w14:textFill>
        </w:rPr>
        <w:fldChar w:fldCharType="end"/>
      </w:r>
    </w:p>
    <w:p>
      <w:pPr>
        <w:pStyle w:val="2"/>
        <w:snapToGrid/>
        <w:spacing w:before="0" w:beforeLines="0" w:line="480" w:lineRule="auto"/>
        <w:rPr>
          <w:rFonts w:ascii="黑体" w:eastAsia="黑体"/>
          <w:color w:val="000000" w:themeColor="text1"/>
          <w14:textFill>
            <w14:solidFill>
              <w14:schemeClr w14:val="tx1"/>
            </w14:solidFill>
          </w14:textFill>
        </w:rPr>
      </w:pPr>
      <w:bookmarkStart w:id="1" w:name="_Toc229476378"/>
      <w:bookmarkEnd w:id="1"/>
      <w:bookmarkStart w:id="2" w:name="_Toc229476473"/>
      <w:bookmarkEnd w:id="2"/>
      <w:bookmarkStart w:id="3" w:name="_Toc229476507"/>
      <w:bookmarkEnd w:id="3"/>
      <w:bookmarkStart w:id="4" w:name="_Toc229476588"/>
      <w:bookmarkEnd w:id="4"/>
      <w:bookmarkStart w:id="5" w:name="_Toc112756677"/>
      <w:r>
        <w:rPr>
          <w:rFonts w:hint="eastAsia" w:ascii="黑体" w:eastAsia="黑体"/>
          <w:color w:val="000000" w:themeColor="text1"/>
          <w14:textFill>
            <w14:solidFill>
              <w14:schemeClr w14:val="tx1"/>
            </w14:solidFill>
          </w14:textFill>
        </w:rPr>
        <w:t xml:space="preserve"> </w:t>
      </w:r>
      <w:bookmarkEnd w:id="5"/>
      <w:bookmarkStart w:id="6" w:name="_Toc177995317"/>
      <w:r>
        <w:rPr>
          <w:rFonts w:hint="eastAsia" w:ascii="黑体" w:eastAsia="黑体"/>
          <w:color w:val="000000" w:themeColor="text1"/>
          <w14:textFill>
            <w14:solidFill>
              <w14:schemeClr w14:val="tx1"/>
            </w14:solidFill>
          </w14:textFill>
        </w:rPr>
        <w:t>总则</w:t>
      </w:r>
      <w:bookmarkEnd w:id="6"/>
    </w:p>
    <w:p>
      <w:pPr>
        <w:pStyle w:val="201"/>
        <w:adjustRightInd w:val="0"/>
        <w:snapToGrid w:val="0"/>
        <w:spacing w:line="360" w:lineRule="auto"/>
        <w:ind w:firstLine="0" w:firstLineChars="0"/>
        <w:rPr>
          <w:rFonts w:eastAsia="宋体"/>
          <w:color w:val="000000" w:themeColor="text1"/>
          <w:sz w:val="21"/>
          <w:szCs w:val="21"/>
          <w14:textFill>
            <w14:solidFill>
              <w14:schemeClr w14:val="tx1"/>
            </w14:solidFill>
          </w14:textFill>
        </w:rPr>
      </w:pPr>
      <w:bookmarkStart w:id="7" w:name="_Toc112756678"/>
      <w:r>
        <w:rPr>
          <w:rFonts w:eastAsia="宋体"/>
          <w:color w:val="000000" w:themeColor="text1"/>
          <w:sz w:val="21"/>
          <w:szCs w:val="21"/>
          <w14:textFill>
            <w14:solidFill>
              <w14:schemeClr w14:val="tx1"/>
            </w14:solidFill>
          </w14:textFill>
        </w:rPr>
        <w:t xml:space="preserve">1.1  </w:t>
      </w:r>
      <w:r>
        <w:rPr>
          <w:rFonts w:hint="eastAsia" w:eastAsia="宋体"/>
          <w:color w:val="000000" w:themeColor="text1"/>
          <w:sz w:val="21"/>
          <w:szCs w:val="21"/>
          <w14:textFill>
            <w14:solidFill>
              <w14:schemeClr w14:val="tx1"/>
            </w14:solidFill>
          </w14:textFill>
        </w:rPr>
        <w:t>本标书适用于广东电网有限责任公司中山供电局性能高温超导材料及磁储能应用示范工程项目采购的预制舱本体及其附属设备，它提出了该设备本体及附属设备的功能设计、结构、性能、安装和试验等方面的技术要求。</w:t>
      </w:r>
    </w:p>
    <w:p>
      <w:pPr>
        <w:pStyle w:val="201"/>
        <w:adjustRightInd w:val="0"/>
        <w:snapToGrid w:val="0"/>
        <w:spacing w:line="360" w:lineRule="auto"/>
        <w:ind w:firstLine="0" w:firstLineChars="0"/>
        <w:rPr>
          <w:rFonts w:eastAsia="宋体"/>
          <w:color w:val="000000" w:themeColor="text1"/>
          <w:sz w:val="21"/>
          <w:szCs w:val="21"/>
          <w14:textFill>
            <w14:solidFill>
              <w14:schemeClr w14:val="tx1"/>
            </w14:solidFill>
          </w14:textFill>
        </w:rPr>
      </w:pPr>
      <w:r>
        <w:rPr>
          <w:rFonts w:ascii="黑体" w:hAnsi="黑体" w:eastAsia="黑体"/>
          <w:color w:val="000000" w:themeColor="text1"/>
          <w:sz w:val="21"/>
          <w:szCs w:val="21"/>
          <w14:textFill>
            <w14:solidFill>
              <w14:schemeClr w14:val="tx1"/>
            </w14:solidFill>
          </w14:textFill>
        </w:rPr>
        <w:t>1.2</w:t>
      </w:r>
      <w:r>
        <w:rPr>
          <w:rFonts w:eastAsia="宋体"/>
          <w:color w:val="000000" w:themeColor="text1"/>
          <w:sz w:val="21"/>
          <w:szCs w:val="21"/>
          <w14:textFill>
            <w14:solidFill>
              <w14:schemeClr w14:val="tx1"/>
            </w14:solidFill>
          </w14:textFill>
        </w:rPr>
        <w:t xml:space="preserve">  </w:t>
      </w:r>
      <w:r>
        <w:rPr>
          <w:rFonts w:hint="eastAsia" w:eastAsia="宋体"/>
          <w:color w:val="000000" w:themeColor="text1"/>
          <w:sz w:val="21"/>
          <w:szCs w:val="21"/>
          <w14:textFill>
            <w14:solidFill>
              <w14:schemeClr w14:val="tx1"/>
            </w14:solidFill>
          </w14:textFill>
        </w:rPr>
        <w:t>本设备招标技术文件提出的是最低限度的技术要求。凡本招标技术文件中未规定，但在相关设备的行业标准、国家标准或</w:t>
      </w:r>
      <w:r>
        <w:rPr>
          <w:rFonts w:ascii="Times New Roman" w:hAnsi="Times New Roman" w:eastAsia="宋体"/>
          <w:color w:val="000000" w:themeColor="text1"/>
          <w:sz w:val="21"/>
          <w:szCs w:val="21"/>
          <w14:textFill>
            <w14:solidFill>
              <w14:schemeClr w14:val="tx1"/>
            </w14:solidFill>
          </w14:textFill>
        </w:rPr>
        <w:t>IEC</w:t>
      </w:r>
      <w:r>
        <w:rPr>
          <w:rFonts w:hint="eastAsia" w:eastAsia="宋体"/>
          <w:color w:val="000000" w:themeColor="text1"/>
          <w:sz w:val="21"/>
          <w:szCs w:val="21"/>
          <w14:textFill>
            <w14:solidFill>
              <w14:schemeClr w14:val="tx1"/>
            </w14:solidFill>
          </w14:textFill>
        </w:rPr>
        <w:t>标准中有规定的规范条文，投标方应按相应标准的条文进行设备设计、制造、试验和安装。对国家有关安全、环保等强制性标准，必须满足其要求。</w:t>
      </w:r>
    </w:p>
    <w:p>
      <w:pPr>
        <w:pStyle w:val="201"/>
        <w:adjustRightInd w:val="0"/>
        <w:snapToGrid w:val="0"/>
        <w:spacing w:line="360" w:lineRule="auto"/>
        <w:ind w:firstLine="0" w:firstLineChars="0"/>
        <w:rPr>
          <w:rFonts w:eastAsia="宋体"/>
          <w:color w:val="000000" w:themeColor="text1"/>
          <w:sz w:val="21"/>
          <w:szCs w:val="21"/>
          <w14:textFill>
            <w14:solidFill>
              <w14:schemeClr w14:val="tx1"/>
            </w14:solidFill>
          </w14:textFill>
        </w:rPr>
      </w:pPr>
      <w:r>
        <w:rPr>
          <w:rFonts w:ascii="黑体" w:hAnsi="黑体" w:eastAsia="黑体"/>
          <w:color w:val="000000" w:themeColor="text1"/>
          <w:sz w:val="21"/>
          <w:szCs w:val="21"/>
          <w14:textFill>
            <w14:solidFill>
              <w14:schemeClr w14:val="tx1"/>
            </w14:solidFill>
          </w14:textFill>
        </w:rPr>
        <w:t xml:space="preserve">1.3  </w:t>
      </w:r>
      <w:r>
        <w:rPr>
          <w:rFonts w:hint="eastAsia" w:eastAsia="宋体"/>
          <w:color w:val="000000" w:themeColor="text1"/>
          <w:sz w:val="21"/>
          <w:szCs w:val="21"/>
          <w14:textFill>
            <w14:solidFill>
              <w14:schemeClr w14:val="tx1"/>
            </w14:solidFill>
          </w14:textFill>
        </w:rPr>
        <w:t>本设备技术协议书提出的是最低限度的技术要求, 并未对所有技术细节作出规定, 也未充分引述有关标准和规范的条文, 投标方应提供符合本规范书和工业标准的优质产品。凡本技术协议书中未规定，但在相关设备的国家标准或</w:t>
      </w:r>
      <w:r>
        <w:rPr>
          <w:rFonts w:eastAsia="宋体"/>
          <w:color w:val="000000" w:themeColor="text1"/>
          <w:sz w:val="21"/>
          <w:szCs w:val="21"/>
          <w14:textFill>
            <w14:solidFill>
              <w14:schemeClr w14:val="tx1"/>
            </w14:solidFill>
          </w14:textFill>
        </w:rPr>
        <w:t>IEC</w:t>
      </w:r>
      <w:r>
        <w:rPr>
          <w:rFonts w:hint="eastAsia" w:eastAsia="宋体"/>
          <w:color w:val="000000" w:themeColor="text1"/>
          <w:sz w:val="21"/>
          <w:szCs w:val="21"/>
          <w14:textFill>
            <w14:solidFill>
              <w14:schemeClr w14:val="tx1"/>
            </w14:solidFill>
          </w14:textFill>
        </w:rPr>
        <w:t>标准中有规定的规范条文，投标方应按相应标准的条文进行设备设计、制造、试验和安装。对国家有关安全、环保等强制性标准，必须满足其要求。投标方应提供ISO-9001质量体系认证及权威部门的型式试验报告、中国质量认证中心颁发的CCC证书等。</w:t>
      </w:r>
    </w:p>
    <w:p>
      <w:pPr>
        <w:pStyle w:val="201"/>
        <w:adjustRightInd w:val="0"/>
        <w:snapToGrid w:val="0"/>
        <w:spacing w:line="360" w:lineRule="auto"/>
        <w:ind w:firstLine="0" w:firstLineChars="0"/>
        <w:rPr>
          <w:rFonts w:eastAsia="宋体"/>
          <w:color w:val="000000" w:themeColor="text1"/>
          <w:sz w:val="21"/>
          <w:szCs w:val="21"/>
          <w14:textFill>
            <w14:solidFill>
              <w14:schemeClr w14:val="tx1"/>
            </w14:solidFill>
          </w14:textFill>
        </w:rPr>
      </w:pPr>
      <w:r>
        <w:rPr>
          <w:rFonts w:hint="eastAsia" w:eastAsia="宋体"/>
          <w:color w:val="000000" w:themeColor="text1"/>
          <w:sz w:val="21"/>
          <w:szCs w:val="21"/>
          <w14:textFill>
            <w14:solidFill>
              <w14:schemeClr w14:val="tx1"/>
            </w14:solidFill>
          </w14:textFill>
        </w:rPr>
        <w:t xml:space="preserve">    如果投标方没有以书面形式对本招标技术协议书的条文提出异议，</w:t>
      </w:r>
      <w:r>
        <w:rPr>
          <w:rFonts w:eastAsia="宋体"/>
          <w:color w:val="000000" w:themeColor="text1"/>
          <w:sz w:val="21"/>
          <w:szCs w:val="21"/>
          <w14:textFill>
            <w14:solidFill>
              <w14:schemeClr w14:val="tx1"/>
            </w14:solidFill>
          </w14:textFill>
        </w:rPr>
        <w:t xml:space="preserve"> </w:t>
      </w:r>
      <w:r>
        <w:rPr>
          <w:rFonts w:hint="eastAsia" w:eastAsia="宋体"/>
          <w:color w:val="000000" w:themeColor="text1"/>
          <w:sz w:val="21"/>
          <w:szCs w:val="21"/>
          <w14:textFill>
            <w14:solidFill>
              <w14:schemeClr w14:val="tx1"/>
            </w14:solidFill>
          </w14:textFill>
        </w:rPr>
        <w:t>则意味着投标方提供的设备完全符合本招标技术协议书的要求。如有异议，</w:t>
      </w:r>
      <w:r>
        <w:rPr>
          <w:rFonts w:eastAsia="宋体"/>
          <w:color w:val="000000" w:themeColor="text1"/>
          <w:sz w:val="21"/>
          <w:szCs w:val="21"/>
          <w14:textFill>
            <w14:solidFill>
              <w14:schemeClr w14:val="tx1"/>
            </w14:solidFill>
          </w14:textFill>
        </w:rPr>
        <w:t xml:space="preserve"> </w:t>
      </w:r>
      <w:r>
        <w:rPr>
          <w:rFonts w:hint="eastAsia" w:eastAsia="宋体"/>
          <w:color w:val="000000" w:themeColor="text1"/>
          <w:sz w:val="21"/>
          <w:szCs w:val="21"/>
          <w14:textFill>
            <w14:solidFill>
              <w14:schemeClr w14:val="tx1"/>
            </w14:solidFill>
          </w14:textFill>
        </w:rPr>
        <w:t>不管是多么微小，</w:t>
      </w:r>
      <w:r>
        <w:rPr>
          <w:rFonts w:eastAsia="宋体"/>
          <w:color w:val="000000" w:themeColor="text1"/>
          <w:sz w:val="21"/>
          <w:szCs w:val="21"/>
          <w14:textFill>
            <w14:solidFill>
              <w14:schemeClr w14:val="tx1"/>
            </w14:solidFill>
          </w14:textFill>
        </w:rPr>
        <w:t xml:space="preserve"> </w:t>
      </w:r>
      <w:r>
        <w:rPr>
          <w:rFonts w:hint="eastAsia" w:eastAsia="宋体"/>
          <w:color w:val="000000" w:themeColor="text1"/>
          <w:sz w:val="21"/>
          <w:szCs w:val="21"/>
          <w14:textFill>
            <w14:solidFill>
              <w14:schemeClr w14:val="tx1"/>
            </w14:solidFill>
          </w14:textFill>
        </w:rPr>
        <w:t>都应在报价书中以“对招标技术协议书的意见和同招标技术协议书的差异”为标题的专门章节中加以详细描述。</w:t>
      </w:r>
    </w:p>
    <w:p>
      <w:pPr>
        <w:pStyle w:val="201"/>
        <w:adjustRightInd w:val="0"/>
        <w:snapToGrid w:val="0"/>
        <w:spacing w:line="360" w:lineRule="auto"/>
        <w:ind w:firstLine="0" w:firstLineChars="0"/>
        <w:rPr>
          <w:rFonts w:eastAsia="宋体"/>
          <w:color w:val="000000" w:themeColor="text1"/>
          <w:sz w:val="21"/>
          <w:szCs w:val="21"/>
          <w14:textFill>
            <w14:solidFill>
              <w14:schemeClr w14:val="tx1"/>
            </w14:solidFill>
          </w14:textFill>
        </w:rPr>
      </w:pPr>
      <w:r>
        <w:rPr>
          <w:rFonts w:ascii="黑体" w:hAnsi="黑体" w:eastAsia="黑体"/>
          <w:color w:val="000000" w:themeColor="text1"/>
          <w:sz w:val="21"/>
          <w:szCs w:val="21"/>
          <w14:textFill>
            <w14:solidFill>
              <w14:schemeClr w14:val="tx1"/>
            </w14:solidFill>
          </w14:textFill>
        </w:rPr>
        <w:t>1.4</w:t>
      </w:r>
      <w:r>
        <w:rPr>
          <w:rFonts w:eastAsia="宋体"/>
          <w:color w:val="000000" w:themeColor="text1"/>
          <w:sz w:val="21"/>
          <w:szCs w:val="21"/>
          <w14:textFill>
            <w14:solidFill>
              <w14:schemeClr w14:val="tx1"/>
            </w14:solidFill>
          </w14:textFill>
        </w:rPr>
        <w:t xml:space="preserve">  </w:t>
      </w:r>
      <w:r>
        <w:rPr>
          <w:rFonts w:hint="eastAsia" w:eastAsia="宋体"/>
          <w:color w:val="000000" w:themeColor="text1"/>
          <w:sz w:val="21"/>
          <w:szCs w:val="21"/>
          <w14:textFill>
            <w14:solidFill>
              <w14:schemeClr w14:val="tx1"/>
            </w14:solidFill>
          </w14:textFill>
        </w:rPr>
        <w:t>本招标技术文件所使用的标准如遇与投标方所执行的标准不一致时，按较高标准执行。</w:t>
      </w:r>
    </w:p>
    <w:p>
      <w:pPr>
        <w:pStyle w:val="201"/>
        <w:adjustRightInd w:val="0"/>
        <w:snapToGrid w:val="0"/>
        <w:spacing w:line="360" w:lineRule="auto"/>
        <w:ind w:firstLine="0" w:firstLineChars="0"/>
        <w:rPr>
          <w:rFonts w:eastAsia="宋体"/>
          <w:color w:val="000000" w:themeColor="text1"/>
          <w:sz w:val="21"/>
          <w:szCs w:val="21"/>
          <w14:textFill>
            <w14:solidFill>
              <w14:schemeClr w14:val="tx1"/>
            </w14:solidFill>
          </w14:textFill>
        </w:rPr>
      </w:pPr>
      <w:r>
        <w:rPr>
          <w:rFonts w:ascii="黑体" w:hAnsi="黑体" w:eastAsia="黑体"/>
          <w:color w:val="000000" w:themeColor="text1"/>
          <w:sz w:val="21"/>
          <w:szCs w:val="21"/>
          <w14:textFill>
            <w14:solidFill>
              <w14:schemeClr w14:val="tx1"/>
            </w14:solidFill>
          </w14:textFill>
        </w:rPr>
        <w:t>1.5</w:t>
      </w:r>
      <w:r>
        <w:rPr>
          <w:rFonts w:eastAsia="宋体"/>
          <w:color w:val="000000" w:themeColor="text1"/>
          <w:sz w:val="21"/>
          <w:szCs w:val="21"/>
          <w14:textFill>
            <w14:solidFill>
              <w14:schemeClr w14:val="tx1"/>
            </w14:solidFill>
          </w14:textFill>
        </w:rPr>
        <w:t xml:space="preserve">  </w:t>
      </w:r>
      <w:r>
        <w:rPr>
          <w:rFonts w:hint="eastAsia" w:eastAsia="宋体"/>
          <w:color w:val="000000" w:themeColor="text1"/>
          <w:sz w:val="21"/>
          <w:szCs w:val="21"/>
          <w14:textFill>
            <w14:solidFill>
              <w14:schemeClr w14:val="tx1"/>
            </w14:solidFill>
          </w14:textFill>
        </w:rPr>
        <w:t>本招标技术文件经招、投标双方确认后作为订货合同的技术附件，与合同正文具有同等的法律效力。</w:t>
      </w:r>
    </w:p>
    <w:p>
      <w:pPr>
        <w:pStyle w:val="201"/>
        <w:adjustRightInd w:val="0"/>
        <w:snapToGrid w:val="0"/>
        <w:spacing w:line="360" w:lineRule="auto"/>
        <w:rPr>
          <w:rFonts w:eastAsia="宋体"/>
          <w:color w:val="000000" w:themeColor="text1"/>
          <w:sz w:val="21"/>
          <w:szCs w:val="21"/>
          <w14:textFill>
            <w14:solidFill>
              <w14:schemeClr w14:val="tx1"/>
            </w14:solidFill>
          </w14:textFill>
        </w:rPr>
      </w:pPr>
      <w:r>
        <w:rPr>
          <w:rFonts w:ascii="黑体" w:hAnsi="黑体" w:eastAsia="黑体"/>
          <w:color w:val="000000" w:themeColor="text1"/>
          <w:sz w:val="21"/>
          <w:szCs w:val="21"/>
          <w14:textFill>
            <w14:solidFill>
              <w14:schemeClr w14:val="tx1"/>
            </w14:solidFill>
          </w14:textFill>
        </w:rPr>
        <w:t>1.6</w:t>
      </w:r>
      <w:r>
        <w:rPr>
          <w:rFonts w:eastAsia="宋体"/>
          <w:color w:val="000000" w:themeColor="text1"/>
          <w:sz w:val="21"/>
          <w:szCs w:val="21"/>
          <w14:textFill>
            <w14:solidFill>
              <w14:schemeClr w14:val="tx1"/>
            </w14:solidFill>
          </w14:textFill>
        </w:rPr>
        <w:t xml:space="preserve">  </w:t>
      </w:r>
      <w:r>
        <w:rPr>
          <w:rFonts w:hint="eastAsia" w:eastAsia="宋体"/>
          <w:color w:val="000000" w:themeColor="text1"/>
          <w:sz w:val="21"/>
          <w:szCs w:val="21"/>
          <w14:textFill>
            <w14:solidFill>
              <w14:schemeClr w14:val="tx1"/>
            </w14:solidFill>
          </w14:textFill>
        </w:rPr>
        <w:t>本招标技术文件未尽事宜由招标方牵头协调，投标方应无条件配合解决。其余未尽事宜，由招、投标双方协商确定。</w:t>
      </w:r>
    </w:p>
    <w:p>
      <w:pPr>
        <w:pStyle w:val="201"/>
        <w:adjustRightInd w:val="0"/>
        <w:snapToGrid w:val="0"/>
        <w:spacing w:line="360" w:lineRule="auto"/>
        <w:ind w:firstLine="0" w:firstLineChars="0"/>
        <w:rPr>
          <w:rFonts w:eastAsia="宋体"/>
          <w:color w:val="000000" w:themeColor="text1"/>
          <w:sz w:val="21"/>
          <w:szCs w:val="21"/>
          <w14:textFill>
            <w14:solidFill>
              <w14:schemeClr w14:val="tx1"/>
            </w14:solidFill>
          </w14:textFill>
        </w:rPr>
      </w:pPr>
      <w:r>
        <w:rPr>
          <w:rFonts w:hint="eastAsia" w:ascii="黑体" w:hAnsi="黑体" w:eastAsia="黑体"/>
          <w:color w:val="000000" w:themeColor="text1"/>
          <w:sz w:val="21"/>
          <w:szCs w:val="21"/>
          <w14:textFill>
            <w14:solidFill>
              <w14:schemeClr w14:val="tx1"/>
            </w14:solidFill>
          </w14:textFill>
        </w:rPr>
        <w:t>1.7</w:t>
      </w:r>
      <w:r>
        <w:rPr>
          <w:rFonts w:hint="eastAsia" w:eastAsia="宋体"/>
          <w:color w:val="000000" w:themeColor="text1"/>
          <w:sz w:val="21"/>
          <w:szCs w:val="21"/>
          <w14:textFill>
            <w14:solidFill>
              <w14:schemeClr w14:val="tx1"/>
            </w14:solidFill>
          </w14:textFill>
        </w:rPr>
        <w:t xml:space="preserve">  投标方在应标技术文件中应如实反映应标产品与本招标技术文件的技术差异。如果投标方没有提出技术差异，而在执行合同的过程中，招标方发现投标方提供的产品与其应标招标技术文件的条文存在差异，招标方有权利要求退货，并将对下一年度的评标工作有不同程度的影响。</w:t>
      </w:r>
    </w:p>
    <w:p>
      <w:pPr>
        <w:pStyle w:val="201"/>
        <w:adjustRightInd w:val="0"/>
        <w:snapToGrid w:val="0"/>
        <w:spacing w:line="360" w:lineRule="auto"/>
        <w:ind w:firstLine="0" w:firstLineChars="0"/>
        <w:rPr>
          <w:rFonts w:eastAsia="宋体"/>
          <w:color w:val="000000" w:themeColor="text1"/>
          <w:sz w:val="21"/>
          <w:szCs w:val="21"/>
          <w14:textFill>
            <w14:solidFill>
              <w14:schemeClr w14:val="tx1"/>
            </w14:solidFill>
          </w14:textFill>
        </w:rPr>
      </w:pPr>
      <w:r>
        <w:rPr>
          <w:rFonts w:hint="eastAsia" w:ascii="黑体" w:hAnsi="黑体" w:eastAsia="黑体"/>
          <w:color w:val="000000" w:themeColor="text1"/>
          <w:sz w:val="21"/>
          <w:szCs w:val="21"/>
          <w14:textFill>
            <w14:solidFill>
              <w14:schemeClr w14:val="tx1"/>
            </w14:solidFill>
          </w14:textFill>
        </w:rPr>
        <w:t>1.8</w:t>
      </w:r>
      <w:r>
        <w:rPr>
          <w:rFonts w:hint="eastAsia" w:eastAsia="宋体"/>
          <w:color w:val="000000" w:themeColor="text1"/>
          <w:sz w:val="21"/>
          <w:szCs w:val="21"/>
          <w14:textFill>
            <w14:solidFill>
              <w14:schemeClr w14:val="tx1"/>
            </w14:solidFill>
          </w14:textFill>
        </w:rPr>
        <w:t xml:space="preserve">  投标方应在应标技术部分按本招标技术文件的要求如实详细的填写应标设备的标准配置表，并在应标商务部分按此标准配置进行报价，如发现二者有矛盾之处，将对评标工作有不同程度的影响。</w:t>
      </w:r>
    </w:p>
    <w:p>
      <w:pPr>
        <w:pStyle w:val="201"/>
        <w:adjustRightInd w:val="0"/>
        <w:snapToGrid w:val="0"/>
        <w:spacing w:line="360" w:lineRule="auto"/>
        <w:ind w:firstLine="0" w:firstLineChars="0"/>
        <w:rPr>
          <w:rFonts w:eastAsia="宋体"/>
          <w:color w:val="000000" w:themeColor="text1"/>
          <w:sz w:val="21"/>
          <w:szCs w:val="21"/>
          <w14:textFill>
            <w14:solidFill>
              <w14:schemeClr w14:val="tx1"/>
            </w14:solidFill>
          </w14:textFill>
        </w:rPr>
      </w:pPr>
      <w:r>
        <w:rPr>
          <w:rFonts w:hint="eastAsia" w:ascii="黑体" w:hAnsi="黑体" w:eastAsia="黑体"/>
          <w:color w:val="000000" w:themeColor="text1"/>
          <w:sz w:val="21"/>
          <w:szCs w:val="21"/>
          <w14:textFill>
            <w14:solidFill>
              <w14:schemeClr w14:val="tx1"/>
            </w14:solidFill>
          </w14:textFill>
        </w:rPr>
        <w:t>1.9</w:t>
      </w:r>
      <w:r>
        <w:rPr>
          <w:rFonts w:hint="eastAsia" w:eastAsia="宋体"/>
          <w:color w:val="000000" w:themeColor="text1"/>
          <w:sz w:val="21"/>
          <w:szCs w:val="21"/>
          <w14:textFill>
            <w14:solidFill>
              <w14:schemeClr w14:val="tx1"/>
            </w14:solidFill>
          </w14:textFill>
        </w:rPr>
        <w:t xml:space="preserve">  投标方应充分理解本招标技术文件并按本招标技术文件的具体条款、格式要求填写应标的技术文件，如发现应标的技术文件条款、格式不符合本招标技术文件的要求，则认为应标不严肃，在评标时将有不同程度的扣分。</w:t>
      </w:r>
    </w:p>
    <w:p>
      <w:pPr>
        <w:pStyle w:val="201"/>
        <w:adjustRightInd w:val="0"/>
        <w:snapToGrid w:val="0"/>
        <w:spacing w:line="360" w:lineRule="auto"/>
        <w:ind w:firstLine="0" w:firstLineChars="0"/>
        <w:rPr>
          <w:rFonts w:eastAsia="宋体"/>
          <w:color w:val="000000" w:themeColor="text1"/>
          <w:sz w:val="21"/>
          <w:szCs w:val="21"/>
          <w14:textFill>
            <w14:solidFill>
              <w14:schemeClr w14:val="tx1"/>
            </w14:solidFill>
          </w14:textFill>
        </w:rPr>
      </w:pPr>
      <w:r>
        <w:rPr>
          <w:rFonts w:hint="eastAsia" w:ascii="黑体" w:hAnsi="黑体" w:eastAsia="黑体"/>
          <w:color w:val="000000" w:themeColor="text1"/>
          <w:sz w:val="21"/>
          <w:szCs w:val="21"/>
          <w14:textFill>
            <w14:solidFill>
              <w14:schemeClr w14:val="tx1"/>
            </w14:solidFill>
          </w14:textFill>
        </w:rPr>
        <w:t xml:space="preserve">1.10 </w:t>
      </w:r>
      <w:r>
        <w:rPr>
          <w:rFonts w:hint="eastAsia" w:eastAsia="宋体"/>
          <w:color w:val="000000" w:themeColor="text1"/>
          <w:sz w:val="21"/>
          <w:szCs w:val="21"/>
          <w14:textFill>
            <w14:solidFill>
              <w14:schemeClr w14:val="tx1"/>
            </w14:solidFill>
          </w14:textFill>
        </w:rPr>
        <w:t xml:space="preserve"> 标注“★”的条款为关键条款，作为评标时打分的重点参考。</w:t>
      </w:r>
    </w:p>
    <w:p>
      <w:pPr>
        <w:pStyle w:val="2"/>
        <w:snapToGrid/>
        <w:spacing w:before="0" w:beforeLines="0" w:line="480" w:lineRule="auto"/>
        <w:rPr>
          <w:rFonts w:ascii="黑体" w:eastAsia="黑体"/>
          <w:color w:val="000000" w:themeColor="text1"/>
          <w14:textFill>
            <w14:solidFill>
              <w14:schemeClr w14:val="tx1"/>
            </w14:solidFill>
          </w14:textFill>
        </w:rPr>
      </w:pPr>
      <w:bookmarkStart w:id="8" w:name="_Toc177995318"/>
      <w:r>
        <w:rPr>
          <w:rFonts w:hint="eastAsia" w:ascii="黑体" w:eastAsia="黑体"/>
          <w:color w:val="000000" w:themeColor="text1"/>
          <w14:textFill>
            <w14:solidFill>
              <w14:schemeClr w14:val="tx1"/>
            </w14:solidFill>
          </w14:textFill>
        </w:rPr>
        <w:t>工作范围</w:t>
      </w:r>
      <w:bookmarkEnd w:id="8"/>
    </w:p>
    <w:p>
      <w:pPr>
        <w:pStyle w:val="3"/>
        <w:numPr>
          <w:ilvl w:val="1"/>
          <w:numId w:val="0"/>
        </w:numPr>
        <w:rPr>
          <w:rFonts w:ascii="黑体" w:hAnsi="黑体" w:eastAsia="黑体"/>
          <w:color w:val="000000" w:themeColor="text1"/>
          <w14:textFill>
            <w14:solidFill>
              <w14:schemeClr w14:val="tx1"/>
            </w14:solidFill>
          </w14:textFill>
        </w:rPr>
      </w:pPr>
      <w:bookmarkStart w:id="9" w:name="_Toc177995319"/>
      <w:r>
        <w:rPr>
          <w:rFonts w:ascii="黑体" w:hAnsi="黑体" w:eastAsia="黑体"/>
          <w:color w:val="000000" w:themeColor="text1"/>
          <w14:textFill>
            <w14:solidFill>
              <w14:schemeClr w14:val="tx1"/>
            </w14:solidFill>
          </w14:textFill>
        </w:rPr>
        <w:t>2.</w:t>
      </w:r>
      <w:r>
        <w:rPr>
          <w:rFonts w:hint="eastAsia" w:ascii="黑体" w:hAnsi="黑体" w:eastAsia="黑体"/>
          <w:color w:val="000000" w:themeColor="text1"/>
          <w14:textFill>
            <w14:solidFill>
              <w14:schemeClr w14:val="tx1"/>
            </w14:solidFill>
          </w14:textFill>
        </w:rPr>
        <w:t>1</w:t>
      </w:r>
      <w:r>
        <w:rPr>
          <w:rFonts w:ascii="黑体" w:hAnsi="黑体" w:eastAsia="黑体"/>
          <w:color w:val="000000" w:themeColor="text1"/>
          <w14:textFill>
            <w14:solidFill>
              <w14:schemeClr w14:val="tx1"/>
            </w14:solidFill>
          </w14:textFill>
        </w:rPr>
        <w:t xml:space="preserve"> </w:t>
      </w:r>
      <w:r>
        <w:rPr>
          <w:rFonts w:hint="eastAsia" w:ascii="黑体" w:hAnsi="黑体" w:eastAsia="黑体"/>
          <w:color w:val="000000" w:themeColor="text1"/>
          <w14:textFill>
            <w14:solidFill>
              <w14:schemeClr w14:val="tx1"/>
            </w14:solidFill>
          </w14:textFill>
        </w:rPr>
        <w:t>工程概况</w:t>
      </w:r>
      <w:bookmarkEnd w:id="9"/>
    </w:p>
    <w:p>
      <w:pPr>
        <w:pStyle w:val="201"/>
        <w:adjustRightInd w:val="0"/>
        <w:snapToGrid w:val="0"/>
        <w:spacing w:line="360" w:lineRule="auto"/>
        <w:rPr>
          <w:rFonts w:ascii="Times New Roman" w:hAnsi="Times New Roman" w:eastAsia="宋体"/>
          <w:color w:val="000000" w:themeColor="text1"/>
          <w:sz w:val="21"/>
          <w:szCs w:val="21"/>
          <w14:textFill>
            <w14:solidFill>
              <w14:schemeClr w14:val="tx1"/>
            </w14:solidFill>
          </w14:textFill>
        </w:rPr>
      </w:pPr>
      <w:r>
        <w:rPr>
          <w:rFonts w:ascii="Times New Roman" w:hAnsi="Times New Roman" w:eastAsia="宋体"/>
          <w:color w:val="000000" w:themeColor="text1"/>
          <w:sz w:val="21"/>
          <w:szCs w:val="21"/>
          <w14:textFill>
            <w14:solidFill>
              <w14:schemeClr w14:val="tx1"/>
            </w14:solidFill>
          </w14:textFill>
        </w:rPr>
        <w:t>本招标规范书采购的</w:t>
      </w:r>
      <w:r>
        <w:rPr>
          <w:rFonts w:hint="eastAsia" w:ascii="Times New Roman" w:hAnsi="Times New Roman" w:eastAsia="宋体"/>
          <w:color w:val="000000" w:themeColor="text1"/>
          <w:sz w:val="21"/>
          <w:szCs w:val="21"/>
          <w14:textFill>
            <w14:solidFill>
              <w14:schemeClr w14:val="tx1"/>
            </w14:solidFill>
          </w14:textFill>
        </w:rPr>
        <w:t>干式串联联络变压器</w:t>
      </w:r>
      <w:r>
        <w:rPr>
          <w:rFonts w:ascii="Times New Roman" w:hAnsi="Times New Roman" w:eastAsia="宋体"/>
          <w:color w:val="000000" w:themeColor="text1"/>
          <w:sz w:val="21"/>
          <w:szCs w:val="21"/>
          <w14:textFill>
            <w14:solidFill>
              <w14:schemeClr w14:val="tx1"/>
            </w14:solidFill>
          </w14:textFill>
        </w:rPr>
        <w:t>及其附属设备适用的工程概况见表2.1：工程概况一览表。</w:t>
      </w:r>
    </w:p>
    <w:p>
      <w:pPr>
        <w:pStyle w:val="187"/>
        <w:spacing w:line="360" w:lineRule="auto"/>
        <w:ind w:firstLine="420"/>
        <w:jc w:val="center"/>
        <w:rPr>
          <w:rFonts w:ascii="Times New Roman"/>
          <w:color w:val="000000" w:themeColor="text1"/>
          <w:szCs w:val="21"/>
          <w14:textFill>
            <w14:solidFill>
              <w14:schemeClr w14:val="tx1"/>
            </w14:solidFill>
          </w14:textFill>
        </w:rPr>
      </w:pPr>
      <w:r>
        <w:rPr>
          <w:rFonts w:ascii="Times New Roman"/>
          <w:color w:val="000000" w:themeColor="text1"/>
          <w:szCs w:val="21"/>
          <w14:textFill>
            <w14:solidFill>
              <w14:schemeClr w14:val="tx1"/>
            </w14:solidFill>
          </w14:textFill>
        </w:rPr>
        <w:t>表2.1-1 工程概况一览表</w:t>
      </w:r>
    </w:p>
    <w:tbl>
      <w:tblPr>
        <w:tblStyle w:val="84"/>
        <w:tblW w:w="8368" w:type="dxa"/>
        <w:jc w:val="center"/>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108" w:type="dxa"/>
          <w:bottom w:w="0" w:type="dxa"/>
          <w:right w:w="108" w:type="dxa"/>
        </w:tblCellMar>
      </w:tblPr>
      <w:tblGrid>
        <w:gridCol w:w="626"/>
        <w:gridCol w:w="2631"/>
        <w:gridCol w:w="5111"/>
      </w:tblGrid>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jc w:val="center"/>
        </w:trPr>
        <w:tc>
          <w:tcPr>
            <w:tcW w:w="626" w:type="dxa"/>
            <w:vAlign w:val="center"/>
          </w:tcPr>
          <w:p>
            <w:pPr>
              <w:spacing w:line="360" w:lineRule="auto"/>
              <w:jc w:val="center"/>
              <w:rPr>
                <w:color w:val="000000" w:themeColor="text1"/>
                <w:szCs w:val="21"/>
                <w14:textFill>
                  <w14:solidFill>
                    <w14:schemeClr w14:val="tx1"/>
                  </w14:solidFill>
                </w14:textFill>
              </w:rPr>
            </w:pPr>
            <w:r>
              <w:rPr>
                <w:color w:val="000000" w:themeColor="text1"/>
                <w:szCs w:val="21"/>
                <w14:textFill>
                  <w14:solidFill>
                    <w14:schemeClr w14:val="tx1"/>
                  </w14:solidFill>
                </w14:textFill>
              </w:rPr>
              <w:t>序号</w:t>
            </w:r>
          </w:p>
        </w:tc>
        <w:tc>
          <w:tcPr>
            <w:tcW w:w="2631" w:type="dxa"/>
            <w:vAlign w:val="center"/>
          </w:tcPr>
          <w:p>
            <w:pPr>
              <w:spacing w:line="360" w:lineRule="auto"/>
              <w:jc w:val="center"/>
              <w:rPr>
                <w:color w:val="000000" w:themeColor="text1"/>
                <w:szCs w:val="21"/>
                <w14:textFill>
                  <w14:solidFill>
                    <w14:schemeClr w14:val="tx1"/>
                  </w14:solidFill>
                </w14:textFill>
              </w:rPr>
            </w:pPr>
            <w:r>
              <w:rPr>
                <w:color w:val="000000" w:themeColor="text1"/>
                <w:szCs w:val="21"/>
                <w14:textFill>
                  <w14:solidFill>
                    <w14:schemeClr w14:val="tx1"/>
                  </w14:solidFill>
                </w14:textFill>
              </w:rPr>
              <w:t>名称</w:t>
            </w:r>
          </w:p>
        </w:tc>
        <w:tc>
          <w:tcPr>
            <w:tcW w:w="5111" w:type="dxa"/>
            <w:vAlign w:val="center"/>
          </w:tcPr>
          <w:p>
            <w:pPr>
              <w:spacing w:line="360" w:lineRule="auto"/>
              <w:jc w:val="center"/>
              <w:rPr>
                <w:color w:val="000000" w:themeColor="text1"/>
                <w:szCs w:val="21"/>
                <w14:textFill>
                  <w14:solidFill>
                    <w14:schemeClr w14:val="tx1"/>
                  </w14:solidFill>
                </w14:textFill>
              </w:rPr>
            </w:pPr>
            <w:r>
              <w:rPr>
                <w:color w:val="000000" w:themeColor="text1"/>
                <w:szCs w:val="21"/>
                <w14:textFill>
                  <w14:solidFill>
                    <w14:schemeClr w14:val="tx1"/>
                  </w14:solidFill>
                </w14:textFill>
              </w:rPr>
              <w:t>内容</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472" w:hRule="atLeast"/>
          <w:jc w:val="center"/>
        </w:trPr>
        <w:tc>
          <w:tcPr>
            <w:tcW w:w="626" w:type="dxa"/>
            <w:vAlign w:val="center"/>
          </w:tcPr>
          <w:p>
            <w:pPr>
              <w:spacing w:line="360" w:lineRule="auto"/>
              <w:jc w:val="center"/>
              <w:rPr>
                <w:color w:val="000000" w:themeColor="text1"/>
                <w:szCs w:val="21"/>
                <w14:textFill>
                  <w14:solidFill>
                    <w14:schemeClr w14:val="tx1"/>
                  </w14:solidFill>
                </w14:textFill>
              </w:rPr>
            </w:pPr>
            <w:r>
              <w:rPr>
                <w:color w:val="000000" w:themeColor="text1"/>
                <w:szCs w:val="21"/>
                <w14:textFill>
                  <w14:solidFill>
                    <w14:schemeClr w14:val="tx1"/>
                  </w14:solidFill>
                </w14:textFill>
              </w:rPr>
              <w:t>1</w:t>
            </w:r>
          </w:p>
        </w:tc>
        <w:tc>
          <w:tcPr>
            <w:tcW w:w="2631" w:type="dxa"/>
            <w:vAlign w:val="center"/>
          </w:tcPr>
          <w:p>
            <w:pPr>
              <w:spacing w:line="360" w:lineRule="auto"/>
              <w:rPr>
                <w:color w:val="000000" w:themeColor="text1"/>
                <w:szCs w:val="21"/>
                <w14:textFill>
                  <w14:solidFill>
                    <w14:schemeClr w14:val="tx1"/>
                  </w14:solidFill>
                </w14:textFill>
              </w:rPr>
            </w:pPr>
            <w:r>
              <w:rPr>
                <w:color w:val="000000" w:themeColor="text1"/>
                <w:szCs w:val="21"/>
                <w14:textFill>
                  <w14:solidFill>
                    <w14:schemeClr w14:val="tx1"/>
                  </w14:solidFill>
                </w14:textFill>
              </w:rPr>
              <w:t>工程名称</w:t>
            </w:r>
          </w:p>
        </w:tc>
        <w:tc>
          <w:tcPr>
            <w:tcW w:w="5111" w:type="dxa"/>
            <w:vAlign w:val="center"/>
          </w:tcPr>
          <w:p>
            <w:pPr>
              <w:spacing w:line="360" w:lineRule="auto"/>
              <w:jc w:val="center"/>
              <w:rPr>
                <w:color w:val="000000" w:themeColor="text1"/>
                <w:szCs w:val="21"/>
                <w14:textFill>
                  <w14:solidFill>
                    <w14:schemeClr w14:val="tx1"/>
                  </w14:solidFill>
                </w14:textFill>
              </w:rPr>
            </w:pPr>
            <w:r>
              <w:rPr>
                <w:rFonts w:hint="eastAsia"/>
                <w:color w:val="000000" w:themeColor="text1"/>
                <w:szCs w:val="21"/>
                <w14:textFill>
                  <w14:solidFill>
                    <w14:schemeClr w14:val="tx1"/>
                  </w14:solidFill>
                </w14:textFill>
              </w:rPr>
              <w:t>高性能高温超导材料及磁储能应用示范工程</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450" w:hRule="atLeast"/>
          <w:jc w:val="center"/>
        </w:trPr>
        <w:tc>
          <w:tcPr>
            <w:tcW w:w="626" w:type="dxa"/>
            <w:vAlign w:val="center"/>
          </w:tcPr>
          <w:p>
            <w:pPr>
              <w:spacing w:line="360" w:lineRule="auto"/>
              <w:jc w:val="center"/>
              <w:rPr>
                <w:color w:val="000000" w:themeColor="text1"/>
                <w:szCs w:val="21"/>
                <w14:textFill>
                  <w14:solidFill>
                    <w14:schemeClr w14:val="tx1"/>
                  </w14:solidFill>
                </w14:textFill>
              </w:rPr>
            </w:pPr>
            <w:r>
              <w:rPr>
                <w:color w:val="000000" w:themeColor="text1"/>
                <w:szCs w:val="21"/>
                <w14:textFill>
                  <w14:solidFill>
                    <w14:schemeClr w14:val="tx1"/>
                  </w14:solidFill>
                </w14:textFill>
              </w:rPr>
              <w:t>2</w:t>
            </w:r>
          </w:p>
        </w:tc>
        <w:tc>
          <w:tcPr>
            <w:tcW w:w="2631" w:type="dxa"/>
            <w:vAlign w:val="center"/>
          </w:tcPr>
          <w:p>
            <w:pPr>
              <w:spacing w:line="360" w:lineRule="auto"/>
              <w:rPr>
                <w:color w:val="000000" w:themeColor="text1"/>
                <w:szCs w:val="21"/>
                <w14:textFill>
                  <w14:solidFill>
                    <w14:schemeClr w14:val="tx1"/>
                  </w14:solidFill>
                </w14:textFill>
              </w:rPr>
            </w:pPr>
            <w:r>
              <w:rPr>
                <w:rFonts w:hint="eastAsia"/>
                <w:color w:val="000000" w:themeColor="text1"/>
                <w:szCs w:val="21"/>
                <w14:textFill>
                  <w14:solidFill>
                    <w14:schemeClr w14:val="tx1"/>
                  </w14:solidFill>
                </w14:textFill>
              </w:rPr>
              <w:t>工程建设单位</w:t>
            </w:r>
          </w:p>
        </w:tc>
        <w:tc>
          <w:tcPr>
            <w:tcW w:w="5111" w:type="dxa"/>
            <w:vAlign w:val="center"/>
          </w:tcPr>
          <w:p>
            <w:pPr>
              <w:spacing w:line="360" w:lineRule="auto"/>
              <w:jc w:val="center"/>
              <w:rPr>
                <w:color w:val="000000" w:themeColor="text1"/>
                <w:szCs w:val="21"/>
                <w14:textFill>
                  <w14:solidFill>
                    <w14:schemeClr w14:val="tx1"/>
                  </w14:solidFill>
                </w14:textFill>
              </w:rPr>
            </w:pPr>
            <w:r>
              <w:rPr>
                <w:rFonts w:hint="eastAsia"/>
                <w:color w:val="000000" w:themeColor="text1"/>
                <w:szCs w:val="21"/>
                <w14:textFill>
                  <w14:solidFill>
                    <w14:schemeClr w14:val="tx1"/>
                  </w14:solidFill>
                </w14:textFill>
              </w:rPr>
              <w:t>广东电网有限责任公司中山供电局</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457" w:hRule="atLeast"/>
          <w:jc w:val="center"/>
        </w:trPr>
        <w:tc>
          <w:tcPr>
            <w:tcW w:w="626" w:type="dxa"/>
            <w:vAlign w:val="center"/>
          </w:tcPr>
          <w:p>
            <w:pPr>
              <w:spacing w:line="360" w:lineRule="auto"/>
              <w:jc w:val="center"/>
              <w:rPr>
                <w:color w:val="000000" w:themeColor="text1"/>
                <w:szCs w:val="21"/>
                <w14:textFill>
                  <w14:solidFill>
                    <w14:schemeClr w14:val="tx1"/>
                  </w14:solidFill>
                </w14:textFill>
              </w:rPr>
            </w:pPr>
            <w:r>
              <w:rPr>
                <w:color w:val="000000" w:themeColor="text1"/>
                <w:szCs w:val="21"/>
                <w14:textFill>
                  <w14:solidFill>
                    <w14:schemeClr w14:val="tx1"/>
                  </w14:solidFill>
                </w14:textFill>
              </w:rPr>
              <w:t>3</w:t>
            </w:r>
          </w:p>
        </w:tc>
        <w:tc>
          <w:tcPr>
            <w:tcW w:w="2631" w:type="dxa"/>
            <w:vAlign w:val="center"/>
          </w:tcPr>
          <w:p>
            <w:pPr>
              <w:spacing w:line="360" w:lineRule="auto"/>
              <w:rPr>
                <w:color w:val="000000" w:themeColor="text1"/>
                <w:szCs w:val="21"/>
                <w14:textFill>
                  <w14:solidFill>
                    <w14:schemeClr w14:val="tx1"/>
                  </w14:solidFill>
                </w14:textFill>
              </w:rPr>
            </w:pPr>
            <w:r>
              <w:rPr>
                <w:rFonts w:hint="eastAsia"/>
                <w:color w:val="000000" w:themeColor="text1"/>
                <w:szCs w:val="21"/>
                <w14:textFill>
                  <w14:solidFill>
                    <w14:schemeClr w14:val="tx1"/>
                  </w14:solidFill>
                </w14:textFill>
              </w:rPr>
              <w:t>工程地址</w:t>
            </w:r>
          </w:p>
        </w:tc>
        <w:tc>
          <w:tcPr>
            <w:tcW w:w="5111" w:type="dxa"/>
            <w:vAlign w:val="center"/>
          </w:tcPr>
          <w:p>
            <w:pPr>
              <w:spacing w:line="360" w:lineRule="auto"/>
              <w:jc w:val="center"/>
              <w:rPr>
                <w:color w:val="000000" w:themeColor="text1"/>
                <w:szCs w:val="21"/>
                <w14:textFill>
                  <w14:solidFill>
                    <w14:schemeClr w14:val="tx1"/>
                  </w14:solidFill>
                </w14:textFill>
              </w:rPr>
            </w:pPr>
            <w:r>
              <w:rPr>
                <w:rFonts w:hint="eastAsia"/>
                <w:color w:val="000000" w:themeColor="text1"/>
                <w:szCs w:val="21"/>
                <w14:textFill>
                  <w14:solidFill>
                    <w14:schemeClr w14:val="tx1"/>
                  </w14:solidFill>
                </w14:textFill>
              </w:rPr>
              <w:t>广东省中山市超导磁储能电站（</w:t>
            </w:r>
            <w:r>
              <w:rPr>
                <w:color w:val="000000" w:themeColor="text1"/>
                <w:szCs w:val="21"/>
                <w14:textFill>
                  <w14:solidFill>
                    <w14:schemeClr w14:val="tx1"/>
                  </w14:solidFill>
                </w14:textFill>
              </w:rPr>
              <w:t>110kV</w:t>
            </w:r>
            <w:r>
              <w:rPr>
                <w:rFonts w:hint="eastAsia"/>
                <w:color w:val="000000" w:themeColor="text1"/>
                <w:szCs w:val="21"/>
                <w14:textFill>
                  <w14:solidFill>
                    <w14:schemeClr w14:val="tx1"/>
                  </w14:solidFill>
                </w14:textFill>
              </w:rPr>
              <w:t>滨海站内）</w:t>
            </w:r>
          </w:p>
        </w:tc>
      </w:tr>
    </w:tbl>
    <w:p>
      <w:pPr>
        <w:pStyle w:val="201"/>
        <w:adjustRightInd w:val="0"/>
        <w:snapToGrid w:val="0"/>
        <w:spacing w:line="360" w:lineRule="auto"/>
        <w:rPr>
          <w:rFonts w:ascii="Times New Roman" w:hAnsi="Times New Roman" w:eastAsia="宋体"/>
          <w:color w:val="000000" w:themeColor="text1"/>
          <w:sz w:val="21"/>
          <w:szCs w:val="21"/>
          <w14:textFill>
            <w14:solidFill>
              <w14:schemeClr w14:val="tx1"/>
            </w14:solidFill>
          </w14:textFill>
        </w:rPr>
      </w:pPr>
      <w:r>
        <w:rPr>
          <w:rFonts w:hint="eastAsia" w:ascii="Times New Roman" w:hAnsi="Times New Roman" w:eastAsia="宋体"/>
          <w:color w:val="000000" w:themeColor="text1"/>
          <w:sz w:val="21"/>
          <w:szCs w:val="21"/>
          <w14:textFill>
            <w14:solidFill>
              <w14:schemeClr w14:val="tx1"/>
            </w14:solidFill>
          </w14:textFill>
        </w:rPr>
        <w:t>高性能高温超导材料及磁储能应用示范工程项目计划在中山市滨海站建设一套</w:t>
      </w:r>
      <w:r>
        <w:rPr>
          <w:rFonts w:ascii="Times New Roman" w:hAnsi="Times New Roman" w:eastAsia="宋体"/>
          <w:color w:val="000000" w:themeColor="text1"/>
          <w:sz w:val="21"/>
          <w:szCs w:val="21"/>
          <w14:textFill>
            <w14:solidFill>
              <w14:schemeClr w14:val="tx1"/>
            </w14:solidFill>
          </w14:textFill>
        </w:rPr>
        <w:t>5MW/10MJ</w:t>
      </w:r>
      <w:r>
        <w:rPr>
          <w:rFonts w:hint="eastAsia" w:ascii="Times New Roman" w:hAnsi="Times New Roman" w:eastAsia="宋体"/>
          <w:color w:val="000000" w:themeColor="text1"/>
          <w:sz w:val="21"/>
          <w:szCs w:val="21"/>
          <w14:textFill>
            <w14:solidFill>
              <w14:schemeClr w14:val="tx1"/>
            </w14:solidFill>
          </w14:textFill>
        </w:rPr>
        <w:t>的超导磁储能（</w:t>
      </w:r>
      <w:r>
        <w:rPr>
          <w:rFonts w:ascii="Times New Roman" w:hAnsi="Times New Roman" w:eastAsia="宋体"/>
          <w:color w:val="000000" w:themeColor="text1"/>
          <w:sz w:val="21"/>
          <w:szCs w:val="21"/>
          <w14:textFill>
            <w14:solidFill>
              <w14:schemeClr w14:val="tx1"/>
            </w14:solidFill>
          </w14:textFill>
        </w:rPr>
        <w:t>Superconducting Magnetic Energy Storage</w:t>
      </w:r>
      <w:r>
        <w:rPr>
          <w:rFonts w:hint="eastAsia" w:ascii="Times New Roman" w:hAnsi="Times New Roman" w:eastAsia="宋体"/>
          <w:color w:val="000000" w:themeColor="text1"/>
          <w:sz w:val="21"/>
          <w:szCs w:val="21"/>
          <w14:textFill>
            <w14:solidFill>
              <w14:schemeClr w14:val="tx1"/>
            </w14:solidFill>
          </w14:textFill>
        </w:rPr>
        <w:t>，</w:t>
      </w:r>
      <w:r>
        <w:rPr>
          <w:rFonts w:ascii="Times New Roman" w:hAnsi="Times New Roman" w:eastAsia="宋体"/>
          <w:color w:val="000000" w:themeColor="text1"/>
          <w:sz w:val="21"/>
          <w:szCs w:val="21"/>
          <w14:textFill>
            <w14:solidFill>
              <w14:schemeClr w14:val="tx1"/>
            </w14:solidFill>
          </w14:textFill>
        </w:rPr>
        <w:t>SMES</w:t>
      </w:r>
      <w:r>
        <w:rPr>
          <w:rFonts w:hint="eastAsia" w:ascii="Times New Roman" w:hAnsi="Times New Roman" w:eastAsia="宋体"/>
          <w:color w:val="000000" w:themeColor="text1"/>
          <w:sz w:val="21"/>
          <w:szCs w:val="21"/>
          <w14:textFill>
            <w14:solidFill>
              <w14:schemeClr w14:val="tx1"/>
            </w14:solidFill>
          </w14:textFill>
        </w:rPr>
        <w:t>电站），整个超导磁储能电站含串联型变流升压系统、并联型变流升压系统、超导磁储能系统、冷却系统及高低压开关柜配电装置。超导磁储能电站采用预制舱布置，超导磁储能电站采用</w:t>
      </w:r>
      <w:r>
        <w:rPr>
          <w:rFonts w:ascii="Times New Roman" w:hAnsi="Times New Roman" w:eastAsia="宋体"/>
          <w:color w:val="000000" w:themeColor="text1"/>
          <w:sz w:val="21"/>
          <w:szCs w:val="21"/>
          <w14:textFill>
            <w14:solidFill>
              <w14:schemeClr w14:val="tx1"/>
            </w14:solidFill>
          </w14:textFill>
        </w:rPr>
        <w:t>10kV</w:t>
      </w:r>
      <w:r>
        <w:rPr>
          <w:rFonts w:hint="eastAsia" w:ascii="Times New Roman" w:hAnsi="Times New Roman" w:eastAsia="宋体"/>
          <w:color w:val="000000" w:themeColor="text1"/>
          <w:sz w:val="21"/>
          <w:szCs w:val="21"/>
          <w14:textFill>
            <w14:solidFill>
              <w14:schemeClr w14:val="tx1"/>
            </w14:solidFill>
          </w14:textFill>
        </w:rPr>
        <w:t>接入对侧</w:t>
      </w:r>
      <w:r>
        <w:rPr>
          <w:rFonts w:ascii="Times New Roman" w:hAnsi="Times New Roman" w:eastAsia="宋体"/>
          <w:color w:val="000000" w:themeColor="text1"/>
          <w:sz w:val="21"/>
          <w:szCs w:val="21"/>
          <w14:textFill>
            <w14:solidFill>
              <w14:schemeClr w14:val="tx1"/>
            </w14:solidFill>
          </w14:textFill>
        </w:rPr>
        <w:t>110kV</w:t>
      </w:r>
      <w:r>
        <w:rPr>
          <w:rFonts w:hint="eastAsia" w:ascii="Times New Roman" w:hAnsi="Times New Roman" w:eastAsia="宋体"/>
          <w:color w:val="000000" w:themeColor="text1"/>
          <w:sz w:val="21"/>
          <w:szCs w:val="21"/>
          <w14:textFill>
            <w14:solidFill>
              <w14:schemeClr w14:val="tx1"/>
            </w14:solidFill>
          </w14:textFill>
        </w:rPr>
        <w:t>滨海站</w:t>
      </w:r>
      <w:r>
        <w:rPr>
          <w:rFonts w:ascii="Times New Roman" w:hAnsi="Times New Roman" w:eastAsia="宋体"/>
          <w:color w:val="000000" w:themeColor="text1"/>
          <w:sz w:val="21"/>
          <w:szCs w:val="21"/>
          <w14:textFill>
            <w14:solidFill>
              <w14:schemeClr w14:val="tx1"/>
            </w14:solidFill>
          </w14:textFill>
        </w:rPr>
        <w:t>10kV</w:t>
      </w:r>
      <w:r>
        <w:rPr>
          <w:rFonts w:hint="eastAsia" w:ascii="Times New Roman" w:hAnsi="Times New Roman" w:eastAsia="宋体"/>
          <w:color w:val="000000" w:themeColor="text1"/>
          <w:sz w:val="21"/>
          <w:szCs w:val="21"/>
          <w14:textFill>
            <w14:solidFill>
              <w14:schemeClr w14:val="tx1"/>
            </w14:solidFill>
          </w14:textFill>
        </w:rPr>
        <w:t>侧。</w:t>
      </w:r>
    </w:p>
    <w:p>
      <w:pPr>
        <w:rPr>
          <w:color w:val="000000" w:themeColor="text1"/>
          <w14:textFill>
            <w14:solidFill>
              <w14:schemeClr w14:val="tx1"/>
            </w14:solidFill>
          </w14:textFill>
        </w:rPr>
      </w:pPr>
    </w:p>
    <w:p>
      <w:pPr>
        <w:pStyle w:val="3"/>
        <w:numPr>
          <w:ilvl w:val="1"/>
          <w:numId w:val="0"/>
        </w:numPr>
        <w:rPr>
          <w:rFonts w:ascii="黑体" w:hAnsi="黑体" w:eastAsia="黑体"/>
          <w:color w:val="000000" w:themeColor="text1"/>
          <w14:textFill>
            <w14:solidFill>
              <w14:schemeClr w14:val="tx1"/>
            </w14:solidFill>
          </w14:textFill>
        </w:rPr>
      </w:pPr>
      <w:bookmarkStart w:id="10" w:name="_Toc177995320"/>
      <w:bookmarkStart w:id="11" w:name="_Toc290652072"/>
      <w:r>
        <w:rPr>
          <w:rFonts w:ascii="黑体" w:hAnsi="黑体" w:eastAsia="黑体"/>
          <w:color w:val="000000" w:themeColor="text1"/>
          <w14:textFill>
            <w14:solidFill>
              <w14:schemeClr w14:val="tx1"/>
            </w14:solidFill>
          </w14:textFill>
        </w:rPr>
        <w:t>2.2 范围和界限</w:t>
      </w:r>
      <w:bookmarkEnd w:id="10"/>
      <w:bookmarkEnd w:id="11"/>
    </w:p>
    <w:p>
      <w:pPr>
        <w:pStyle w:val="201"/>
        <w:adjustRightInd w:val="0"/>
        <w:snapToGrid w:val="0"/>
        <w:spacing w:line="360" w:lineRule="auto"/>
        <w:rPr>
          <w:rFonts w:eastAsia="宋体"/>
          <w:color w:val="000000" w:themeColor="text1"/>
          <w:sz w:val="21"/>
          <w:szCs w:val="21"/>
          <w14:textFill>
            <w14:solidFill>
              <w14:schemeClr w14:val="tx1"/>
            </w14:solidFill>
          </w14:textFill>
        </w:rPr>
      </w:pPr>
      <w:r>
        <w:rPr>
          <w:rFonts w:ascii="Times New Roman" w:hAnsi="Times New Roman" w:eastAsia="宋体"/>
          <w:color w:val="000000" w:themeColor="text1"/>
          <w:sz w:val="21"/>
          <w:szCs w:val="21"/>
          <w14:textFill>
            <w14:solidFill>
              <w14:schemeClr w14:val="tx1"/>
            </w14:solidFill>
          </w14:textFill>
        </w:rPr>
        <w:t>1</w:t>
      </w:r>
      <w:r>
        <w:rPr>
          <w:rFonts w:hint="eastAsia" w:ascii="Times New Roman" w:hAnsi="Times New Roman" w:eastAsia="宋体"/>
          <w:color w:val="000000" w:themeColor="text1"/>
          <w:sz w:val="21"/>
          <w:szCs w:val="21"/>
          <w14:textFill>
            <w14:solidFill>
              <w14:schemeClr w14:val="tx1"/>
            </w14:solidFill>
          </w14:textFill>
        </w:rPr>
        <w:t>、</w:t>
      </w:r>
      <w:r>
        <w:rPr>
          <w:rFonts w:hint="eastAsia" w:eastAsia="宋体"/>
          <w:color w:val="000000" w:themeColor="text1"/>
          <w:sz w:val="21"/>
          <w:szCs w:val="21"/>
          <w14:textFill>
            <w14:solidFill>
              <w14:schemeClr w14:val="tx1"/>
            </w14:solidFill>
          </w14:textFill>
        </w:rPr>
        <w:t>本标书适应于所供</w:t>
      </w:r>
      <w:r>
        <w:rPr>
          <w:rFonts w:hint="eastAsia" w:ascii="Times New Roman" w:hAnsi="Times New Roman" w:eastAsia="宋体"/>
          <w:color w:val="000000" w:themeColor="text1"/>
          <w:sz w:val="21"/>
          <w:szCs w:val="21"/>
          <w14:textFill>
            <w14:solidFill>
              <w14:schemeClr w14:val="tx1"/>
            </w14:solidFill>
          </w14:textFill>
        </w:rPr>
        <w:t>预制舱</w:t>
      </w:r>
      <w:r>
        <w:rPr>
          <w:rFonts w:hint="eastAsia" w:eastAsia="宋体"/>
          <w:color w:val="000000" w:themeColor="text1"/>
          <w:sz w:val="21"/>
          <w:szCs w:val="21"/>
          <w14:textFill>
            <w14:solidFill>
              <w14:schemeClr w14:val="tx1"/>
            </w14:solidFill>
          </w14:textFill>
        </w:rPr>
        <w:t>及其附属设备的设计、制造、装配、工厂试验、交付、现场安装和试验的指导、监督以及试运行工作。</w:t>
      </w:r>
    </w:p>
    <w:p>
      <w:pPr>
        <w:pStyle w:val="201"/>
        <w:adjustRightInd w:val="0"/>
        <w:snapToGrid w:val="0"/>
        <w:spacing w:line="360" w:lineRule="auto"/>
        <w:rPr>
          <w:rFonts w:ascii="Times New Roman" w:hAnsi="Times New Roman" w:eastAsia="宋体"/>
          <w:color w:val="000000" w:themeColor="text1"/>
          <w:sz w:val="21"/>
          <w:szCs w:val="21"/>
          <w14:textFill>
            <w14:solidFill>
              <w14:schemeClr w14:val="tx1"/>
            </w14:solidFill>
          </w14:textFill>
        </w:rPr>
      </w:pPr>
      <w:r>
        <w:rPr>
          <w:rFonts w:ascii="Times New Roman" w:hAnsi="Times New Roman" w:eastAsia="宋体"/>
          <w:color w:val="000000" w:themeColor="text1"/>
          <w:sz w:val="21"/>
          <w:szCs w:val="21"/>
          <w14:textFill>
            <w14:solidFill>
              <w14:schemeClr w14:val="tx1"/>
            </w14:solidFill>
          </w14:textFill>
        </w:rPr>
        <w:t>2</w:t>
      </w:r>
      <w:r>
        <w:rPr>
          <w:rFonts w:hint="eastAsia" w:ascii="Times New Roman" w:hAnsi="Times New Roman" w:eastAsia="宋体"/>
          <w:color w:val="000000" w:themeColor="text1"/>
          <w:sz w:val="21"/>
          <w:szCs w:val="21"/>
          <w14:textFill>
            <w14:solidFill>
              <w14:schemeClr w14:val="tx1"/>
            </w14:solidFill>
          </w14:textFill>
        </w:rPr>
        <w:t>、现场安装和试验在投标方的技术指导和监督下由招标方完成。</w:t>
      </w:r>
    </w:p>
    <w:p>
      <w:pPr>
        <w:pStyle w:val="201"/>
        <w:adjustRightInd w:val="0"/>
        <w:snapToGrid w:val="0"/>
        <w:spacing w:line="360" w:lineRule="auto"/>
        <w:rPr>
          <w:rFonts w:ascii="Times New Roman" w:hAnsi="Times New Roman" w:eastAsia="宋体"/>
          <w:color w:val="000000" w:themeColor="text1"/>
          <w:sz w:val="21"/>
          <w:szCs w:val="21"/>
          <w14:textFill>
            <w14:solidFill>
              <w14:schemeClr w14:val="tx1"/>
            </w14:solidFill>
          </w14:textFill>
        </w:rPr>
      </w:pPr>
      <w:r>
        <w:rPr>
          <w:rFonts w:ascii="Times New Roman" w:hAnsi="Times New Roman" w:eastAsia="宋体"/>
          <w:color w:val="000000" w:themeColor="text1"/>
          <w:sz w:val="21"/>
          <w:szCs w:val="21"/>
          <w14:textFill>
            <w14:solidFill>
              <w14:schemeClr w14:val="tx1"/>
            </w14:solidFill>
          </w14:textFill>
        </w:rPr>
        <w:t>3</w:t>
      </w:r>
      <w:r>
        <w:rPr>
          <w:rFonts w:hint="eastAsia" w:ascii="Times New Roman" w:hAnsi="Times New Roman" w:eastAsia="宋体"/>
          <w:color w:val="000000" w:themeColor="text1"/>
          <w:sz w:val="21"/>
          <w:szCs w:val="21"/>
          <w14:textFill>
            <w14:solidFill>
              <w14:schemeClr w14:val="tx1"/>
            </w14:solidFill>
          </w14:textFill>
        </w:rPr>
        <w:t>、本标书未说明，但又与设计、制造、装配、试验、运输、包装、保管、安装和运行维护有关的技术要求，按条款</w:t>
      </w:r>
      <w:r>
        <w:rPr>
          <w:rFonts w:ascii="Times New Roman" w:hAnsi="Times New Roman" w:eastAsia="宋体"/>
          <w:color w:val="000000" w:themeColor="text1"/>
          <w:sz w:val="21"/>
          <w:szCs w:val="21"/>
          <w14:textFill>
            <w14:solidFill>
              <w14:schemeClr w14:val="tx1"/>
            </w14:solidFill>
          </w14:textFill>
        </w:rPr>
        <w:t>3</w:t>
      </w:r>
      <w:r>
        <w:rPr>
          <w:rFonts w:hint="eastAsia" w:ascii="Times New Roman" w:hAnsi="Times New Roman" w:eastAsia="宋体"/>
          <w:color w:val="000000" w:themeColor="text1"/>
          <w:sz w:val="21"/>
          <w:szCs w:val="21"/>
          <w14:textFill>
            <w14:solidFill>
              <w14:schemeClr w14:val="tx1"/>
            </w14:solidFill>
          </w14:textFill>
        </w:rPr>
        <w:t>所规定的有关标准执行。</w:t>
      </w:r>
    </w:p>
    <w:p>
      <w:pPr>
        <w:pStyle w:val="3"/>
        <w:numPr>
          <w:ilvl w:val="1"/>
          <w:numId w:val="0"/>
        </w:numPr>
        <w:rPr>
          <w:rFonts w:ascii="黑体" w:hAnsi="黑体" w:eastAsia="黑体"/>
          <w:color w:val="000000" w:themeColor="text1"/>
          <w14:textFill>
            <w14:solidFill>
              <w14:schemeClr w14:val="tx1"/>
            </w14:solidFill>
          </w14:textFill>
        </w:rPr>
      </w:pPr>
      <w:bookmarkStart w:id="12" w:name="_Toc290652073"/>
      <w:bookmarkStart w:id="13" w:name="_Toc177995321"/>
      <w:r>
        <w:rPr>
          <w:rFonts w:ascii="黑体" w:hAnsi="黑体" w:eastAsia="黑体"/>
          <w:color w:val="000000" w:themeColor="text1"/>
          <w14:textFill>
            <w14:solidFill>
              <w14:schemeClr w14:val="tx1"/>
            </w14:solidFill>
          </w14:textFill>
        </w:rPr>
        <w:t>2.3 服务范围</w:t>
      </w:r>
      <w:bookmarkEnd w:id="12"/>
      <w:bookmarkEnd w:id="13"/>
    </w:p>
    <w:p>
      <w:pPr>
        <w:pStyle w:val="201"/>
        <w:adjustRightInd w:val="0"/>
        <w:snapToGrid w:val="0"/>
        <w:spacing w:line="360" w:lineRule="auto"/>
        <w:rPr>
          <w:rFonts w:ascii="Times New Roman" w:hAnsi="Times New Roman" w:eastAsia="宋体"/>
          <w:color w:val="000000" w:themeColor="text1"/>
          <w:sz w:val="21"/>
          <w:szCs w:val="21"/>
          <w14:textFill>
            <w14:solidFill>
              <w14:schemeClr w14:val="tx1"/>
            </w14:solidFill>
          </w14:textFill>
        </w:rPr>
      </w:pPr>
      <w:r>
        <w:rPr>
          <w:rFonts w:ascii="Times New Roman" w:hAnsi="Times New Roman" w:eastAsia="宋体"/>
          <w:color w:val="000000" w:themeColor="text1"/>
          <w:sz w:val="21"/>
          <w:szCs w:val="21"/>
          <w14:textFill>
            <w14:solidFill>
              <w14:schemeClr w14:val="tx1"/>
            </w14:solidFill>
          </w14:textFill>
        </w:rPr>
        <w:t>1</w:t>
      </w:r>
      <w:r>
        <w:rPr>
          <w:rFonts w:hint="eastAsia" w:ascii="Times New Roman" w:hAnsi="Times New Roman" w:eastAsia="宋体"/>
          <w:color w:val="000000" w:themeColor="text1"/>
          <w:sz w:val="21"/>
          <w:szCs w:val="21"/>
          <w14:textFill>
            <w14:solidFill>
              <w14:schemeClr w14:val="tx1"/>
            </w14:solidFill>
          </w14:textFill>
        </w:rPr>
        <w:t>、投标方应按本标书的要求提供全新的、合格的预制舱及其附属设备、备品备件、专用工具和仪器。</w:t>
      </w:r>
    </w:p>
    <w:p>
      <w:pPr>
        <w:pStyle w:val="201"/>
        <w:adjustRightInd w:val="0"/>
        <w:snapToGrid w:val="0"/>
        <w:spacing w:line="360" w:lineRule="auto"/>
        <w:rPr>
          <w:rFonts w:ascii="Times New Roman" w:hAnsi="Times New Roman" w:eastAsia="宋体"/>
          <w:color w:val="000000" w:themeColor="text1"/>
          <w:sz w:val="21"/>
          <w:szCs w:val="21"/>
          <w14:textFill>
            <w14:solidFill>
              <w14:schemeClr w14:val="tx1"/>
            </w14:solidFill>
          </w14:textFill>
        </w:rPr>
      </w:pPr>
      <w:r>
        <w:rPr>
          <w:rFonts w:hint="eastAsia" w:ascii="Times New Roman" w:hAnsi="Times New Roman" w:eastAsia="宋体"/>
          <w:color w:val="000000" w:themeColor="text1"/>
          <w:sz w:val="21"/>
          <w:szCs w:val="21"/>
          <w14:textFill>
            <w14:solidFill>
              <w14:schemeClr w14:val="tx1"/>
            </w14:solidFill>
          </w14:textFill>
        </w:rPr>
        <w:t>投标方所提供的组件或附件如需向第三方外购时，生产厂应对质量向招标方负责，并提供第三方资质证明文件、相应组附件的技术资料、出厂和验收证明。</w:t>
      </w:r>
    </w:p>
    <w:p>
      <w:pPr>
        <w:pStyle w:val="201"/>
        <w:adjustRightInd w:val="0"/>
        <w:snapToGrid w:val="0"/>
        <w:spacing w:line="360" w:lineRule="auto"/>
        <w:rPr>
          <w:rFonts w:ascii="Times New Roman" w:hAnsi="Times New Roman" w:eastAsia="宋体"/>
          <w:color w:val="000000" w:themeColor="text1"/>
          <w:sz w:val="21"/>
          <w:szCs w:val="21"/>
          <w14:textFill>
            <w14:solidFill>
              <w14:schemeClr w14:val="tx1"/>
            </w14:solidFill>
          </w14:textFill>
        </w:rPr>
      </w:pPr>
      <w:r>
        <w:rPr>
          <w:rFonts w:hint="eastAsia" w:ascii="Times New Roman" w:hAnsi="Times New Roman" w:eastAsia="宋体"/>
          <w:color w:val="000000" w:themeColor="text1"/>
          <w:sz w:val="21"/>
          <w:szCs w:val="21"/>
          <w14:textFill>
            <w14:solidFill>
              <w14:schemeClr w14:val="tx1"/>
            </w14:solidFill>
          </w14:textFill>
        </w:rPr>
        <w:t>投标方应对运输和安装质量向招标方负责，提供运输单位资质证明文件、详细的运输方案和安装方案。</w:t>
      </w:r>
    </w:p>
    <w:p>
      <w:pPr>
        <w:pStyle w:val="201"/>
        <w:adjustRightInd w:val="0"/>
        <w:snapToGrid w:val="0"/>
        <w:spacing w:line="360" w:lineRule="auto"/>
        <w:rPr>
          <w:rFonts w:ascii="Times New Roman" w:hAnsi="Times New Roman" w:eastAsia="宋体"/>
          <w:color w:val="000000" w:themeColor="text1"/>
          <w:sz w:val="21"/>
          <w:szCs w:val="21"/>
          <w14:textFill>
            <w14:solidFill>
              <w14:schemeClr w14:val="tx1"/>
            </w14:solidFill>
          </w14:textFill>
        </w:rPr>
      </w:pPr>
      <w:r>
        <w:rPr>
          <w:rFonts w:ascii="Times New Roman" w:hAnsi="Times New Roman" w:eastAsia="宋体"/>
          <w:color w:val="000000" w:themeColor="text1"/>
          <w:sz w:val="21"/>
          <w:szCs w:val="21"/>
          <w14:textFill>
            <w14:solidFill>
              <w14:schemeClr w14:val="tx1"/>
            </w14:solidFill>
          </w14:textFill>
        </w:rPr>
        <w:t>2</w:t>
      </w:r>
      <w:r>
        <w:rPr>
          <w:rFonts w:hint="eastAsia" w:ascii="Times New Roman" w:hAnsi="Times New Roman" w:eastAsia="宋体"/>
          <w:color w:val="000000" w:themeColor="text1"/>
          <w:sz w:val="21"/>
          <w:szCs w:val="21"/>
          <w14:textFill>
            <w14:solidFill>
              <w14:schemeClr w14:val="tx1"/>
            </w14:solidFill>
          </w14:textFill>
        </w:rPr>
        <w:t>、本工程为国家重点研发计划项目，投标方必须承诺根据招标方的要求将科技项目的研究成果应用于示范工程中，配合招标方完成工程实施。</w:t>
      </w:r>
    </w:p>
    <w:p>
      <w:pPr>
        <w:pStyle w:val="201"/>
        <w:adjustRightInd w:val="0"/>
        <w:snapToGrid w:val="0"/>
        <w:spacing w:line="360" w:lineRule="auto"/>
        <w:rPr>
          <w:rFonts w:ascii="Times New Roman" w:hAnsi="Times New Roman" w:eastAsia="宋体"/>
          <w:color w:val="000000" w:themeColor="text1"/>
          <w:sz w:val="21"/>
          <w:szCs w:val="21"/>
          <w14:textFill>
            <w14:solidFill>
              <w14:schemeClr w14:val="tx1"/>
            </w14:solidFill>
          </w14:textFill>
        </w:rPr>
      </w:pPr>
      <w:r>
        <w:rPr>
          <w:rFonts w:ascii="Times New Roman" w:hAnsi="Times New Roman" w:eastAsia="宋体"/>
          <w:color w:val="000000" w:themeColor="text1"/>
          <w:sz w:val="21"/>
          <w:szCs w:val="21"/>
          <w14:textFill>
            <w14:solidFill>
              <w14:schemeClr w14:val="tx1"/>
            </w14:solidFill>
          </w14:textFill>
        </w:rPr>
        <w:t>3</w:t>
      </w:r>
      <w:r>
        <w:rPr>
          <w:rFonts w:hint="eastAsia" w:ascii="Times New Roman" w:hAnsi="Times New Roman" w:eastAsia="宋体"/>
          <w:color w:val="000000" w:themeColor="text1"/>
          <w:sz w:val="21"/>
          <w:szCs w:val="21"/>
          <w14:textFill>
            <w14:solidFill>
              <w14:schemeClr w14:val="tx1"/>
            </w14:solidFill>
          </w14:textFill>
        </w:rPr>
        <w:t>、</w:t>
      </w:r>
      <w:r>
        <w:rPr>
          <w:rFonts w:ascii="Times New Roman" w:hAnsi="Times New Roman" w:eastAsia="宋体"/>
          <w:color w:val="000000" w:themeColor="text1"/>
          <w:sz w:val="21"/>
          <w:szCs w:val="21"/>
          <w14:textFill>
            <w14:solidFill>
              <w14:schemeClr w14:val="tx1"/>
            </w14:solidFill>
          </w14:textFill>
        </w:rPr>
        <w:t xml:space="preserve"> </w:t>
      </w:r>
      <w:r>
        <w:rPr>
          <w:rFonts w:hint="eastAsia" w:ascii="Times New Roman" w:hAnsi="Times New Roman" w:eastAsia="宋体"/>
          <w:color w:val="000000" w:themeColor="text1"/>
          <w:sz w:val="21"/>
          <w:szCs w:val="21"/>
          <w14:textFill>
            <w14:solidFill>
              <w14:schemeClr w14:val="tx1"/>
            </w14:solidFill>
          </w14:textFill>
        </w:rPr>
        <w:t>供货范围</w:t>
      </w:r>
      <w:bookmarkStart w:id="14" w:name="_Toc283011667"/>
      <w:bookmarkStart w:id="15" w:name="_Toc283142589"/>
      <w:bookmarkStart w:id="16" w:name="_Toc282433715"/>
      <w:r>
        <w:rPr>
          <w:rFonts w:hint="eastAsia" w:ascii="Times New Roman" w:hAnsi="Times New Roman" w:eastAsia="宋体"/>
          <w:color w:val="000000" w:themeColor="text1"/>
          <w:sz w:val="21"/>
          <w:szCs w:val="21"/>
          <w14:textFill>
            <w14:solidFill>
              <w14:schemeClr w14:val="tx1"/>
            </w14:solidFill>
          </w14:textFill>
        </w:rPr>
        <w:t>一览表</w:t>
      </w:r>
      <w:bookmarkEnd w:id="14"/>
      <w:bookmarkEnd w:id="15"/>
      <w:bookmarkEnd w:id="16"/>
    </w:p>
    <w:p>
      <w:pPr>
        <w:pStyle w:val="201"/>
        <w:adjustRightInd w:val="0"/>
        <w:snapToGrid w:val="0"/>
        <w:spacing w:line="360" w:lineRule="auto"/>
        <w:rPr>
          <w:rFonts w:ascii="Times New Roman" w:hAnsi="Times New Roman" w:eastAsia="宋体"/>
          <w:color w:val="000000" w:themeColor="text1"/>
          <w:sz w:val="21"/>
          <w:szCs w:val="21"/>
          <w14:textFill>
            <w14:solidFill>
              <w14:schemeClr w14:val="tx1"/>
            </w14:solidFill>
          </w14:textFill>
        </w:rPr>
      </w:pPr>
      <w:r>
        <w:rPr>
          <w:rFonts w:hint="eastAsia" w:ascii="Times New Roman" w:hAnsi="Times New Roman" w:eastAsia="宋体"/>
          <w:color w:val="000000" w:themeColor="text1"/>
          <w:sz w:val="21"/>
          <w:szCs w:val="21"/>
          <w14:textFill>
            <w14:solidFill>
              <w14:schemeClr w14:val="tx1"/>
            </w14:solidFill>
          </w14:textFill>
        </w:rPr>
        <w:t>投标方提供的断路器及附属设备的供货范围主要包括：</w:t>
      </w:r>
    </w:p>
    <w:p>
      <w:pPr>
        <w:pStyle w:val="201"/>
        <w:adjustRightInd w:val="0"/>
        <w:snapToGrid w:val="0"/>
        <w:spacing w:line="360" w:lineRule="auto"/>
        <w:rPr>
          <w:rFonts w:ascii="Times New Roman" w:hAnsi="Times New Roman" w:eastAsia="宋体"/>
          <w:color w:val="000000" w:themeColor="text1"/>
          <w:sz w:val="21"/>
          <w:szCs w:val="21"/>
          <w14:textFill>
            <w14:solidFill>
              <w14:schemeClr w14:val="tx1"/>
            </w14:solidFill>
          </w14:textFill>
        </w:rPr>
      </w:pPr>
      <w:r>
        <w:rPr>
          <w:rFonts w:hint="eastAsia" w:ascii="Times New Roman" w:hAnsi="Times New Roman" w:eastAsia="宋体"/>
          <w:color w:val="000000" w:themeColor="text1"/>
          <w:sz w:val="21"/>
          <w:szCs w:val="21"/>
          <w14:textFill>
            <w14:solidFill>
              <w14:schemeClr w14:val="tx1"/>
            </w14:solidFill>
          </w14:textFill>
        </w:rPr>
        <w:t>（</w:t>
      </w:r>
      <w:r>
        <w:rPr>
          <w:rFonts w:ascii="Times New Roman" w:hAnsi="Times New Roman" w:eastAsia="宋体"/>
          <w:color w:val="000000" w:themeColor="text1"/>
          <w:sz w:val="21"/>
          <w:szCs w:val="21"/>
          <w14:textFill>
            <w14:solidFill>
              <w14:schemeClr w14:val="tx1"/>
            </w14:solidFill>
          </w14:textFill>
        </w:rPr>
        <w:t>1</w:t>
      </w:r>
      <w:r>
        <w:rPr>
          <w:rFonts w:hint="eastAsia" w:ascii="Times New Roman" w:hAnsi="Times New Roman" w:eastAsia="宋体"/>
          <w:color w:val="000000" w:themeColor="text1"/>
          <w:sz w:val="21"/>
          <w:szCs w:val="21"/>
          <w14:textFill>
            <w14:solidFill>
              <w14:schemeClr w14:val="tx1"/>
            </w14:solidFill>
          </w14:textFill>
        </w:rPr>
        <w:t>）预制舱及预制舱内辅助设施；</w:t>
      </w:r>
    </w:p>
    <w:p>
      <w:pPr>
        <w:pStyle w:val="201"/>
        <w:adjustRightInd w:val="0"/>
        <w:snapToGrid w:val="0"/>
        <w:spacing w:line="360" w:lineRule="auto"/>
        <w:rPr>
          <w:rFonts w:ascii="Times New Roman" w:hAnsi="Times New Roman" w:eastAsia="宋体"/>
          <w:color w:val="000000" w:themeColor="text1"/>
          <w:sz w:val="21"/>
          <w:szCs w:val="21"/>
          <w14:textFill>
            <w14:solidFill>
              <w14:schemeClr w14:val="tx1"/>
            </w14:solidFill>
          </w14:textFill>
        </w:rPr>
      </w:pPr>
      <w:r>
        <w:rPr>
          <w:rFonts w:hint="eastAsia" w:ascii="Times New Roman" w:hAnsi="Times New Roman" w:eastAsia="宋体"/>
          <w:color w:val="000000" w:themeColor="text1"/>
          <w:sz w:val="21"/>
          <w:szCs w:val="21"/>
          <w14:textFill>
            <w14:solidFill>
              <w14:schemeClr w14:val="tx1"/>
            </w14:solidFill>
          </w14:textFill>
        </w:rPr>
        <w:t>（</w:t>
      </w:r>
      <w:r>
        <w:rPr>
          <w:rFonts w:ascii="Times New Roman" w:hAnsi="Times New Roman" w:eastAsia="宋体"/>
          <w:color w:val="000000" w:themeColor="text1"/>
          <w:sz w:val="21"/>
          <w:szCs w:val="21"/>
          <w14:textFill>
            <w14:solidFill>
              <w14:schemeClr w14:val="tx1"/>
            </w14:solidFill>
          </w14:textFill>
        </w:rPr>
        <w:t>2</w:t>
      </w:r>
      <w:r>
        <w:rPr>
          <w:rFonts w:hint="eastAsia" w:ascii="Times New Roman" w:hAnsi="Times New Roman" w:eastAsia="宋体"/>
          <w:color w:val="000000" w:themeColor="text1"/>
          <w:sz w:val="21"/>
          <w:szCs w:val="21"/>
          <w14:textFill>
            <w14:solidFill>
              <w14:schemeClr w14:val="tx1"/>
            </w14:solidFill>
          </w14:textFill>
        </w:rPr>
        <w:t>）</w:t>
      </w:r>
      <w:r>
        <w:rPr>
          <w:rFonts w:hint="eastAsia" w:ascii="宋体" w:hAnsi="宋体"/>
          <w:color w:val="000000" w:themeColor="text1"/>
          <w:szCs w:val="21"/>
          <w14:textFill>
            <w14:solidFill>
              <w14:schemeClr w14:val="tx1"/>
            </w14:solidFill>
          </w14:textFill>
        </w:rPr>
        <w:t>必备的备品备件、专用工具和仪器仪表</w:t>
      </w:r>
      <w:r>
        <w:rPr>
          <w:rFonts w:hint="eastAsia" w:ascii="宋体" w:hAnsi="宋体"/>
          <w:color w:val="000000" w:themeColor="text1"/>
          <w:szCs w:val="21"/>
          <w:lang w:eastAsia="zh-CN"/>
          <w14:textFill>
            <w14:solidFill>
              <w14:schemeClr w14:val="tx1"/>
            </w14:solidFill>
          </w14:textFill>
        </w:rPr>
        <w:t>；</w:t>
      </w:r>
    </w:p>
    <w:p>
      <w:pPr>
        <w:pStyle w:val="201"/>
        <w:adjustRightInd w:val="0"/>
        <w:snapToGrid w:val="0"/>
        <w:spacing w:line="360" w:lineRule="auto"/>
        <w:rPr>
          <w:rFonts w:hint="eastAsia" w:ascii="Times New Roman" w:hAnsi="Times New Roman" w:eastAsia="宋体"/>
          <w:color w:val="000000" w:themeColor="text1"/>
          <w:sz w:val="21"/>
          <w:szCs w:val="21"/>
          <w14:textFill>
            <w14:solidFill>
              <w14:schemeClr w14:val="tx1"/>
            </w14:solidFill>
          </w14:textFill>
        </w:rPr>
      </w:pPr>
      <w:r>
        <w:rPr>
          <w:rFonts w:hint="eastAsia" w:ascii="Times New Roman" w:hAnsi="Times New Roman" w:eastAsia="宋体"/>
          <w:color w:val="000000" w:themeColor="text1"/>
          <w:sz w:val="21"/>
          <w:szCs w:val="21"/>
          <w14:textFill>
            <w14:solidFill>
              <w14:schemeClr w14:val="tx1"/>
            </w14:solidFill>
          </w14:textFill>
        </w:rPr>
        <w:t>（</w:t>
      </w:r>
      <w:r>
        <w:rPr>
          <w:rFonts w:ascii="Times New Roman" w:hAnsi="Times New Roman" w:eastAsia="宋体"/>
          <w:color w:val="000000" w:themeColor="text1"/>
          <w:sz w:val="21"/>
          <w:szCs w:val="21"/>
          <w14:textFill>
            <w14:solidFill>
              <w14:schemeClr w14:val="tx1"/>
            </w14:solidFill>
          </w14:textFill>
        </w:rPr>
        <w:t>3</w:t>
      </w:r>
      <w:r>
        <w:rPr>
          <w:rFonts w:hint="eastAsia" w:ascii="Times New Roman" w:hAnsi="Times New Roman" w:eastAsia="宋体"/>
          <w:color w:val="000000" w:themeColor="text1"/>
          <w:sz w:val="21"/>
          <w:szCs w:val="21"/>
          <w14:textFill>
            <w14:solidFill>
              <w14:schemeClr w14:val="tx1"/>
            </w14:solidFill>
          </w14:textFill>
        </w:rPr>
        <w:t>）发明专利</w:t>
      </w:r>
      <w:r>
        <w:rPr>
          <w:rFonts w:hint="eastAsia" w:ascii="Times New Roman" w:hAnsi="Times New Roman" w:eastAsia="宋体"/>
          <w:color w:val="000000" w:themeColor="text1"/>
          <w:sz w:val="21"/>
          <w:szCs w:val="21"/>
          <w:lang w:eastAsia="zh-CN"/>
          <w14:textFill>
            <w14:solidFill>
              <w14:schemeClr w14:val="tx1"/>
            </w14:solidFill>
          </w14:textFill>
        </w:rPr>
        <w:t>：</w:t>
      </w:r>
      <w:r>
        <w:rPr>
          <w:rFonts w:hint="eastAsia" w:ascii="Times New Roman" w:hAnsi="Times New Roman" w:eastAsia="宋体"/>
          <w:color w:val="000000" w:themeColor="text1"/>
          <w:sz w:val="21"/>
          <w:szCs w:val="21"/>
          <w14:textFill>
            <w14:solidFill>
              <w14:schemeClr w14:val="tx1"/>
            </w14:solidFill>
          </w14:textFill>
        </w:rPr>
        <w:t xml:space="preserve"> </w:t>
      </w:r>
      <w:r>
        <w:rPr>
          <w:rFonts w:hint="eastAsia" w:ascii="Times New Roman" w:hAnsi="Times New Roman" w:eastAsia="宋体"/>
          <w:color w:val="000000" w:themeColor="text1"/>
          <w:sz w:val="21"/>
          <w:szCs w:val="21"/>
          <w:lang w:val="en-US" w:eastAsia="zh-CN"/>
          <w14:textFill>
            <w14:solidFill>
              <w14:schemeClr w14:val="tx1"/>
            </w14:solidFill>
          </w14:textFill>
        </w:rPr>
        <w:t>2</w:t>
      </w:r>
      <w:r>
        <w:rPr>
          <w:rFonts w:hint="eastAsia" w:ascii="Times New Roman" w:hAnsi="Times New Roman" w:eastAsia="宋体"/>
          <w:color w:val="000000" w:themeColor="text1"/>
          <w:sz w:val="21"/>
          <w:szCs w:val="21"/>
          <w14:textFill>
            <w14:solidFill>
              <w14:schemeClr w14:val="tx1"/>
            </w14:solidFill>
          </w14:textFill>
        </w:rPr>
        <w:t>个（项目终验前至少应达到的状态：国家知识产权局的“受理通知”）；核心期刊/EI期刊/SCI期刊</w:t>
      </w:r>
      <w:r>
        <w:rPr>
          <w:rFonts w:hint="eastAsia" w:ascii="Times New Roman" w:hAnsi="Times New Roman" w:eastAsia="宋体"/>
          <w:color w:val="000000" w:themeColor="text1"/>
          <w:sz w:val="21"/>
          <w:szCs w:val="21"/>
          <w:lang w:val="en-US" w:eastAsia="zh-CN"/>
          <w14:textFill>
            <w14:solidFill>
              <w14:schemeClr w14:val="tx1"/>
            </w14:solidFill>
          </w14:textFill>
        </w:rPr>
        <w:t>/</w:t>
      </w:r>
      <w:r>
        <w:rPr>
          <w:rFonts w:hint="eastAsia" w:ascii="Times New Roman" w:hAnsi="Times New Roman" w:eastAsia="宋体"/>
          <w:color w:val="000000" w:themeColor="text1"/>
          <w:sz w:val="21"/>
          <w:szCs w:val="21"/>
          <w14:textFill>
            <w14:solidFill>
              <w14:schemeClr w14:val="tx1"/>
            </w14:solidFill>
          </w14:textFill>
        </w:rPr>
        <w:t>EI会议论文</w:t>
      </w:r>
      <w:r>
        <w:rPr>
          <w:rFonts w:hint="eastAsia" w:ascii="Times New Roman" w:hAnsi="Times New Roman" w:eastAsia="宋体"/>
          <w:color w:val="000000" w:themeColor="text1"/>
          <w:sz w:val="21"/>
          <w:szCs w:val="21"/>
          <w:lang w:eastAsia="zh-CN"/>
          <w14:textFill>
            <w14:solidFill>
              <w14:schemeClr w14:val="tx1"/>
            </w14:solidFill>
          </w14:textFill>
        </w:rPr>
        <w:t>：</w:t>
      </w:r>
      <w:r>
        <w:rPr>
          <w:rFonts w:hint="eastAsia" w:ascii="Times New Roman" w:hAnsi="Times New Roman" w:eastAsia="宋体"/>
          <w:color w:val="000000" w:themeColor="text1"/>
          <w:sz w:val="21"/>
          <w:szCs w:val="21"/>
          <w:lang w:val="en-US" w:eastAsia="zh-CN"/>
          <w14:textFill>
            <w14:solidFill>
              <w14:schemeClr w14:val="tx1"/>
            </w14:solidFill>
          </w14:textFill>
        </w:rPr>
        <w:t>2</w:t>
      </w:r>
      <w:r>
        <w:rPr>
          <w:rFonts w:hint="eastAsia" w:ascii="Times New Roman" w:hAnsi="Times New Roman" w:eastAsia="宋体"/>
          <w:color w:val="000000" w:themeColor="text1"/>
          <w:sz w:val="21"/>
          <w:szCs w:val="21"/>
          <w14:textFill>
            <w14:solidFill>
              <w14:schemeClr w14:val="tx1"/>
            </w14:solidFill>
          </w14:textFill>
        </w:rPr>
        <w:t>篇（项目终验前至少应达到的状态：</w:t>
      </w:r>
      <w:r>
        <w:rPr>
          <w:rFonts w:hint="eastAsia" w:ascii="Times New Roman" w:hAnsi="Times New Roman" w:eastAsia="宋体"/>
          <w:color w:val="000000" w:themeColor="text1"/>
          <w:sz w:val="21"/>
          <w:szCs w:val="21"/>
          <w:lang w:val="en-US" w:eastAsia="zh-CN"/>
          <w14:textFill>
            <w14:solidFill>
              <w14:schemeClr w14:val="tx1"/>
            </w14:solidFill>
          </w14:textFill>
        </w:rPr>
        <w:t>录用/发表</w:t>
      </w:r>
      <w:r>
        <w:rPr>
          <w:rFonts w:hint="eastAsia" w:ascii="Times New Roman" w:hAnsi="Times New Roman" w:eastAsia="宋体"/>
          <w:color w:val="000000" w:themeColor="text1"/>
          <w:sz w:val="21"/>
          <w:szCs w:val="21"/>
          <w14:textFill>
            <w14:solidFill>
              <w14:schemeClr w14:val="tx1"/>
            </w14:solidFill>
          </w14:textFill>
        </w:rPr>
        <w:t>）</w:t>
      </w:r>
      <w:r>
        <w:rPr>
          <w:rFonts w:hint="eastAsia" w:ascii="Times New Roman" w:hAnsi="Times New Roman" w:eastAsia="宋体"/>
          <w:color w:val="000000" w:themeColor="text1"/>
          <w:sz w:val="21"/>
          <w:szCs w:val="21"/>
          <w:lang w:eastAsia="zh-CN"/>
          <w14:textFill>
            <w14:solidFill>
              <w14:schemeClr w14:val="tx1"/>
            </w14:solidFill>
          </w14:textFill>
        </w:rPr>
        <w:t>；</w:t>
      </w:r>
    </w:p>
    <w:p>
      <w:pPr>
        <w:pStyle w:val="201"/>
        <w:adjustRightInd w:val="0"/>
        <w:snapToGrid w:val="0"/>
        <w:spacing w:line="360" w:lineRule="auto"/>
        <w:rPr>
          <w:rFonts w:hint="eastAsia" w:ascii="Times New Roman" w:hAnsi="Times New Roman" w:eastAsia="方正书宋简体"/>
          <w:color w:val="000000" w:themeColor="text1"/>
          <w:sz w:val="21"/>
          <w:szCs w:val="21"/>
          <w:lang w:eastAsia="zh-CN"/>
          <w14:textFill>
            <w14:solidFill>
              <w14:schemeClr w14:val="tx1"/>
            </w14:solidFill>
          </w14:textFill>
        </w:rPr>
      </w:pPr>
      <w:r>
        <w:rPr>
          <w:rFonts w:hint="eastAsia" w:ascii="Times New Roman" w:hAnsi="Times New Roman" w:eastAsia="宋体"/>
          <w:color w:val="000000" w:themeColor="text1"/>
          <w:sz w:val="21"/>
          <w:szCs w:val="21"/>
          <w:lang w:eastAsia="zh-CN"/>
          <w14:textFill>
            <w14:solidFill>
              <w14:schemeClr w14:val="tx1"/>
            </w14:solidFill>
          </w14:textFill>
        </w:rPr>
        <w:t>（</w:t>
      </w:r>
      <w:r>
        <w:rPr>
          <w:rFonts w:hint="eastAsia" w:ascii="Times New Roman" w:hAnsi="Times New Roman" w:eastAsia="宋体"/>
          <w:color w:val="000000" w:themeColor="text1"/>
          <w:sz w:val="21"/>
          <w:szCs w:val="21"/>
          <w:lang w:val="en-US" w:eastAsia="zh-CN"/>
          <w14:textFill>
            <w14:solidFill>
              <w14:schemeClr w14:val="tx1"/>
            </w14:solidFill>
          </w14:textFill>
        </w:rPr>
        <w:t>4</w:t>
      </w:r>
      <w:r>
        <w:rPr>
          <w:rFonts w:hint="eastAsia" w:ascii="Times New Roman" w:hAnsi="Times New Roman" w:eastAsia="宋体"/>
          <w:color w:val="000000" w:themeColor="text1"/>
          <w:sz w:val="21"/>
          <w:szCs w:val="21"/>
          <w:lang w:eastAsia="zh-CN"/>
          <w14:textFill>
            <w14:solidFill>
              <w14:schemeClr w14:val="tx1"/>
            </w14:solidFill>
          </w14:textFill>
        </w:rPr>
        <w:t>）</w:t>
      </w:r>
      <w:r>
        <w:rPr>
          <w:color w:val="000000" w:themeColor="text1"/>
          <w14:textFill>
            <w14:solidFill>
              <w14:schemeClr w14:val="tx1"/>
            </w14:solidFill>
          </w14:textFill>
        </w:rPr>
        <w:t>BIM模型及数据</w:t>
      </w:r>
      <w:r>
        <w:rPr>
          <w:rFonts w:hint="eastAsia"/>
          <w:color w:val="000000" w:themeColor="text1"/>
          <w:lang w:eastAsia="zh-CN"/>
          <w14:textFill>
            <w14:solidFill>
              <w14:schemeClr w14:val="tx1"/>
            </w14:solidFill>
          </w14:textFill>
        </w:rPr>
        <w:t>。</w:t>
      </w:r>
    </w:p>
    <w:p>
      <w:pPr>
        <w:pStyle w:val="201"/>
        <w:adjustRightInd w:val="0"/>
        <w:snapToGrid w:val="0"/>
        <w:spacing w:line="360" w:lineRule="auto"/>
        <w:rPr>
          <w:rFonts w:hint="eastAsia" w:ascii="Times New Roman" w:hAnsi="Times New Roman" w:eastAsia="宋体"/>
          <w:color w:val="000000" w:themeColor="text1"/>
          <w:sz w:val="21"/>
          <w:szCs w:val="21"/>
          <w:lang w:eastAsia="zh-CN"/>
          <w14:textFill>
            <w14:solidFill>
              <w14:schemeClr w14:val="tx1"/>
            </w14:solidFill>
          </w14:textFill>
        </w:rPr>
      </w:pPr>
    </w:p>
    <w:p>
      <w:pPr>
        <w:pStyle w:val="201"/>
        <w:adjustRightInd w:val="0"/>
        <w:snapToGrid w:val="0"/>
        <w:spacing w:line="360" w:lineRule="auto"/>
        <w:rPr>
          <w:rFonts w:ascii="Times New Roman" w:hAnsi="Times New Roman" w:eastAsia="宋体"/>
          <w:color w:val="000000" w:themeColor="text1"/>
          <w:sz w:val="21"/>
          <w:szCs w:val="21"/>
          <w14:textFill>
            <w14:solidFill>
              <w14:schemeClr w14:val="tx1"/>
            </w14:solidFill>
          </w14:textFill>
        </w:rPr>
      </w:pPr>
      <w:r>
        <w:rPr>
          <w:rFonts w:hint="eastAsia" w:ascii="Times New Roman" w:hAnsi="Times New Roman" w:eastAsia="宋体"/>
          <w:color w:val="000000" w:themeColor="text1"/>
          <w:sz w:val="21"/>
          <w:szCs w:val="21"/>
          <w14:textFill>
            <w14:solidFill>
              <w14:schemeClr w14:val="tx1"/>
            </w14:solidFill>
          </w14:textFill>
        </w:rPr>
        <w:t>投标方提供的高压定制装置的具体规格见表</w:t>
      </w:r>
      <w:r>
        <w:rPr>
          <w:rFonts w:ascii="Times New Roman" w:hAnsi="Times New Roman" w:eastAsia="宋体"/>
          <w:color w:val="000000" w:themeColor="text1"/>
          <w:sz w:val="21"/>
          <w:szCs w:val="21"/>
          <w14:textFill>
            <w14:solidFill>
              <w14:schemeClr w14:val="tx1"/>
            </w14:solidFill>
          </w14:textFill>
        </w:rPr>
        <w:t>2.3-1</w:t>
      </w:r>
      <w:r>
        <w:rPr>
          <w:rFonts w:hint="eastAsia" w:ascii="Times New Roman" w:hAnsi="Times New Roman" w:eastAsia="宋体"/>
          <w:color w:val="000000" w:themeColor="text1"/>
          <w:sz w:val="21"/>
          <w:szCs w:val="21"/>
          <w14:textFill>
            <w14:solidFill>
              <w14:schemeClr w14:val="tx1"/>
            </w14:solidFill>
          </w14:textFill>
        </w:rPr>
        <w:t>：供货范围及设备需求一览表。投标方应如实填写“投标方保证”栏。</w:t>
      </w:r>
    </w:p>
    <w:p>
      <w:pPr>
        <w:spacing w:line="360" w:lineRule="auto"/>
        <w:jc w:val="center"/>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表</w:t>
      </w:r>
      <w:r>
        <w:rPr>
          <w:rFonts w:ascii="宋体" w:hAnsi="宋体"/>
          <w:color w:val="000000" w:themeColor="text1"/>
          <w:szCs w:val="21"/>
          <w14:textFill>
            <w14:solidFill>
              <w14:schemeClr w14:val="tx1"/>
            </w14:solidFill>
          </w14:textFill>
        </w:rPr>
        <w:t>2.3-1    供货范围及设备需求一览表</w:t>
      </w:r>
    </w:p>
    <w:tbl>
      <w:tblPr>
        <w:tblStyle w:val="84"/>
        <w:tblW w:w="10632" w:type="dxa"/>
        <w:jc w:val="center"/>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28" w:type="dxa"/>
          <w:bottom w:w="0" w:type="dxa"/>
          <w:right w:w="28" w:type="dxa"/>
        </w:tblCellMar>
      </w:tblPr>
      <w:tblGrid>
        <w:gridCol w:w="632"/>
        <w:gridCol w:w="2326"/>
        <w:gridCol w:w="614"/>
        <w:gridCol w:w="2975"/>
        <w:gridCol w:w="1592"/>
        <w:gridCol w:w="1653"/>
        <w:gridCol w:w="840"/>
      </w:tblGrid>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493" w:hRule="atLeast"/>
          <w:tblHeader/>
          <w:jc w:val="center"/>
        </w:trPr>
        <w:tc>
          <w:tcPr>
            <w:tcW w:w="632" w:type="dxa"/>
            <w:vMerge w:val="restart"/>
            <w:vAlign w:val="center"/>
          </w:tcPr>
          <w:p>
            <w:pPr>
              <w:jc w:val="center"/>
              <w:rPr>
                <w:rFonts w:ascii="宋体" w:hAnsi="宋体"/>
                <w:color w:val="000000" w:themeColor="text1"/>
                <w14:textFill>
                  <w14:solidFill>
                    <w14:schemeClr w14:val="tx1"/>
                  </w14:solidFill>
                </w14:textFill>
              </w:rPr>
            </w:pPr>
            <w:r>
              <w:rPr>
                <w:rFonts w:hint="eastAsia" w:ascii="宋体" w:hAnsi="宋体"/>
                <w:color w:val="000000" w:themeColor="text1"/>
                <w14:textFill>
                  <w14:solidFill>
                    <w14:schemeClr w14:val="tx1"/>
                  </w14:solidFill>
                </w14:textFill>
              </w:rPr>
              <w:t>序号</w:t>
            </w:r>
          </w:p>
        </w:tc>
        <w:tc>
          <w:tcPr>
            <w:tcW w:w="2326" w:type="dxa"/>
            <w:vMerge w:val="restart"/>
            <w:vAlign w:val="center"/>
          </w:tcPr>
          <w:p>
            <w:pPr>
              <w:jc w:val="center"/>
              <w:rPr>
                <w:rFonts w:ascii="宋体" w:hAnsi="宋体"/>
                <w:color w:val="000000" w:themeColor="text1"/>
                <w14:textFill>
                  <w14:solidFill>
                    <w14:schemeClr w14:val="tx1"/>
                  </w14:solidFill>
                </w14:textFill>
              </w:rPr>
            </w:pPr>
            <w:r>
              <w:rPr>
                <w:rFonts w:hint="eastAsia" w:ascii="宋体" w:hAnsi="宋体"/>
                <w:color w:val="000000" w:themeColor="text1"/>
                <w14:textFill>
                  <w14:solidFill>
                    <w14:schemeClr w14:val="tx1"/>
                  </w14:solidFill>
                </w14:textFill>
              </w:rPr>
              <w:t>名</w:t>
            </w:r>
            <w:r>
              <w:rPr>
                <w:rFonts w:ascii="宋体" w:hAnsi="宋体"/>
                <w:color w:val="000000" w:themeColor="text1"/>
                <w14:textFill>
                  <w14:solidFill>
                    <w14:schemeClr w14:val="tx1"/>
                  </w14:solidFill>
                </w14:textFill>
              </w:rPr>
              <w:t xml:space="preserve">  </w:t>
            </w:r>
            <w:r>
              <w:rPr>
                <w:rFonts w:hint="eastAsia" w:ascii="宋体" w:hAnsi="宋体"/>
                <w:color w:val="000000" w:themeColor="text1"/>
                <w14:textFill>
                  <w14:solidFill>
                    <w14:schemeClr w14:val="tx1"/>
                  </w14:solidFill>
                </w14:textFill>
              </w:rPr>
              <w:t>称</w:t>
            </w:r>
          </w:p>
        </w:tc>
        <w:tc>
          <w:tcPr>
            <w:tcW w:w="614" w:type="dxa"/>
            <w:vMerge w:val="restart"/>
            <w:tcBorders>
              <w:right w:val="single" w:color="auto" w:sz="4" w:space="0"/>
            </w:tcBorders>
            <w:vAlign w:val="center"/>
          </w:tcPr>
          <w:p>
            <w:pPr>
              <w:jc w:val="center"/>
              <w:rPr>
                <w:rFonts w:ascii="宋体" w:hAnsi="宋体"/>
                <w:color w:val="000000" w:themeColor="text1"/>
                <w14:textFill>
                  <w14:solidFill>
                    <w14:schemeClr w14:val="tx1"/>
                  </w14:solidFill>
                </w14:textFill>
              </w:rPr>
            </w:pPr>
            <w:r>
              <w:rPr>
                <w:rFonts w:hint="eastAsia" w:ascii="宋体" w:hAnsi="宋体"/>
                <w:color w:val="000000" w:themeColor="text1"/>
                <w14:textFill>
                  <w14:solidFill>
                    <w14:schemeClr w14:val="tx1"/>
                  </w14:solidFill>
                </w14:textFill>
              </w:rPr>
              <w:t>单位</w:t>
            </w:r>
          </w:p>
        </w:tc>
        <w:tc>
          <w:tcPr>
            <w:tcW w:w="4567" w:type="dxa"/>
            <w:gridSpan w:val="2"/>
            <w:tcBorders>
              <w:left w:val="single" w:color="auto" w:sz="4" w:space="0"/>
              <w:bottom w:val="single" w:color="auto" w:sz="4" w:space="0"/>
            </w:tcBorders>
            <w:vAlign w:val="center"/>
          </w:tcPr>
          <w:p>
            <w:pPr>
              <w:jc w:val="center"/>
              <w:rPr>
                <w:rFonts w:ascii="宋体" w:hAnsi="宋体"/>
                <w:color w:val="000000" w:themeColor="text1"/>
                <w14:textFill>
                  <w14:solidFill>
                    <w14:schemeClr w14:val="tx1"/>
                  </w14:solidFill>
                </w14:textFill>
              </w:rPr>
            </w:pPr>
            <w:r>
              <w:rPr>
                <w:rFonts w:hint="eastAsia" w:ascii="宋体" w:hAnsi="宋体"/>
                <w:color w:val="000000" w:themeColor="text1"/>
                <w14:textFill>
                  <w14:solidFill>
                    <w14:schemeClr w14:val="tx1"/>
                  </w14:solidFill>
                </w14:textFill>
              </w:rPr>
              <w:t>项目要求</w:t>
            </w:r>
          </w:p>
        </w:tc>
        <w:tc>
          <w:tcPr>
            <w:tcW w:w="2493" w:type="dxa"/>
            <w:gridSpan w:val="2"/>
            <w:tcBorders>
              <w:bottom w:val="single" w:color="auto" w:sz="4" w:space="0"/>
            </w:tcBorders>
            <w:vAlign w:val="center"/>
          </w:tcPr>
          <w:p>
            <w:pPr>
              <w:jc w:val="center"/>
              <w:rPr>
                <w:rFonts w:ascii="宋体" w:hAnsi="宋体"/>
                <w:color w:val="000000" w:themeColor="text1"/>
                <w14:textFill>
                  <w14:solidFill>
                    <w14:schemeClr w14:val="tx1"/>
                  </w14:solidFill>
                </w14:textFill>
              </w:rPr>
            </w:pPr>
            <w:r>
              <w:rPr>
                <w:rFonts w:hint="eastAsia" w:ascii="宋体" w:hAnsi="宋体"/>
                <w:color w:val="000000" w:themeColor="text1"/>
                <w14:textFill>
                  <w14:solidFill>
                    <w14:schemeClr w14:val="tx1"/>
                  </w14:solidFill>
                </w14:textFill>
              </w:rPr>
              <w:t>投标方保证</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435" w:hRule="atLeast"/>
          <w:tblHeader/>
          <w:jc w:val="center"/>
        </w:trPr>
        <w:tc>
          <w:tcPr>
            <w:tcW w:w="632" w:type="dxa"/>
            <w:vMerge w:val="continue"/>
            <w:vAlign w:val="center"/>
          </w:tcPr>
          <w:p>
            <w:pPr>
              <w:jc w:val="center"/>
              <w:rPr>
                <w:rFonts w:ascii="宋体" w:hAnsi="宋体"/>
                <w:color w:val="000000" w:themeColor="text1"/>
                <w14:textFill>
                  <w14:solidFill>
                    <w14:schemeClr w14:val="tx1"/>
                  </w14:solidFill>
                </w14:textFill>
              </w:rPr>
            </w:pPr>
          </w:p>
        </w:tc>
        <w:tc>
          <w:tcPr>
            <w:tcW w:w="2326" w:type="dxa"/>
            <w:vMerge w:val="continue"/>
            <w:vAlign w:val="center"/>
          </w:tcPr>
          <w:p>
            <w:pPr>
              <w:jc w:val="center"/>
              <w:rPr>
                <w:rFonts w:ascii="宋体" w:hAnsi="宋体"/>
                <w:color w:val="000000" w:themeColor="text1"/>
                <w14:textFill>
                  <w14:solidFill>
                    <w14:schemeClr w14:val="tx1"/>
                  </w14:solidFill>
                </w14:textFill>
              </w:rPr>
            </w:pPr>
          </w:p>
        </w:tc>
        <w:tc>
          <w:tcPr>
            <w:tcW w:w="614" w:type="dxa"/>
            <w:vMerge w:val="continue"/>
            <w:tcBorders>
              <w:right w:val="single" w:color="auto" w:sz="4" w:space="0"/>
            </w:tcBorders>
            <w:vAlign w:val="center"/>
          </w:tcPr>
          <w:p>
            <w:pPr>
              <w:jc w:val="center"/>
              <w:rPr>
                <w:rFonts w:ascii="宋体" w:hAnsi="宋体"/>
                <w:color w:val="000000" w:themeColor="text1"/>
                <w14:textFill>
                  <w14:solidFill>
                    <w14:schemeClr w14:val="tx1"/>
                  </w14:solidFill>
                </w14:textFill>
              </w:rPr>
            </w:pPr>
          </w:p>
        </w:tc>
        <w:tc>
          <w:tcPr>
            <w:tcW w:w="2975" w:type="dxa"/>
            <w:tcBorders>
              <w:top w:val="single" w:color="auto" w:sz="4" w:space="0"/>
              <w:left w:val="single" w:color="auto" w:sz="4" w:space="0"/>
              <w:right w:val="single" w:color="auto" w:sz="4" w:space="0"/>
            </w:tcBorders>
            <w:vAlign w:val="center"/>
          </w:tcPr>
          <w:p>
            <w:pPr>
              <w:jc w:val="center"/>
              <w:rPr>
                <w:rFonts w:ascii="宋体" w:hAnsi="宋体"/>
                <w:color w:val="000000" w:themeColor="text1"/>
                <w14:textFill>
                  <w14:solidFill>
                    <w14:schemeClr w14:val="tx1"/>
                  </w14:solidFill>
                </w14:textFill>
              </w:rPr>
            </w:pPr>
            <w:r>
              <w:rPr>
                <w:rFonts w:hint="eastAsia" w:ascii="宋体" w:hAnsi="宋体"/>
                <w:color w:val="000000" w:themeColor="text1"/>
                <w14:textFill>
                  <w14:solidFill>
                    <w14:schemeClr w14:val="tx1"/>
                  </w14:solidFill>
                </w14:textFill>
              </w:rPr>
              <w:t>型式、规格</w:t>
            </w:r>
          </w:p>
        </w:tc>
        <w:tc>
          <w:tcPr>
            <w:tcW w:w="1592" w:type="dxa"/>
            <w:tcBorders>
              <w:top w:val="single" w:color="auto" w:sz="4" w:space="0"/>
              <w:left w:val="single" w:color="auto" w:sz="4" w:space="0"/>
            </w:tcBorders>
            <w:vAlign w:val="center"/>
          </w:tcPr>
          <w:p>
            <w:pPr>
              <w:jc w:val="center"/>
              <w:rPr>
                <w:rFonts w:ascii="宋体" w:hAnsi="宋体"/>
                <w:color w:val="000000" w:themeColor="text1"/>
                <w14:textFill>
                  <w14:solidFill>
                    <w14:schemeClr w14:val="tx1"/>
                  </w14:solidFill>
                </w14:textFill>
              </w:rPr>
            </w:pPr>
            <w:r>
              <w:rPr>
                <w:rFonts w:hint="eastAsia" w:ascii="宋体" w:hAnsi="宋体"/>
                <w:color w:val="000000" w:themeColor="text1"/>
                <w14:textFill>
                  <w14:solidFill>
                    <w14:schemeClr w14:val="tx1"/>
                  </w14:solidFill>
                </w14:textFill>
              </w:rPr>
              <w:t>数量（投标方或项目单位填写）</w:t>
            </w:r>
          </w:p>
        </w:tc>
        <w:tc>
          <w:tcPr>
            <w:tcW w:w="1653" w:type="dxa"/>
            <w:tcBorders>
              <w:top w:val="single" w:color="auto" w:sz="4" w:space="0"/>
              <w:right w:val="single" w:color="auto" w:sz="4" w:space="0"/>
            </w:tcBorders>
            <w:vAlign w:val="center"/>
          </w:tcPr>
          <w:p>
            <w:pPr>
              <w:jc w:val="center"/>
              <w:rPr>
                <w:rFonts w:ascii="宋体" w:hAnsi="宋体"/>
                <w:color w:val="000000" w:themeColor="text1"/>
                <w14:textFill>
                  <w14:solidFill>
                    <w14:schemeClr w14:val="tx1"/>
                  </w14:solidFill>
                </w14:textFill>
              </w:rPr>
            </w:pPr>
            <w:r>
              <w:rPr>
                <w:rFonts w:hint="eastAsia" w:ascii="宋体" w:hAnsi="宋体"/>
                <w:color w:val="000000" w:themeColor="text1"/>
                <w14:textFill>
                  <w14:solidFill>
                    <w14:schemeClr w14:val="tx1"/>
                  </w14:solidFill>
                </w14:textFill>
              </w:rPr>
              <w:t>型式、规格</w:t>
            </w:r>
          </w:p>
        </w:tc>
        <w:tc>
          <w:tcPr>
            <w:tcW w:w="840" w:type="dxa"/>
            <w:tcBorders>
              <w:top w:val="single" w:color="auto" w:sz="4" w:space="0"/>
              <w:left w:val="single" w:color="auto" w:sz="4" w:space="0"/>
            </w:tcBorders>
            <w:vAlign w:val="center"/>
          </w:tcPr>
          <w:p>
            <w:pPr>
              <w:jc w:val="center"/>
              <w:rPr>
                <w:rFonts w:ascii="宋体" w:hAnsi="宋体"/>
                <w:color w:val="000000" w:themeColor="text1"/>
                <w14:textFill>
                  <w14:solidFill>
                    <w14:schemeClr w14:val="tx1"/>
                  </w14:solidFill>
                </w14:textFill>
              </w:rPr>
            </w:pPr>
            <w:r>
              <w:rPr>
                <w:rFonts w:hint="eastAsia" w:ascii="宋体" w:hAnsi="宋体"/>
                <w:color w:val="000000" w:themeColor="text1"/>
                <w14:textFill>
                  <w14:solidFill>
                    <w14:schemeClr w14:val="tx1"/>
                  </w14:solidFill>
                </w14:textFill>
              </w:rPr>
              <w:t>数量</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cantSplit/>
          <w:trHeight w:val="450" w:hRule="atLeast"/>
          <w:jc w:val="center"/>
        </w:trPr>
        <w:tc>
          <w:tcPr>
            <w:tcW w:w="632" w:type="dxa"/>
            <w:vAlign w:val="center"/>
          </w:tcPr>
          <w:p>
            <w:pPr>
              <w:jc w:val="center"/>
              <w:rPr>
                <w:rFonts w:ascii="宋体" w:hAnsi="宋体"/>
                <w:color w:val="000000" w:themeColor="text1"/>
                <w:szCs w:val="21"/>
                <w14:textFill>
                  <w14:solidFill>
                    <w14:schemeClr w14:val="tx1"/>
                  </w14:solidFill>
                </w14:textFill>
              </w:rPr>
            </w:pPr>
            <w:r>
              <w:rPr>
                <w:color w:val="000000" w:themeColor="text1"/>
                <w:kern w:val="0"/>
                <w:szCs w:val="21"/>
                <w14:textFill>
                  <w14:solidFill>
                    <w14:schemeClr w14:val="tx1"/>
                  </w14:solidFill>
                </w14:textFill>
              </w:rPr>
              <w:t>1</w:t>
            </w:r>
          </w:p>
        </w:tc>
        <w:tc>
          <w:tcPr>
            <w:tcW w:w="2326" w:type="dxa"/>
            <w:vAlign w:val="center"/>
          </w:tcPr>
          <w:p>
            <w:pPr>
              <w:rPr>
                <w:rFonts w:ascii="宋体" w:hAnsi="宋体"/>
                <w:color w:val="000000" w:themeColor="text1"/>
                <w:szCs w:val="21"/>
                <w14:textFill>
                  <w14:solidFill>
                    <w14:schemeClr w14:val="tx1"/>
                  </w14:solidFill>
                </w14:textFill>
              </w:rPr>
            </w:pPr>
            <w:r>
              <w:rPr>
                <w:rFonts w:hint="eastAsia"/>
                <w:color w:val="000000" w:themeColor="text1"/>
                <w:kern w:val="0"/>
                <w:szCs w:val="21"/>
                <w14:textFill>
                  <w14:solidFill>
                    <w14:schemeClr w14:val="tx1"/>
                  </w14:solidFill>
                </w14:textFill>
              </w:rPr>
              <w:t>配电装置组合预制舱</w:t>
            </w:r>
          </w:p>
        </w:tc>
        <w:tc>
          <w:tcPr>
            <w:tcW w:w="614" w:type="dxa"/>
            <w:tcBorders>
              <w:right w:val="single" w:color="auto" w:sz="4" w:space="0"/>
            </w:tcBorders>
            <w:vAlign w:val="center"/>
          </w:tcPr>
          <w:p>
            <w:pPr>
              <w:rPr>
                <w:rFonts w:ascii="宋体" w:hAnsi="宋体"/>
                <w:color w:val="000000" w:themeColor="text1"/>
                <w:szCs w:val="21"/>
                <w14:textFill>
                  <w14:solidFill>
                    <w14:schemeClr w14:val="tx1"/>
                  </w14:solidFill>
                </w14:textFill>
              </w:rPr>
            </w:pPr>
            <w:r>
              <w:rPr>
                <w:rFonts w:hint="eastAsia"/>
                <w:color w:val="000000" w:themeColor="text1"/>
                <w:kern w:val="0"/>
                <w:szCs w:val="21"/>
                <w14:textFill>
                  <w14:solidFill>
                    <w14:schemeClr w14:val="tx1"/>
                  </w14:solidFill>
                </w14:textFill>
              </w:rPr>
              <w:t>套</w:t>
            </w:r>
          </w:p>
        </w:tc>
        <w:tc>
          <w:tcPr>
            <w:tcW w:w="2975" w:type="dxa"/>
            <w:tcBorders>
              <w:left w:val="single" w:color="auto" w:sz="4" w:space="0"/>
              <w:right w:val="single" w:color="auto" w:sz="4" w:space="0"/>
            </w:tcBorders>
            <w:vAlign w:val="center"/>
          </w:tcPr>
          <w:p>
            <w:pPr>
              <w:rPr>
                <w:rFonts w:ascii="宋体" w:hAnsi="宋体"/>
                <w:color w:val="000000" w:themeColor="text1"/>
                <w:szCs w:val="21"/>
                <w14:textFill>
                  <w14:solidFill>
                    <w14:schemeClr w14:val="tx1"/>
                  </w14:solidFill>
                </w14:textFill>
              </w:rPr>
            </w:pPr>
            <w:r>
              <w:rPr>
                <w:rFonts w:hint="eastAsia"/>
                <w:color w:val="000000" w:themeColor="text1"/>
                <w:kern w:val="0"/>
                <w:szCs w:val="21"/>
                <w14:textFill>
                  <w14:solidFill>
                    <w14:schemeClr w14:val="tx1"/>
                  </w14:solidFill>
                </w14:textFill>
              </w:rPr>
              <w:t>尺寸不小于图</w:t>
            </w:r>
            <w:r>
              <w:rPr>
                <w:color w:val="000000" w:themeColor="text1"/>
                <w:kern w:val="0"/>
                <w:szCs w:val="21"/>
                <w14:textFill>
                  <w14:solidFill>
                    <w14:schemeClr w14:val="tx1"/>
                  </w14:solidFill>
                </w14:textFill>
              </w:rPr>
              <w:t>2.3</w:t>
            </w:r>
            <w:r>
              <w:rPr>
                <w:rFonts w:hint="eastAsia"/>
                <w:color w:val="000000" w:themeColor="text1"/>
                <w:kern w:val="0"/>
                <w:szCs w:val="21"/>
                <w14:textFill>
                  <w14:solidFill>
                    <w14:schemeClr w14:val="tx1"/>
                  </w14:solidFill>
                </w14:textFill>
              </w:rPr>
              <w:t>所标识尺寸，含</w:t>
            </w:r>
            <w:bookmarkStart w:id="17" w:name="_Hlk180144746"/>
            <w:r>
              <w:rPr>
                <w:rFonts w:hint="eastAsia"/>
                <w:color w:val="000000" w:themeColor="text1"/>
                <w:kern w:val="0"/>
                <w:szCs w:val="21"/>
                <w14:textFill>
                  <w14:solidFill>
                    <w14:schemeClr w14:val="tx1"/>
                  </w14:solidFill>
                </w14:textFill>
              </w:rPr>
              <w:t>照明、动力、消防、通风、空调、检修、接地、检修爬梯及附属围栏、扶手、防小动物措施等辅助设施</w:t>
            </w:r>
            <w:bookmarkEnd w:id="17"/>
            <w:r>
              <w:rPr>
                <w:rFonts w:hint="eastAsia"/>
                <w:color w:val="000000" w:themeColor="text1"/>
                <w:kern w:val="0"/>
                <w:szCs w:val="21"/>
                <w14:textFill>
                  <w14:solidFill>
                    <w14:schemeClr w14:val="tx1"/>
                  </w14:solidFill>
                </w14:textFill>
              </w:rPr>
              <w:t>，具备</w:t>
            </w:r>
            <w:r>
              <w:rPr>
                <w:rFonts w:hint="eastAsia"/>
                <w:color w:val="000000" w:themeColor="text1"/>
                <w14:textFill>
                  <w14:solidFill>
                    <w14:schemeClr w14:val="tx1"/>
                  </w14:solidFill>
                </w14:textFill>
              </w:rPr>
              <w:t>出入检测、火灾报警及联动控制（含火灾报警内部联动控制及与外部监视设备的联动控制）、可燃气体监测、声光告警、就地人为手动报警、烟雾</w:t>
            </w:r>
            <w:r>
              <w:rPr>
                <w:color w:val="000000" w:themeColor="text1"/>
                <w14:textFill>
                  <w14:solidFill>
                    <w14:schemeClr w14:val="tx1"/>
                  </w14:solidFill>
                </w14:textFill>
              </w:rPr>
              <w:t>/</w:t>
            </w:r>
            <w:r>
              <w:rPr>
                <w:rFonts w:hint="eastAsia"/>
                <w:color w:val="000000" w:themeColor="text1"/>
                <w14:textFill>
                  <w14:solidFill>
                    <w14:schemeClr w14:val="tx1"/>
                  </w14:solidFill>
                </w14:textFill>
              </w:rPr>
              <w:t>温度</w:t>
            </w:r>
            <w:r>
              <w:rPr>
                <w:color w:val="000000" w:themeColor="text1"/>
                <w14:textFill>
                  <w14:solidFill>
                    <w14:schemeClr w14:val="tx1"/>
                  </w14:solidFill>
                </w14:textFill>
              </w:rPr>
              <w:t>/</w:t>
            </w:r>
            <w:r>
              <w:rPr>
                <w:rFonts w:hint="eastAsia"/>
                <w:color w:val="000000" w:themeColor="text1"/>
                <w14:textFill>
                  <w14:solidFill>
                    <w14:schemeClr w14:val="tx1"/>
                  </w14:solidFill>
                </w14:textFill>
              </w:rPr>
              <w:t>湿度</w:t>
            </w:r>
            <w:r>
              <w:rPr>
                <w:color w:val="000000" w:themeColor="text1"/>
                <w14:textFill>
                  <w14:solidFill>
                    <w14:schemeClr w14:val="tx1"/>
                  </w14:solidFill>
                </w14:textFill>
              </w:rPr>
              <w:t>/</w:t>
            </w:r>
            <w:r>
              <w:rPr>
                <w:rFonts w:hint="eastAsia"/>
                <w:color w:val="000000" w:themeColor="text1"/>
                <w14:textFill>
                  <w14:solidFill>
                    <w14:schemeClr w14:val="tx1"/>
                  </w14:solidFill>
                </w14:textFill>
              </w:rPr>
              <w:t>风速监测、出入权限管理、高压舱通道两侧可见光及红外监测、电缆层高温预警、电缆层水位高度预警、储能站区边界安保监测、主机集成等功能</w:t>
            </w:r>
          </w:p>
        </w:tc>
        <w:tc>
          <w:tcPr>
            <w:tcW w:w="1592" w:type="dxa"/>
            <w:tcBorders>
              <w:left w:val="single" w:color="auto" w:sz="4" w:space="0"/>
            </w:tcBorders>
            <w:vAlign w:val="center"/>
          </w:tcPr>
          <w:p>
            <w:pPr>
              <w:jc w:val="left"/>
              <w:rPr>
                <w:rFonts w:ascii="宋体" w:hAnsi="宋体"/>
                <w:color w:val="000000" w:themeColor="text1"/>
                <w:szCs w:val="21"/>
                <w14:textFill>
                  <w14:solidFill>
                    <w14:schemeClr w14:val="tx1"/>
                  </w14:solidFill>
                </w14:textFill>
              </w:rPr>
            </w:pPr>
            <w:r>
              <w:rPr>
                <w:color w:val="000000" w:themeColor="text1"/>
                <w:kern w:val="0"/>
                <w:szCs w:val="21"/>
                <w14:textFill>
                  <w14:solidFill>
                    <w14:schemeClr w14:val="tx1"/>
                  </w14:solidFill>
                </w14:textFill>
              </w:rPr>
              <w:t>1</w:t>
            </w:r>
          </w:p>
        </w:tc>
        <w:tc>
          <w:tcPr>
            <w:tcW w:w="1653" w:type="dxa"/>
            <w:tcBorders>
              <w:right w:val="single" w:color="auto" w:sz="4" w:space="0"/>
            </w:tcBorders>
          </w:tcPr>
          <w:p>
            <w:pPr>
              <w:rPr>
                <w:rFonts w:ascii="宋体" w:hAnsi="宋体"/>
                <w:color w:val="000000" w:themeColor="text1"/>
                <w14:textFill>
                  <w14:solidFill>
                    <w14:schemeClr w14:val="tx1"/>
                  </w14:solidFill>
                </w14:textFill>
              </w:rPr>
            </w:pPr>
          </w:p>
        </w:tc>
        <w:tc>
          <w:tcPr>
            <w:tcW w:w="840" w:type="dxa"/>
            <w:tcBorders>
              <w:left w:val="single" w:color="auto" w:sz="4" w:space="0"/>
            </w:tcBorders>
          </w:tcPr>
          <w:p>
            <w:pPr>
              <w:rPr>
                <w:rFonts w:ascii="宋体" w:hAnsi="宋体"/>
                <w:color w:val="000000" w:themeColor="text1"/>
                <w14:textFill>
                  <w14:solidFill>
                    <w14:schemeClr w14:val="tx1"/>
                  </w14:solidFill>
                </w14:textFill>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cantSplit/>
          <w:trHeight w:val="450" w:hRule="atLeast"/>
          <w:jc w:val="center"/>
        </w:trPr>
        <w:tc>
          <w:tcPr>
            <w:tcW w:w="632" w:type="dxa"/>
            <w:vAlign w:val="center"/>
          </w:tcPr>
          <w:p>
            <w:pPr>
              <w:jc w:val="center"/>
              <w:rPr>
                <w:color w:val="000000" w:themeColor="text1"/>
                <w:kern w:val="0"/>
                <w:szCs w:val="21"/>
                <w14:textFill>
                  <w14:solidFill>
                    <w14:schemeClr w14:val="tx1"/>
                  </w14:solidFill>
                </w14:textFill>
              </w:rPr>
            </w:pPr>
            <w:r>
              <w:rPr>
                <w:color w:val="000000" w:themeColor="text1"/>
                <w:kern w:val="0"/>
                <w:szCs w:val="21"/>
                <w14:textFill>
                  <w14:solidFill>
                    <w14:schemeClr w14:val="tx1"/>
                  </w14:solidFill>
                </w14:textFill>
              </w:rPr>
              <w:t>2</w:t>
            </w:r>
          </w:p>
        </w:tc>
        <w:tc>
          <w:tcPr>
            <w:tcW w:w="2326" w:type="dxa"/>
            <w:vAlign w:val="center"/>
          </w:tcPr>
          <w:p>
            <w:pPr>
              <w:rPr>
                <w:color w:val="000000" w:themeColor="text1"/>
                <w:kern w:val="0"/>
                <w:szCs w:val="21"/>
                <w14:textFill>
                  <w14:solidFill>
                    <w14:schemeClr w14:val="tx1"/>
                  </w14:solidFill>
                </w14:textFill>
              </w:rPr>
            </w:pPr>
            <w:r>
              <w:rPr>
                <w:color w:val="000000" w:themeColor="text1"/>
                <w:kern w:val="0"/>
                <w:szCs w:val="21"/>
                <w14:textFill>
                  <w14:solidFill>
                    <w14:schemeClr w14:val="tx1"/>
                  </w14:solidFill>
                </w14:textFill>
              </w:rPr>
              <w:t>SMES</w:t>
            </w:r>
            <w:r>
              <w:rPr>
                <w:rFonts w:hint="eastAsia"/>
                <w:color w:val="000000" w:themeColor="text1"/>
                <w:kern w:val="0"/>
                <w:szCs w:val="21"/>
                <w14:textFill>
                  <w14:solidFill>
                    <w14:schemeClr w14:val="tx1"/>
                  </w14:solidFill>
                </w14:textFill>
              </w:rPr>
              <w:t>及升压变流系统组合预制舱</w:t>
            </w:r>
          </w:p>
        </w:tc>
        <w:tc>
          <w:tcPr>
            <w:tcW w:w="614" w:type="dxa"/>
            <w:tcBorders>
              <w:right w:val="single" w:color="auto" w:sz="4" w:space="0"/>
            </w:tcBorders>
            <w:vAlign w:val="center"/>
          </w:tcPr>
          <w:p>
            <w:pPr>
              <w:rPr>
                <w:color w:val="000000" w:themeColor="text1"/>
                <w:kern w:val="0"/>
                <w:szCs w:val="21"/>
                <w14:textFill>
                  <w14:solidFill>
                    <w14:schemeClr w14:val="tx1"/>
                  </w14:solidFill>
                </w14:textFill>
              </w:rPr>
            </w:pPr>
            <w:r>
              <w:rPr>
                <w:rFonts w:hint="eastAsia"/>
                <w:color w:val="000000" w:themeColor="text1"/>
                <w:kern w:val="0"/>
                <w:szCs w:val="21"/>
                <w14:textFill>
                  <w14:solidFill>
                    <w14:schemeClr w14:val="tx1"/>
                  </w14:solidFill>
                </w14:textFill>
              </w:rPr>
              <w:t>套</w:t>
            </w:r>
          </w:p>
        </w:tc>
        <w:tc>
          <w:tcPr>
            <w:tcW w:w="2975" w:type="dxa"/>
            <w:tcBorders>
              <w:left w:val="single" w:color="auto" w:sz="4" w:space="0"/>
              <w:right w:val="single" w:color="auto" w:sz="4" w:space="0"/>
            </w:tcBorders>
            <w:vAlign w:val="center"/>
          </w:tcPr>
          <w:p>
            <w:pPr>
              <w:ind w:right="-107" w:rightChars="-51"/>
              <w:rPr>
                <w:rFonts w:ascii="宋体" w:hAnsi="宋体"/>
                <w:color w:val="000000" w:themeColor="text1"/>
                <w:szCs w:val="21"/>
                <w14:textFill>
                  <w14:solidFill>
                    <w14:schemeClr w14:val="tx1"/>
                  </w14:solidFill>
                </w14:textFill>
              </w:rPr>
            </w:pPr>
            <w:r>
              <w:rPr>
                <w:rFonts w:hint="eastAsia"/>
                <w:color w:val="000000" w:themeColor="text1"/>
                <w:kern w:val="0"/>
                <w:szCs w:val="21"/>
                <w14:textFill>
                  <w14:solidFill>
                    <w14:schemeClr w14:val="tx1"/>
                  </w14:solidFill>
                </w14:textFill>
              </w:rPr>
              <w:t>尺寸不小于图</w:t>
            </w:r>
            <w:r>
              <w:rPr>
                <w:color w:val="000000" w:themeColor="text1"/>
                <w:kern w:val="0"/>
                <w:szCs w:val="21"/>
                <w14:textFill>
                  <w14:solidFill>
                    <w14:schemeClr w14:val="tx1"/>
                  </w14:solidFill>
                </w14:textFill>
              </w:rPr>
              <w:t>2.3</w:t>
            </w:r>
            <w:r>
              <w:rPr>
                <w:rFonts w:hint="eastAsia"/>
                <w:color w:val="000000" w:themeColor="text1"/>
                <w:kern w:val="0"/>
                <w:szCs w:val="21"/>
                <w14:textFill>
                  <w14:solidFill>
                    <w14:schemeClr w14:val="tx1"/>
                  </w14:solidFill>
                </w14:textFill>
              </w:rPr>
              <w:t>所标识尺寸，含照明、动力、消防、通风、空调、检修、接地、检修爬梯及附属围栏、扶手、防小动物措施等辅助设施，具备</w:t>
            </w:r>
            <w:r>
              <w:rPr>
                <w:rFonts w:hint="eastAsia"/>
                <w:color w:val="000000" w:themeColor="text1"/>
                <w14:textFill>
                  <w14:solidFill>
                    <w14:schemeClr w14:val="tx1"/>
                  </w14:solidFill>
                </w14:textFill>
              </w:rPr>
              <w:t>出入检测、火灾报警及联动控制（含火灾报警内部联动控制及与外部监视设备的联动控制）、可燃气体监测、声光告警、就地人为手动报警、烟雾</w:t>
            </w:r>
            <w:r>
              <w:rPr>
                <w:color w:val="000000" w:themeColor="text1"/>
                <w14:textFill>
                  <w14:solidFill>
                    <w14:schemeClr w14:val="tx1"/>
                  </w14:solidFill>
                </w14:textFill>
              </w:rPr>
              <w:t>/</w:t>
            </w:r>
            <w:r>
              <w:rPr>
                <w:rFonts w:hint="eastAsia"/>
                <w:color w:val="000000" w:themeColor="text1"/>
                <w14:textFill>
                  <w14:solidFill>
                    <w14:schemeClr w14:val="tx1"/>
                  </w14:solidFill>
                </w14:textFill>
              </w:rPr>
              <w:t>温度</w:t>
            </w:r>
            <w:r>
              <w:rPr>
                <w:color w:val="000000" w:themeColor="text1"/>
                <w14:textFill>
                  <w14:solidFill>
                    <w14:schemeClr w14:val="tx1"/>
                  </w14:solidFill>
                </w14:textFill>
              </w:rPr>
              <w:t>/</w:t>
            </w:r>
            <w:r>
              <w:rPr>
                <w:rFonts w:hint="eastAsia"/>
                <w:color w:val="000000" w:themeColor="text1"/>
                <w14:textFill>
                  <w14:solidFill>
                    <w14:schemeClr w14:val="tx1"/>
                  </w14:solidFill>
                </w14:textFill>
              </w:rPr>
              <w:t>湿度</w:t>
            </w:r>
            <w:r>
              <w:rPr>
                <w:color w:val="000000" w:themeColor="text1"/>
                <w14:textFill>
                  <w14:solidFill>
                    <w14:schemeClr w14:val="tx1"/>
                  </w14:solidFill>
                </w14:textFill>
              </w:rPr>
              <w:t>/</w:t>
            </w:r>
            <w:r>
              <w:rPr>
                <w:rFonts w:hint="eastAsia"/>
                <w:color w:val="000000" w:themeColor="text1"/>
                <w14:textFill>
                  <w14:solidFill>
                    <w14:schemeClr w14:val="tx1"/>
                  </w14:solidFill>
                </w14:textFill>
              </w:rPr>
              <w:t>风速监测、出入权限管理、升压变流区域通道两侧可见光及红外监测、变压器红外监测、电缆层高温预警、电缆层水位高度预警、超导磁体区域告警等功能</w:t>
            </w:r>
          </w:p>
        </w:tc>
        <w:tc>
          <w:tcPr>
            <w:tcW w:w="1592" w:type="dxa"/>
            <w:tcBorders>
              <w:left w:val="single" w:color="auto" w:sz="4" w:space="0"/>
            </w:tcBorders>
            <w:vAlign w:val="center"/>
          </w:tcPr>
          <w:p>
            <w:pPr>
              <w:jc w:val="left"/>
              <w:rPr>
                <w:color w:val="000000" w:themeColor="text1"/>
                <w:kern w:val="0"/>
                <w:szCs w:val="21"/>
                <w14:textFill>
                  <w14:solidFill>
                    <w14:schemeClr w14:val="tx1"/>
                  </w14:solidFill>
                </w14:textFill>
              </w:rPr>
            </w:pPr>
            <w:r>
              <w:rPr>
                <w:color w:val="000000" w:themeColor="text1"/>
                <w:kern w:val="0"/>
                <w:szCs w:val="21"/>
                <w14:textFill>
                  <w14:solidFill>
                    <w14:schemeClr w14:val="tx1"/>
                  </w14:solidFill>
                </w14:textFill>
              </w:rPr>
              <w:t>1</w:t>
            </w:r>
          </w:p>
        </w:tc>
        <w:tc>
          <w:tcPr>
            <w:tcW w:w="1653" w:type="dxa"/>
            <w:tcBorders>
              <w:right w:val="single" w:color="auto" w:sz="4" w:space="0"/>
            </w:tcBorders>
          </w:tcPr>
          <w:p>
            <w:pPr>
              <w:rPr>
                <w:rFonts w:ascii="宋体" w:hAnsi="宋体"/>
                <w:color w:val="000000" w:themeColor="text1"/>
                <w14:textFill>
                  <w14:solidFill>
                    <w14:schemeClr w14:val="tx1"/>
                  </w14:solidFill>
                </w14:textFill>
              </w:rPr>
            </w:pPr>
          </w:p>
        </w:tc>
        <w:tc>
          <w:tcPr>
            <w:tcW w:w="840" w:type="dxa"/>
            <w:tcBorders>
              <w:left w:val="single" w:color="auto" w:sz="4" w:space="0"/>
            </w:tcBorders>
          </w:tcPr>
          <w:p>
            <w:pPr>
              <w:rPr>
                <w:rFonts w:ascii="宋体" w:hAnsi="宋体"/>
                <w:color w:val="000000" w:themeColor="text1"/>
                <w14:textFill>
                  <w14:solidFill>
                    <w14:schemeClr w14:val="tx1"/>
                  </w14:solidFill>
                </w14:textFill>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cantSplit/>
          <w:trHeight w:val="450" w:hRule="atLeast"/>
          <w:jc w:val="center"/>
        </w:trPr>
        <w:tc>
          <w:tcPr>
            <w:tcW w:w="632" w:type="dxa"/>
            <w:vAlign w:val="center"/>
          </w:tcPr>
          <w:p>
            <w:pPr>
              <w:jc w:val="center"/>
              <w:rPr>
                <w:color w:val="000000" w:themeColor="text1"/>
                <w:kern w:val="0"/>
                <w:szCs w:val="21"/>
                <w14:textFill>
                  <w14:solidFill>
                    <w14:schemeClr w14:val="tx1"/>
                  </w14:solidFill>
                </w14:textFill>
              </w:rPr>
            </w:pPr>
            <w:r>
              <w:rPr>
                <w:color w:val="000000" w:themeColor="text1"/>
                <w:kern w:val="0"/>
                <w:szCs w:val="21"/>
                <w14:textFill>
                  <w14:solidFill>
                    <w14:schemeClr w14:val="tx1"/>
                  </w14:solidFill>
                </w14:textFill>
              </w:rPr>
              <w:t>3</w:t>
            </w:r>
          </w:p>
        </w:tc>
        <w:tc>
          <w:tcPr>
            <w:tcW w:w="2326" w:type="dxa"/>
            <w:vAlign w:val="center"/>
          </w:tcPr>
          <w:p>
            <w:pPr>
              <w:rPr>
                <w:color w:val="000000" w:themeColor="text1"/>
                <w:kern w:val="0"/>
                <w:szCs w:val="21"/>
                <w14:textFill>
                  <w14:solidFill>
                    <w14:schemeClr w14:val="tx1"/>
                  </w14:solidFill>
                </w14:textFill>
              </w:rPr>
            </w:pPr>
            <w:r>
              <w:rPr>
                <w:rFonts w:hint="eastAsia"/>
                <w:color w:val="000000" w:themeColor="text1"/>
                <w:kern w:val="0"/>
                <w:szCs w:val="21"/>
                <w14:textFill>
                  <w14:solidFill>
                    <w14:schemeClr w14:val="tx1"/>
                  </w14:solidFill>
                </w14:textFill>
              </w:rPr>
              <w:t>展厅舱</w:t>
            </w:r>
          </w:p>
        </w:tc>
        <w:tc>
          <w:tcPr>
            <w:tcW w:w="614" w:type="dxa"/>
            <w:tcBorders>
              <w:right w:val="single" w:color="auto" w:sz="4" w:space="0"/>
            </w:tcBorders>
            <w:vAlign w:val="center"/>
          </w:tcPr>
          <w:p>
            <w:pPr>
              <w:rPr>
                <w:color w:val="000000" w:themeColor="text1"/>
                <w:kern w:val="0"/>
                <w:szCs w:val="21"/>
                <w14:textFill>
                  <w14:solidFill>
                    <w14:schemeClr w14:val="tx1"/>
                  </w14:solidFill>
                </w14:textFill>
              </w:rPr>
            </w:pPr>
            <w:r>
              <w:rPr>
                <w:rFonts w:hint="eastAsia"/>
                <w:color w:val="000000" w:themeColor="text1"/>
                <w:kern w:val="0"/>
                <w:szCs w:val="21"/>
                <w14:textFill>
                  <w14:solidFill>
                    <w14:schemeClr w14:val="tx1"/>
                  </w14:solidFill>
                </w14:textFill>
              </w:rPr>
              <w:t>套</w:t>
            </w:r>
          </w:p>
        </w:tc>
        <w:tc>
          <w:tcPr>
            <w:tcW w:w="2975" w:type="dxa"/>
            <w:tcBorders>
              <w:left w:val="single" w:color="auto" w:sz="4" w:space="0"/>
              <w:right w:val="single" w:color="auto" w:sz="4" w:space="0"/>
            </w:tcBorders>
            <w:vAlign w:val="center"/>
          </w:tcPr>
          <w:p>
            <w:pPr>
              <w:ind w:right="-107" w:rightChars="-51"/>
              <w:rPr>
                <w:color w:val="000000" w:themeColor="text1"/>
                <w:kern w:val="0"/>
                <w:szCs w:val="21"/>
                <w14:textFill>
                  <w14:solidFill>
                    <w14:schemeClr w14:val="tx1"/>
                  </w14:solidFill>
                </w14:textFill>
              </w:rPr>
            </w:pPr>
            <w:r>
              <w:rPr>
                <w:rFonts w:hint="eastAsia"/>
                <w:color w:val="000000" w:themeColor="text1"/>
                <w:kern w:val="0"/>
                <w:szCs w:val="21"/>
                <w14:textFill>
                  <w14:solidFill>
                    <w14:schemeClr w14:val="tx1"/>
                  </w14:solidFill>
                </w14:textFill>
              </w:rPr>
              <w:t>尺寸不小于图</w:t>
            </w:r>
            <w:r>
              <w:rPr>
                <w:color w:val="000000" w:themeColor="text1"/>
                <w:kern w:val="0"/>
                <w:szCs w:val="21"/>
                <w14:textFill>
                  <w14:solidFill>
                    <w14:schemeClr w14:val="tx1"/>
                  </w14:solidFill>
                </w14:textFill>
              </w:rPr>
              <w:t>2.3</w:t>
            </w:r>
            <w:r>
              <w:rPr>
                <w:rFonts w:hint="eastAsia"/>
                <w:color w:val="000000" w:themeColor="text1"/>
                <w:kern w:val="0"/>
                <w:szCs w:val="21"/>
                <w14:textFill>
                  <w14:solidFill>
                    <w14:schemeClr w14:val="tx1"/>
                  </w14:solidFill>
                </w14:textFill>
              </w:rPr>
              <w:t>所标识尺寸，含照明、动力、消防、通风、空调、检修、接地、检修爬梯及附属围栏、扶手、防小动物措施等辅助设施，具备</w:t>
            </w:r>
            <w:r>
              <w:rPr>
                <w:rFonts w:hint="eastAsia"/>
                <w:color w:val="000000" w:themeColor="text1"/>
                <w14:textFill>
                  <w14:solidFill>
                    <w14:schemeClr w14:val="tx1"/>
                  </w14:solidFill>
                </w14:textFill>
              </w:rPr>
              <w:t>出入检测、火灾报警及联动控制（含火灾报警内部联动控制及与外部监视设备的联动控制）、可燃气体监测、声光告警、就地人为手动报警、烟雾</w:t>
            </w:r>
            <w:r>
              <w:rPr>
                <w:color w:val="000000" w:themeColor="text1"/>
                <w14:textFill>
                  <w14:solidFill>
                    <w14:schemeClr w14:val="tx1"/>
                  </w14:solidFill>
                </w14:textFill>
              </w:rPr>
              <w:t>/</w:t>
            </w:r>
            <w:r>
              <w:rPr>
                <w:rFonts w:hint="eastAsia"/>
                <w:color w:val="000000" w:themeColor="text1"/>
                <w14:textFill>
                  <w14:solidFill>
                    <w14:schemeClr w14:val="tx1"/>
                  </w14:solidFill>
                </w14:textFill>
              </w:rPr>
              <w:t>温度</w:t>
            </w:r>
            <w:r>
              <w:rPr>
                <w:color w:val="000000" w:themeColor="text1"/>
                <w14:textFill>
                  <w14:solidFill>
                    <w14:schemeClr w14:val="tx1"/>
                  </w14:solidFill>
                </w14:textFill>
              </w:rPr>
              <w:t>/</w:t>
            </w:r>
            <w:r>
              <w:rPr>
                <w:rFonts w:hint="eastAsia"/>
                <w:color w:val="000000" w:themeColor="text1"/>
                <w14:textFill>
                  <w14:solidFill>
                    <w14:schemeClr w14:val="tx1"/>
                  </w14:solidFill>
                </w14:textFill>
              </w:rPr>
              <w:t>湿度</w:t>
            </w:r>
            <w:r>
              <w:rPr>
                <w:color w:val="000000" w:themeColor="text1"/>
                <w14:textFill>
                  <w14:solidFill>
                    <w14:schemeClr w14:val="tx1"/>
                  </w14:solidFill>
                </w14:textFill>
              </w:rPr>
              <w:t>/</w:t>
            </w:r>
            <w:r>
              <w:rPr>
                <w:rFonts w:hint="eastAsia"/>
                <w:color w:val="000000" w:themeColor="text1"/>
                <w14:textFill>
                  <w14:solidFill>
                    <w14:schemeClr w14:val="tx1"/>
                  </w14:solidFill>
                </w14:textFill>
              </w:rPr>
              <w:t>风速监测、出入权限管理、电缆层高温预警、电缆层水位高度预警等功能</w:t>
            </w:r>
          </w:p>
        </w:tc>
        <w:tc>
          <w:tcPr>
            <w:tcW w:w="1592" w:type="dxa"/>
            <w:tcBorders>
              <w:left w:val="single" w:color="auto" w:sz="4" w:space="0"/>
            </w:tcBorders>
            <w:vAlign w:val="center"/>
          </w:tcPr>
          <w:p>
            <w:pPr>
              <w:jc w:val="left"/>
              <w:rPr>
                <w:color w:val="000000" w:themeColor="text1"/>
                <w:kern w:val="0"/>
                <w:szCs w:val="21"/>
                <w14:textFill>
                  <w14:solidFill>
                    <w14:schemeClr w14:val="tx1"/>
                  </w14:solidFill>
                </w14:textFill>
              </w:rPr>
            </w:pPr>
            <w:r>
              <w:rPr>
                <w:color w:val="000000" w:themeColor="text1"/>
                <w:kern w:val="0"/>
                <w:szCs w:val="21"/>
                <w14:textFill>
                  <w14:solidFill>
                    <w14:schemeClr w14:val="tx1"/>
                  </w14:solidFill>
                </w14:textFill>
              </w:rPr>
              <w:t>1</w:t>
            </w:r>
          </w:p>
        </w:tc>
        <w:tc>
          <w:tcPr>
            <w:tcW w:w="1653" w:type="dxa"/>
            <w:tcBorders>
              <w:right w:val="single" w:color="auto" w:sz="4" w:space="0"/>
            </w:tcBorders>
          </w:tcPr>
          <w:p>
            <w:pPr>
              <w:rPr>
                <w:rFonts w:ascii="宋体" w:hAnsi="宋体"/>
                <w:color w:val="000000" w:themeColor="text1"/>
                <w14:textFill>
                  <w14:solidFill>
                    <w14:schemeClr w14:val="tx1"/>
                  </w14:solidFill>
                </w14:textFill>
              </w:rPr>
            </w:pPr>
          </w:p>
        </w:tc>
        <w:tc>
          <w:tcPr>
            <w:tcW w:w="840" w:type="dxa"/>
            <w:tcBorders>
              <w:left w:val="single" w:color="auto" w:sz="4" w:space="0"/>
            </w:tcBorders>
          </w:tcPr>
          <w:p>
            <w:pPr>
              <w:rPr>
                <w:rFonts w:ascii="宋体" w:hAnsi="宋体"/>
                <w:color w:val="000000" w:themeColor="text1"/>
                <w14:textFill>
                  <w14:solidFill>
                    <w14:schemeClr w14:val="tx1"/>
                  </w14:solidFill>
                </w14:textFill>
              </w:rPr>
            </w:pPr>
          </w:p>
        </w:tc>
      </w:tr>
      <w:bookmarkEnd w:id="7"/>
    </w:tbl>
    <w:p>
      <w:pPr>
        <w:pStyle w:val="201"/>
        <w:adjustRightInd w:val="0"/>
        <w:snapToGrid w:val="0"/>
        <w:spacing w:line="360" w:lineRule="auto"/>
        <w:jc w:val="center"/>
        <w:rPr>
          <w:rFonts w:ascii="Times New Roman" w:hAnsi="Times New Roman" w:eastAsia="宋体"/>
          <w:color w:val="000000" w:themeColor="text1"/>
          <w:sz w:val="21"/>
          <w:szCs w:val="21"/>
          <w14:textFill>
            <w14:solidFill>
              <w14:schemeClr w14:val="tx1"/>
            </w14:solidFill>
          </w14:textFill>
        </w:rPr>
      </w:pPr>
    </w:p>
    <w:p>
      <w:pPr>
        <w:pStyle w:val="201"/>
        <w:adjustRightInd w:val="0"/>
        <w:snapToGrid w:val="0"/>
        <w:spacing w:line="360" w:lineRule="auto"/>
        <w:rPr>
          <w:rFonts w:ascii="Times New Roman" w:hAnsi="Times New Roman" w:eastAsia="宋体"/>
          <w:color w:val="000000" w:themeColor="text1"/>
          <w:sz w:val="21"/>
          <w:szCs w:val="21"/>
          <w14:textFill>
            <w14:solidFill>
              <w14:schemeClr w14:val="tx1"/>
            </w14:solidFill>
          </w14:textFill>
        </w:rPr>
      </w:pPr>
      <w:r>
        <w:rPr>
          <w:rFonts w:hint="eastAsia" w:ascii="Times New Roman" w:hAnsi="Times New Roman" w:eastAsia="宋体"/>
          <w:color w:val="000000" w:themeColor="text1"/>
          <w:sz w:val="21"/>
          <w:szCs w:val="21"/>
          <w14:textFill>
            <w14:solidFill>
              <w14:schemeClr w14:val="tx1"/>
            </w14:solidFill>
          </w14:textFill>
        </w:rPr>
        <w:t>注：</w:t>
      </w:r>
      <w:r>
        <w:rPr>
          <w:rFonts w:ascii="Times New Roman" w:hAnsi="Times New Roman" w:eastAsia="宋体"/>
          <w:color w:val="000000" w:themeColor="text1"/>
          <w:sz w:val="21"/>
          <w:szCs w:val="21"/>
          <w14:textFill>
            <w14:solidFill>
              <w14:schemeClr w14:val="tx1"/>
            </w14:solidFill>
          </w14:textFill>
        </w:rPr>
        <w:t xml:space="preserve"> </w:t>
      </w:r>
    </w:p>
    <w:p>
      <w:pPr>
        <w:pStyle w:val="201"/>
        <w:adjustRightInd w:val="0"/>
        <w:snapToGrid w:val="0"/>
        <w:spacing w:line="360" w:lineRule="auto"/>
        <w:rPr>
          <w:rFonts w:ascii="Times New Roman" w:hAnsi="Times New Roman" w:eastAsia="宋体"/>
          <w:color w:val="000000" w:themeColor="text1"/>
          <w:sz w:val="21"/>
          <w:szCs w:val="21"/>
          <w14:textFill>
            <w14:solidFill>
              <w14:schemeClr w14:val="tx1"/>
            </w14:solidFill>
          </w14:textFill>
        </w:rPr>
      </w:pPr>
      <w:r>
        <w:rPr>
          <w:rFonts w:hint="eastAsia" w:ascii="Times New Roman" w:hAnsi="Times New Roman" w:eastAsia="宋体"/>
          <w:color w:val="000000" w:themeColor="text1"/>
          <w:sz w:val="21"/>
          <w:szCs w:val="21"/>
          <w14:textFill>
            <w14:solidFill>
              <w14:schemeClr w14:val="tx1"/>
            </w14:solidFill>
          </w14:textFill>
        </w:rPr>
        <w:t>（</w:t>
      </w:r>
      <w:r>
        <w:rPr>
          <w:rFonts w:ascii="Times New Roman" w:hAnsi="Times New Roman" w:eastAsia="宋体"/>
          <w:color w:val="000000" w:themeColor="text1"/>
          <w:sz w:val="21"/>
          <w:szCs w:val="21"/>
          <w14:textFill>
            <w14:solidFill>
              <w14:schemeClr w14:val="tx1"/>
            </w14:solidFill>
          </w14:textFill>
        </w:rPr>
        <w:t>1</w:t>
      </w:r>
      <w:r>
        <w:rPr>
          <w:rFonts w:hint="eastAsia" w:ascii="Times New Roman" w:hAnsi="Times New Roman" w:eastAsia="宋体"/>
          <w:color w:val="000000" w:themeColor="text1"/>
          <w:sz w:val="21"/>
          <w:szCs w:val="21"/>
          <w14:textFill>
            <w14:solidFill>
              <w14:schemeClr w14:val="tx1"/>
            </w14:solidFill>
          </w14:textFill>
        </w:rPr>
        <w:t>）工厂试验由投标方在生产厂内完成</w:t>
      </w:r>
      <w:r>
        <w:rPr>
          <w:rFonts w:ascii="Times New Roman" w:hAnsi="Times New Roman" w:eastAsia="宋体"/>
          <w:color w:val="000000" w:themeColor="text1"/>
          <w:sz w:val="21"/>
          <w:szCs w:val="21"/>
          <w14:textFill>
            <w14:solidFill>
              <w14:schemeClr w14:val="tx1"/>
            </w14:solidFill>
          </w14:textFill>
        </w:rPr>
        <w:t xml:space="preserve">, </w:t>
      </w:r>
      <w:r>
        <w:rPr>
          <w:rFonts w:hint="eastAsia" w:ascii="Times New Roman" w:hAnsi="Times New Roman" w:eastAsia="宋体"/>
          <w:color w:val="000000" w:themeColor="text1"/>
          <w:sz w:val="21"/>
          <w:szCs w:val="21"/>
          <w14:textFill>
            <w14:solidFill>
              <w14:schemeClr w14:val="tx1"/>
            </w14:solidFill>
          </w14:textFill>
        </w:rPr>
        <w:t>但应有招标方代表参加</w:t>
      </w:r>
      <w:r>
        <w:rPr>
          <w:rFonts w:ascii="Times New Roman" w:hAnsi="Times New Roman" w:eastAsia="宋体"/>
          <w:color w:val="000000" w:themeColor="text1"/>
          <w:sz w:val="21"/>
          <w:szCs w:val="21"/>
          <w14:textFill>
            <w14:solidFill>
              <w14:schemeClr w14:val="tx1"/>
            </w14:solidFill>
          </w14:textFill>
        </w:rPr>
        <w:t xml:space="preserve">, </w:t>
      </w:r>
      <w:r>
        <w:rPr>
          <w:rFonts w:hint="eastAsia" w:ascii="Times New Roman" w:hAnsi="Times New Roman" w:eastAsia="宋体"/>
          <w:color w:val="000000" w:themeColor="text1"/>
          <w:sz w:val="21"/>
          <w:szCs w:val="21"/>
          <w14:textFill>
            <w14:solidFill>
              <w14:schemeClr w14:val="tx1"/>
            </w14:solidFill>
          </w14:textFill>
        </w:rPr>
        <w:t>参加工厂验收的人数及天数等规定详见技术协议书商务部分。</w:t>
      </w:r>
    </w:p>
    <w:p>
      <w:pPr>
        <w:pStyle w:val="201"/>
        <w:adjustRightInd w:val="0"/>
        <w:snapToGrid w:val="0"/>
        <w:spacing w:line="360" w:lineRule="auto"/>
        <w:rPr>
          <w:rFonts w:ascii="Times New Roman" w:hAnsi="Times New Roman" w:eastAsia="宋体"/>
          <w:color w:val="000000" w:themeColor="text1"/>
          <w:sz w:val="21"/>
          <w:szCs w:val="21"/>
          <w14:textFill>
            <w14:solidFill>
              <w14:schemeClr w14:val="tx1"/>
            </w14:solidFill>
          </w14:textFill>
        </w:rPr>
      </w:pPr>
      <w:r>
        <w:rPr>
          <w:rFonts w:hint="eastAsia" w:ascii="Times New Roman" w:hAnsi="Times New Roman" w:eastAsia="宋体"/>
          <w:color w:val="000000" w:themeColor="text1"/>
          <w:sz w:val="21"/>
          <w:szCs w:val="21"/>
          <w14:textFill>
            <w14:solidFill>
              <w14:schemeClr w14:val="tx1"/>
            </w14:solidFill>
          </w14:textFill>
        </w:rPr>
        <w:t>（</w:t>
      </w:r>
      <w:r>
        <w:rPr>
          <w:rFonts w:ascii="Times New Roman" w:hAnsi="Times New Roman" w:eastAsia="宋体"/>
          <w:color w:val="000000" w:themeColor="text1"/>
          <w:sz w:val="21"/>
          <w:szCs w:val="21"/>
          <w14:textFill>
            <w14:solidFill>
              <w14:schemeClr w14:val="tx1"/>
            </w14:solidFill>
          </w14:textFill>
        </w:rPr>
        <w:t>2</w:t>
      </w:r>
      <w:r>
        <w:rPr>
          <w:rFonts w:hint="eastAsia" w:ascii="Times New Roman" w:hAnsi="Times New Roman" w:eastAsia="宋体"/>
          <w:color w:val="000000" w:themeColor="text1"/>
          <w:sz w:val="21"/>
          <w:szCs w:val="21"/>
          <w14:textFill>
            <w14:solidFill>
              <w14:schemeClr w14:val="tx1"/>
            </w14:solidFill>
          </w14:textFill>
        </w:rPr>
        <w:t>）现场安装和试验在投标方的技术指导下由招标方完成</w:t>
      </w:r>
      <w:r>
        <w:rPr>
          <w:rFonts w:ascii="Times New Roman" w:hAnsi="Times New Roman" w:eastAsia="宋体"/>
          <w:color w:val="000000" w:themeColor="text1"/>
          <w:sz w:val="21"/>
          <w:szCs w:val="21"/>
          <w14:textFill>
            <w14:solidFill>
              <w14:schemeClr w14:val="tx1"/>
            </w14:solidFill>
          </w14:textFill>
        </w:rPr>
        <w:t xml:space="preserve">, </w:t>
      </w:r>
      <w:r>
        <w:rPr>
          <w:rFonts w:hint="eastAsia" w:ascii="Times New Roman" w:hAnsi="Times New Roman" w:eastAsia="宋体"/>
          <w:color w:val="000000" w:themeColor="text1"/>
          <w:sz w:val="21"/>
          <w:szCs w:val="21"/>
          <w14:textFill>
            <w14:solidFill>
              <w14:schemeClr w14:val="tx1"/>
            </w14:solidFill>
          </w14:textFill>
        </w:rPr>
        <w:t>投标方协助招标方按标准检查安装质量</w:t>
      </w:r>
      <w:r>
        <w:rPr>
          <w:rFonts w:ascii="Times New Roman" w:hAnsi="Times New Roman" w:eastAsia="宋体"/>
          <w:color w:val="000000" w:themeColor="text1"/>
          <w:sz w:val="21"/>
          <w:szCs w:val="21"/>
          <w14:textFill>
            <w14:solidFill>
              <w14:schemeClr w14:val="tx1"/>
            </w14:solidFill>
          </w14:textFill>
        </w:rPr>
        <w:t xml:space="preserve">, </w:t>
      </w:r>
      <w:r>
        <w:rPr>
          <w:rFonts w:hint="eastAsia" w:ascii="Times New Roman" w:hAnsi="Times New Roman" w:eastAsia="宋体"/>
          <w:color w:val="000000" w:themeColor="text1"/>
          <w:sz w:val="21"/>
          <w:szCs w:val="21"/>
          <w14:textFill>
            <w14:solidFill>
              <w14:schemeClr w14:val="tx1"/>
            </w14:solidFill>
          </w14:textFill>
        </w:rPr>
        <w:t>处理调试投运过程中出现的问题，并提供备品、备件，做好销售服务工作。投标方应选派有经验的技术人员，对安装和运行人员免费培训。安装督导的工作范围及人数和天数等规定详见技术协议书商务部分。</w:t>
      </w:r>
    </w:p>
    <w:p>
      <w:pPr>
        <w:pStyle w:val="201"/>
        <w:adjustRightInd w:val="0"/>
        <w:snapToGrid w:val="0"/>
        <w:spacing w:line="360" w:lineRule="auto"/>
        <w:rPr>
          <w:rFonts w:ascii="Times New Roman" w:hAnsi="Times New Roman" w:eastAsia="宋体"/>
          <w:color w:val="000000" w:themeColor="text1"/>
          <w:sz w:val="21"/>
          <w:szCs w:val="21"/>
          <w14:textFill>
            <w14:solidFill>
              <w14:schemeClr w14:val="tx1"/>
            </w14:solidFill>
          </w14:textFill>
        </w:rPr>
      </w:pPr>
      <w:r>
        <w:rPr>
          <w:rFonts w:hint="eastAsia" w:ascii="Times New Roman" w:hAnsi="Times New Roman" w:eastAsia="宋体"/>
          <w:color w:val="000000" w:themeColor="text1"/>
          <w:sz w:val="21"/>
          <w:szCs w:val="21"/>
          <w14:textFill>
            <w14:solidFill>
              <w14:schemeClr w14:val="tx1"/>
            </w14:solidFill>
          </w14:textFill>
        </w:rPr>
        <w:t>（</w:t>
      </w:r>
      <w:r>
        <w:rPr>
          <w:rFonts w:ascii="Times New Roman" w:hAnsi="Times New Roman" w:eastAsia="宋体"/>
          <w:color w:val="000000" w:themeColor="text1"/>
          <w:sz w:val="21"/>
          <w:szCs w:val="21"/>
          <w14:textFill>
            <w14:solidFill>
              <w14:schemeClr w14:val="tx1"/>
            </w14:solidFill>
          </w14:textFill>
        </w:rPr>
        <w:t>3</w:t>
      </w:r>
      <w:r>
        <w:rPr>
          <w:rFonts w:hint="eastAsia" w:ascii="Times New Roman" w:hAnsi="Times New Roman" w:eastAsia="宋体"/>
          <w:color w:val="000000" w:themeColor="text1"/>
          <w:sz w:val="21"/>
          <w:szCs w:val="21"/>
          <w14:textFill>
            <w14:solidFill>
              <w14:schemeClr w14:val="tx1"/>
            </w14:solidFill>
          </w14:textFill>
        </w:rPr>
        <w:t>）投标方应协助招标方解决设备运行中出现的问题。</w:t>
      </w:r>
    </w:p>
    <w:p>
      <w:pPr>
        <w:pStyle w:val="201"/>
        <w:adjustRightInd w:val="0"/>
        <w:snapToGrid w:val="0"/>
        <w:spacing w:line="360" w:lineRule="auto"/>
        <w:rPr>
          <w:rFonts w:ascii="Times New Roman" w:hAnsi="Times New Roman" w:eastAsia="宋体"/>
          <w:color w:val="000000" w:themeColor="text1"/>
          <w:sz w:val="21"/>
          <w:szCs w:val="21"/>
          <w14:textFill>
            <w14:solidFill>
              <w14:schemeClr w14:val="tx1"/>
            </w14:solidFill>
          </w14:textFill>
        </w:rPr>
      </w:pPr>
      <w:r>
        <w:rPr>
          <w:rFonts w:hint="eastAsia" w:ascii="Times New Roman" w:hAnsi="Times New Roman" w:eastAsia="宋体"/>
          <w:color w:val="000000" w:themeColor="text1"/>
          <w:sz w:val="21"/>
          <w:szCs w:val="21"/>
          <w14:textFill>
            <w14:solidFill>
              <w14:schemeClr w14:val="tx1"/>
            </w14:solidFill>
          </w14:textFill>
        </w:rPr>
        <w:t>（</w:t>
      </w:r>
      <w:r>
        <w:rPr>
          <w:rFonts w:ascii="Times New Roman" w:hAnsi="Times New Roman" w:eastAsia="宋体"/>
          <w:color w:val="000000" w:themeColor="text1"/>
          <w:sz w:val="21"/>
          <w:szCs w:val="21"/>
          <w14:textFill>
            <w14:solidFill>
              <w14:schemeClr w14:val="tx1"/>
            </w14:solidFill>
          </w14:textFill>
        </w:rPr>
        <w:t>4</w:t>
      </w:r>
      <w:r>
        <w:rPr>
          <w:rFonts w:hint="eastAsia" w:ascii="Times New Roman" w:hAnsi="Times New Roman" w:eastAsia="宋体"/>
          <w:color w:val="000000" w:themeColor="text1"/>
          <w:sz w:val="21"/>
          <w:szCs w:val="21"/>
          <w14:textFill>
            <w14:solidFill>
              <w14:schemeClr w14:val="tx1"/>
            </w14:solidFill>
          </w14:textFill>
        </w:rPr>
        <w:t>）设计联络会议的地点及招标方参加人员的人数和天数等规定详见技术协议书商务部分。</w:t>
      </w:r>
    </w:p>
    <w:p>
      <w:pPr>
        <w:pStyle w:val="201"/>
        <w:adjustRightInd w:val="0"/>
        <w:snapToGrid w:val="0"/>
        <w:spacing w:line="360" w:lineRule="auto"/>
        <w:rPr>
          <w:rFonts w:ascii="Times New Roman" w:hAnsi="Times New Roman" w:eastAsia="宋体"/>
          <w:color w:val="000000" w:themeColor="text1"/>
          <w:sz w:val="21"/>
          <w:szCs w:val="21"/>
          <w14:textFill>
            <w14:solidFill>
              <w14:schemeClr w14:val="tx1"/>
            </w14:solidFill>
          </w14:textFill>
        </w:rPr>
      </w:pPr>
      <w:r>
        <w:rPr>
          <w:rFonts w:hint="eastAsia" w:ascii="Times New Roman" w:hAnsi="Times New Roman" w:eastAsia="宋体"/>
          <w:color w:val="000000" w:themeColor="text1"/>
          <w:sz w:val="21"/>
          <w:szCs w:val="21"/>
          <w14:textFill>
            <w14:solidFill>
              <w14:schemeClr w14:val="tx1"/>
            </w14:solidFill>
          </w14:textFill>
        </w:rPr>
        <w:t>（</w:t>
      </w:r>
      <w:r>
        <w:rPr>
          <w:rFonts w:ascii="Times New Roman" w:hAnsi="Times New Roman" w:eastAsia="宋体"/>
          <w:color w:val="000000" w:themeColor="text1"/>
          <w:sz w:val="21"/>
          <w:szCs w:val="21"/>
          <w14:textFill>
            <w14:solidFill>
              <w14:schemeClr w14:val="tx1"/>
            </w14:solidFill>
          </w14:textFill>
        </w:rPr>
        <w:t>5</w:t>
      </w:r>
      <w:r>
        <w:rPr>
          <w:rFonts w:hint="eastAsia" w:ascii="Times New Roman" w:hAnsi="Times New Roman" w:eastAsia="宋体"/>
          <w:color w:val="000000" w:themeColor="text1"/>
          <w:sz w:val="21"/>
          <w:szCs w:val="21"/>
          <w14:textFill>
            <w14:solidFill>
              <w14:schemeClr w14:val="tx1"/>
            </w14:solidFill>
          </w14:textFill>
        </w:rPr>
        <w:t>）设备安装、调试和性能试验合格后方可投运。设备投运并稳定运行后，投标方和招标方（业主）双方应根据相关法律、法规和公司管理制度签署合同设备的验收证明书。该证明书共两份，双方各执一份。</w:t>
      </w:r>
    </w:p>
    <w:p>
      <w:pPr>
        <w:pStyle w:val="201"/>
        <w:adjustRightInd w:val="0"/>
        <w:snapToGrid w:val="0"/>
        <w:spacing w:line="360" w:lineRule="auto"/>
        <w:rPr>
          <w:rFonts w:ascii="Times New Roman" w:hAnsi="Times New Roman" w:eastAsia="宋体"/>
          <w:color w:val="000000" w:themeColor="text1"/>
          <w:sz w:val="21"/>
          <w:szCs w:val="21"/>
          <w14:textFill>
            <w14:solidFill>
              <w14:schemeClr w14:val="tx1"/>
            </w14:solidFill>
          </w14:textFill>
        </w:rPr>
      </w:pPr>
      <w:r>
        <w:rPr>
          <w:rFonts w:hint="eastAsia" w:ascii="Times New Roman" w:hAnsi="Times New Roman" w:eastAsia="宋体"/>
          <w:color w:val="000000" w:themeColor="text1"/>
          <w:sz w:val="21"/>
          <w:szCs w:val="21"/>
          <w14:textFill>
            <w14:solidFill>
              <w14:schemeClr w14:val="tx1"/>
            </w14:solidFill>
          </w14:textFill>
        </w:rPr>
        <w:t>（</w:t>
      </w:r>
      <w:r>
        <w:rPr>
          <w:rFonts w:ascii="Times New Roman" w:hAnsi="Times New Roman" w:eastAsia="宋体"/>
          <w:color w:val="000000" w:themeColor="text1"/>
          <w:sz w:val="21"/>
          <w:szCs w:val="21"/>
          <w14:textFill>
            <w14:solidFill>
              <w14:schemeClr w14:val="tx1"/>
            </w14:solidFill>
          </w14:textFill>
        </w:rPr>
        <w:t>6</w:t>
      </w:r>
      <w:r>
        <w:rPr>
          <w:rFonts w:hint="eastAsia" w:ascii="Times New Roman" w:hAnsi="Times New Roman" w:eastAsia="宋体"/>
          <w:color w:val="000000" w:themeColor="text1"/>
          <w:sz w:val="21"/>
          <w:szCs w:val="21"/>
          <w14:textFill>
            <w14:solidFill>
              <w14:schemeClr w14:val="tx1"/>
            </w14:solidFill>
          </w14:textFill>
        </w:rPr>
        <w:t>）如果安装、调试、性能试验、试运行及质保期内技术指标一项或多项不能满足合同技术部分要求，买卖双方共同分析原因，分清责任，如属制造方面的原因，或涉及索赔部分，按商务部分有关条款执行。</w:t>
      </w:r>
    </w:p>
    <w:p>
      <w:pPr>
        <w:pStyle w:val="201"/>
        <w:adjustRightInd w:val="0"/>
        <w:snapToGrid w:val="0"/>
        <w:spacing w:line="360" w:lineRule="auto"/>
        <w:rPr>
          <w:rFonts w:ascii="Times New Roman" w:hAnsi="Times New Roman" w:eastAsia="宋体"/>
          <w:color w:val="000000" w:themeColor="text1"/>
          <w:sz w:val="21"/>
          <w:szCs w:val="21"/>
          <w14:textFill>
            <w14:solidFill>
              <w14:schemeClr w14:val="tx1"/>
            </w14:solidFill>
          </w14:textFill>
        </w:rPr>
      </w:pPr>
      <w:r>
        <w:rPr>
          <w:rFonts w:hint="eastAsia" w:ascii="Times New Roman" w:hAnsi="Times New Roman" w:eastAsia="宋体"/>
          <w:color w:val="000000" w:themeColor="text1"/>
          <w:sz w:val="21"/>
          <w:szCs w:val="21"/>
          <w14:textFill>
            <w14:solidFill>
              <w14:schemeClr w14:val="tx1"/>
            </w14:solidFill>
          </w14:textFill>
        </w:rPr>
        <w:t>（</w:t>
      </w:r>
      <w:r>
        <w:rPr>
          <w:rFonts w:ascii="Times New Roman" w:hAnsi="Times New Roman" w:eastAsia="宋体"/>
          <w:color w:val="000000" w:themeColor="text1"/>
          <w:sz w:val="21"/>
          <w:szCs w:val="21"/>
          <w14:textFill>
            <w14:solidFill>
              <w14:schemeClr w14:val="tx1"/>
            </w14:solidFill>
          </w14:textFill>
        </w:rPr>
        <w:t>7</w:t>
      </w:r>
      <w:r>
        <w:rPr>
          <w:rFonts w:hint="eastAsia" w:ascii="Times New Roman" w:hAnsi="Times New Roman" w:eastAsia="宋体"/>
          <w:color w:val="000000" w:themeColor="text1"/>
          <w:sz w:val="21"/>
          <w:szCs w:val="21"/>
          <w14:textFill>
            <w14:solidFill>
              <w14:schemeClr w14:val="tx1"/>
            </w14:solidFill>
          </w14:textFill>
        </w:rPr>
        <w:t>）舱体通用部分技术要求中的功能要求，未尽事宜由招标方牵头协调，投标方应无条件配合解决。其余未尽事宜，由招、投标双方协商确定。</w:t>
      </w:r>
    </w:p>
    <w:p>
      <w:pPr>
        <w:widowControl/>
        <w:spacing w:before="100" w:beforeAutospacing="1" w:after="100" w:afterAutospacing="1"/>
        <w:jc w:val="left"/>
        <w:rPr>
          <w:rFonts w:ascii="宋体" w:hAnsi="宋体" w:cs="宋体"/>
          <w:kern w:val="0"/>
          <w:sz w:val="24"/>
        </w:rPr>
      </w:pPr>
      <w:r>
        <w:drawing>
          <wp:inline distT="0" distB="0" distL="0" distR="0">
            <wp:extent cx="4505960" cy="6363970"/>
            <wp:effectExtent l="0" t="0" r="8890" b="0"/>
            <wp:docPr id="7" name="图片 7" descr="C:\Users\g8144.GEDI\AppData\Local\Temp\企业微信截图_1740638454232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图片 7" descr="C:\Users\g8144.GEDI\AppData\Local\Temp\企业微信截图_17406384542322.png"/>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a:xfrm>
                      <a:off x="0" y="0"/>
                      <a:ext cx="4505960" cy="6363970"/>
                    </a:xfrm>
                    <a:prstGeom prst="rect">
                      <a:avLst/>
                    </a:prstGeom>
                    <a:noFill/>
                    <a:ln>
                      <a:noFill/>
                    </a:ln>
                  </pic:spPr>
                </pic:pic>
              </a:graphicData>
            </a:graphic>
          </wp:inline>
        </w:drawing>
      </w:r>
    </w:p>
    <w:p>
      <w:pPr>
        <w:widowControl/>
        <w:spacing w:before="100" w:beforeAutospacing="1" w:after="100" w:afterAutospacing="1"/>
        <w:jc w:val="left"/>
        <w:rPr>
          <w:rFonts w:ascii="宋体" w:hAnsi="宋体" w:cs="宋体"/>
          <w:kern w:val="0"/>
          <w:sz w:val="24"/>
        </w:rPr>
      </w:pPr>
      <w:r>
        <w:drawing>
          <wp:inline distT="0" distB="0" distL="0" distR="0">
            <wp:extent cx="4601210" cy="6349365"/>
            <wp:effectExtent l="0" t="0" r="8890" b="0"/>
            <wp:docPr id="6" name="图片 6" descr="C:\Users\g8144.GEDI\AppData\Local\Temp\企业微信截图_1740638322883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图片 6" descr="C:\Users\g8144.GEDI\AppData\Local\Temp\企业微信截图_17406383228831.png"/>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a:xfrm>
                      <a:off x="0" y="0"/>
                      <a:ext cx="4601210" cy="6349365"/>
                    </a:xfrm>
                    <a:prstGeom prst="rect">
                      <a:avLst/>
                    </a:prstGeom>
                    <a:noFill/>
                    <a:ln>
                      <a:noFill/>
                    </a:ln>
                  </pic:spPr>
                </pic:pic>
              </a:graphicData>
            </a:graphic>
          </wp:inline>
        </w:drawing>
      </w:r>
    </w:p>
    <w:p>
      <w:pPr>
        <w:widowControl/>
        <w:spacing w:before="100" w:beforeAutospacing="1" w:after="100" w:afterAutospacing="1"/>
        <w:jc w:val="left"/>
        <w:rPr>
          <w:rFonts w:ascii="宋体" w:hAnsi="宋体" w:cs="宋体"/>
          <w:kern w:val="0"/>
          <w:sz w:val="24"/>
        </w:rPr>
      </w:pPr>
      <w:r>
        <w:drawing>
          <wp:inline distT="0" distB="0" distL="0" distR="0">
            <wp:extent cx="4601210" cy="6371590"/>
            <wp:effectExtent l="0" t="0" r="8890" b="0"/>
            <wp:docPr id="8" name="图片 8" descr="C:\Users\g8144.GEDI\AppData\Local\Temp\企业微信截图_1740638545975.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图片 8" descr="C:\Users\g8144.GEDI\AppData\Local\Temp\企业微信截图_1740638545975.png"/>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a:xfrm>
                      <a:off x="0" y="0"/>
                      <a:ext cx="4601210" cy="6371590"/>
                    </a:xfrm>
                    <a:prstGeom prst="rect">
                      <a:avLst/>
                    </a:prstGeom>
                    <a:noFill/>
                    <a:ln>
                      <a:noFill/>
                    </a:ln>
                  </pic:spPr>
                </pic:pic>
              </a:graphicData>
            </a:graphic>
          </wp:inline>
        </w:drawing>
      </w:r>
    </w:p>
    <w:p>
      <w:pPr>
        <w:pStyle w:val="201"/>
        <w:adjustRightInd w:val="0"/>
        <w:snapToGrid w:val="0"/>
        <w:spacing w:line="360" w:lineRule="auto"/>
        <w:ind w:firstLine="3150" w:firstLineChars="1500"/>
        <w:rPr>
          <w:rFonts w:ascii="Times New Roman" w:hAnsi="Times New Roman" w:eastAsia="宋体"/>
          <w:color w:val="000000" w:themeColor="text1"/>
          <w:sz w:val="21"/>
          <w:szCs w:val="21"/>
          <w14:textFill>
            <w14:solidFill>
              <w14:schemeClr w14:val="tx1"/>
            </w14:solidFill>
          </w14:textFill>
        </w:rPr>
      </w:pPr>
      <w:r>
        <w:rPr>
          <w:rFonts w:hint="eastAsia" w:ascii="Times New Roman" w:hAnsi="Times New Roman" w:eastAsia="宋体"/>
          <w:color w:val="000000" w:themeColor="text1"/>
          <w:sz w:val="21"/>
          <w:szCs w:val="21"/>
          <w14:textFill>
            <w14:solidFill>
              <w14:schemeClr w14:val="tx1"/>
            </w14:solidFill>
          </w14:textFill>
        </w:rPr>
        <w:t>图</w:t>
      </w:r>
      <w:r>
        <w:rPr>
          <w:rFonts w:ascii="Times New Roman" w:hAnsi="Times New Roman" w:eastAsia="宋体"/>
          <w:color w:val="000000" w:themeColor="text1"/>
          <w:sz w:val="21"/>
          <w:szCs w:val="21"/>
          <w14:textFill>
            <w14:solidFill>
              <w14:schemeClr w14:val="tx1"/>
            </w14:solidFill>
          </w14:textFill>
        </w:rPr>
        <w:t>2.3 预制舱平面布置图</w:t>
      </w:r>
    </w:p>
    <w:p>
      <w:pPr>
        <w:pStyle w:val="201"/>
        <w:adjustRightInd w:val="0"/>
        <w:snapToGrid w:val="0"/>
        <w:spacing w:line="360" w:lineRule="auto"/>
        <w:ind w:firstLine="0" w:firstLineChars="0"/>
        <w:jc w:val="center"/>
        <w:rPr>
          <w:rFonts w:ascii="Times New Roman" w:hAnsi="Times New Roman" w:eastAsia="宋体"/>
          <w:color w:val="000000" w:themeColor="text1"/>
          <w:sz w:val="21"/>
          <w:szCs w:val="21"/>
          <w14:textFill>
            <w14:solidFill>
              <w14:schemeClr w14:val="tx1"/>
            </w14:solidFill>
          </w14:textFill>
        </w:rPr>
      </w:pPr>
      <w:r>
        <w:rPr>
          <w:rFonts w:ascii="Times New Roman" w:hAnsi="Times New Roman" w:eastAsia="宋体"/>
          <w:color w:val="000000" w:themeColor="text1"/>
          <w:sz w:val="21"/>
          <w:szCs w:val="21"/>
          <w14:textFill>
            <w14:solidFill>
              <w14:schemeClr w14:val="tx1"/>
            </w14:solidFill>
          </w14:textFill>
        </w:rPr>
        <w:t xml:space="preserve">    </w:t>
      </w:r>
      <w:r>
        <w:rPr>
          <w:rFonts w:hint="eastAsia" w:ascii="Times New Roman" w:hAnsi="Times New Roman" w:eastAsia="宋体"/>
          <w:color w:val="000000" w:themeColor="text1"/>
          <w:sz w:val="21"/>
          <w:szCs w:val="21"/>
          <w14:textFill>
            <w14:solidFill>
              <w14:schemeClr w14:val="tx1"/>
            </w14:solidFill>
          </w14:textFill>
        </w:rPr>
        <w:t>1、配电装置组合舱（双层结构，单层净高≮</w:t>
      </w:r>
      <w:r>
        <w:rPr>
          <w:rFonts w:ascii="Times New Roman" w:hAnsi="Times New Roman" w:eastAsia="宋体"/>
          <w:color w:val="000000" w:themeColor="text1"/>
          <w:sz w:val="21"/>
          <w:szCs w:val="21"/>
          <w14:textFill>
            <w14:solidFill>
              <w14:schemeClr w14:val="tx1"/>
            </w14:solidFill>
          </w14:textFill>
        </w:rPr>
        <w:t>3500mm</w:t>
      </w:r>
      <w:r>
        <w:rPr>
          <w:rFonts w:hint="eastAsia" w:ascii="Times New Roman" w:hAnsi="Times New Roman" w:eastAsia="宋体"/>
          <w:color w:val="000000" w:themeColor="text1"/>
          <w:sz w:val="21"/>
          <w:szCs w:val="21"/>
          <w14:textFill>
            <w14:solidFill>
              <w14:schemeClr w14:val="tx1"/>
            </w14:solidFill>
          </w14:textFill>
        </w:rPr>
        <w:t>）</w:t>
      </w:r>
    </w:p>
    <w:p>
      <w:pPr>
        <w:pStyle w:val="201"/>
        <w:adjustRightInd w:val="0"/>
        <w:snapToGrid w:val="0"/>
        <w:spacing w:line="360" w:lineRule="auto"/>
        <w:ind w:firstLine="0" w:firstLineChars="0"/>
        <w:jc w:val="center"/>
        <w:rPr>
          <w:rFonts w:ascii="Times New Roman" w:hAnsi="Times New Roman" w:eastAsia="宋体"/>
          <w:color w:val="000000" w:themeColor="text1"/>
          <w:sz w:val="21"/>
          <w:szCs w:val="21"/>
          <w14:textFill>
            <w14:solidFill>
              <w14:schemeClr w14:val="tx1"/>
            </w14:solidFill>
          </w14:textFill>
        </w:rPr>
      </w:pPr>
      <w:r>
        <w:rPr>
          <w:rFonts w:ascii="Times New Roman" w:hAnsi="Times New Roman" w:eastAsia="宋体"/>
          <w:color w:val="000000" w:themeColor="text1"/>
          <w:sz w:val="21"/>
          <w:szCs w:val="21"/>
          <w14:textFill>
            <w14:solidFill>
              <w14:schemeClr w14:val="tx1"/>
            </w14:solidFill>
          </w14:textFill>
        </w:rPr>
        <w:t xml:space="preserve">    2、SMES</w:t>
      </w:r>
      <w:r>
        <w:rPr>
          <w:rFonts w:hint="eastAsia" w:ascii="Times New Roman" w:hAnsi="Times New Roman" w:eastAsia="宋体"/>
          <w:color w:val="000000" w:themeColor="text1"/>
          <w:sz w:val="21"/>
          <w:szCs w:val="21"/>
          <w14:textFill>
            <w14:solidFill>
              <w14:schemeClr w14:val="tx1"/>
            </w14:solidFill>
          </w14:textFill>
        </w:rPr>
        <w:t>及升压变流系统组合舱（双层镂空结构，单层净高≮</w:t>
      </w:r>
      <w:r>
        <w:rPr>
          <w:rFonts w:ascii="Times New Roman" w:hAnsi="Times New Roman" w:eastAsia="宋体"/>
          <w:color w:val="000000" w:themeColor="text1"/>
          <w:sz w:val="21"/>
          <w:szCs w:val="21"/>
          <w14:textFill>
            <w14:solidFill>
              <w14:schemeClr w14:val="tx1"/>
            </w14:solidFill>
          </w14:textFill>
        </w:rPr>
        <w:t>3500mm</w:t>
      </w:r>
      <w:r>
        <w:rPr>
          <w:rFonts w:hint="eastAsia" w:ascii="Times New Roman" w:hAnsi="Times New Roman" w:eastAsia="宋体"/>
          <w:color w:val="000000" w:themeColor="text1"/>
          <w:sz w:val="21"/>
          <w:szCs w:val="21"/>
          <w14:textFill>
            <w14:solidFill>
              <w14:schemeClr w14:val="tx1"/>
            </w14:solidFill>
          </w14:textFill>
        </w:rPr>
        <w:t>）</w:t>
      </w:r>
    </w:p>
    <w:p>
      <w:pPr>
        <w:pStyle w:val="201"/>
        <w:adjustRightInd w:val="0"/>
        <w:snapToGrid w:val="0"/>
        <w:spacing w:line="360" w:lineRule="auto"/>
        <w:ind w:firstLine="0" w:firstLineChars="0"/>
        <w:jc w:val="center"/>
        <w:rPr>
          <w:rFonts w:ascii="Times New Roman" w:hAnsi="Times New Roman" w:eastAsia="宋体"/>
          <w:color w:val="000000" w:themeColor="text1"/>
          <w:sz w:val="21"/>
          <w:szCs w:val="21"/>
          <w14:textFill>
            <w14:solidFill>
              <w14:schemeClr w14:val="tx1"/>
            </w14:solidFill>
          </w14:textFill>
        </w:rPr>
      </w:pPr>
      <w:r>
        <w:rPr>
          <w:rFonts w:ascii="Times New Roman" w:hAnsi="Times New Roman" w:eastAsia="宋体"/>
          <w:color w:val="000000" w:themeColor="text1"/>
          <w:sz w:val="21"/>
          <w:szCs w:val="21"/>
          <w14:textFill>
            <w14:solidFill>
              <w14:schemeClr w14:val="tx1"/>
            </w14:solidFill>
          </w14:textFill>
        </w:rPr>
        <w:t xml:space="preserve">   </w:t>
      </w:r>
      <w:r>
        <w:rPr>
          <w:rFonts w:hint="eastAsia" w:ascii="Times New Roman" w:hAnsi="Times New Roman" w:eastAsia="宋体"/>
          <w:color w:val="000000" w:themeColor="text1"/>
          <w:sz w:val="21"/>
          <w:szCs w:val="21"/>
          <w14:textFill>
            <w14:solidFill>
              <w14:schemeClr w14:val="tx1"/>
            </w14:solidFill>
          </w14:textFill>
        </w:rPr>
        <w:t>3、展厅舱（双层结构，首层净高不小于</w:t>
      </w:r>
      <w:r>
        <w:rPr>
          <w:rFonts w:ascii="Times New Roman" w:hAnsi="Times New Roman" w:eastAsia="宋体"/>
          <w:color w:val="000000" w:themeColor="text1"/>
          <w:sz w:val="21"/>
          <w:szCs w:val="21"/>
          <w14:textFill>
            <w14:solidFill>
              <w14:schemeClr w14:val="tx1"/>
            </w14:solidFill>
          </w14:textFill>
        </w:rPr>
        <w:t>3500</w:t>
      </w:r>
      <w:r>
        <w:rPr>
          <w:rFonts w:hint="eastAsia" w:ascii="Times New Roman" w:hAnsi="Times New Roman" w:eastAsia="宋体"/>
          <w:color w:val="000000" w:themeColor="text1"/>
          <w:sz w:val="21"/>
          <w:szCs w:val="21"/>
          <w14:textFill>
            <w14:solidFill>
              <w14:schemeClr w14:val="tx1"/>
            </w14:solidFill>
          </w14:textFill>
        </w:rPr>
        <w:t>，二层净高不小于</w:t>
      </w:r>
      <w:r>
        <w:rPr>
          <w:rFonts w:ascii="Times New Roman" w:hAnsi="Times New Roman" w:eastAsia="宋体"/>
          <w:color w:val="000000" w:themeColor="text1"/>
          <w:sz w:val="21"/>
          <w:szCs w:val="21"/>
          <w14:textFill>
            <w14:solidFill>
              <w14:schemeClr w14:val="tx1"/>
            </w14:solidFill>
          </w14:textFill>
        </w:rPr>
        <w:t>3500-4200</w:t>
      </w:r>
      <w:r>
        <w:rPr>
          <w:rFonts w:hint="eastAsia" w:ascii="Times New Roman" w:hAnsi="Times New Roman" w:eastAsia="宋体"/>
          <w:color w:val="000000" w:themeColor="text1"/>
          <w:sz w:val="21"/>
          <w:szCs w:val="21"/>
          <w14:textFill>
            <w14:solidFill>
              <w14:schemeClr w14:val="tx1"/>
            </w14:solidFill>
          </w14:textFill>
        </w:rPr>
        <w:t>）</w:t>
      </w:r>
    </w:p>
    <w:p>
      <w:pPr>
        <w:pStyle w:val="201"/>
        <w:adjustRightInd w:val="0"/>
        <w:snapToGrid w:val="0"/>
        <w:spacing w:line="360" w:lineRule="auto"/>
        <w:rPr>
          <w:rFonts w:ascii="Times New Roman" w:hAnsi="Times New Roman" w:eastAsia="宋体"/>
          <w:color w:val="000000" w:themeColor="text1"/>
          <w:sz w:val="21"/>
          <w:szCs w:val="21"/>
          <w14:textFill>
            <w14:solidFill>
              <w14:schemeClr w14:val="tx1"/>
            </w14:solidFill>
          </w14:textFill>
        </w:rPr>
      </w:pPr>
    </w:p>
    <w:p>
      <w:pPr>
        <w:pStyle w:val="201"/>
        <w:adjustRightInd w:val="0"/>
        <w:snapToGrid w:val="0"/>
        <w:spacing w:line="360" w:lineRule="auto"/>
        <w:rPr>
          <w:rFonts w:ascii="Times New Roman" w:hAnsi="Times New Roman" w:eastAsia="宋体"/>
          <w:color w:val="000000" w:themeColor="text1"/>
          <w:sz w:val="21"/>
          <w:szCs w:val="21"/>
          <w14:textFill>
            <w14:solidFill>
              <w14:schemeClr w14:val="tx1"/>
            </w14:solidFill>
          </w14:textFill>
        </w:rPr>
      </w:pPr>
      <w:r>
        <w:rPr>
          <w:rFonts w:hint="eastAsia" w:ascii="Times New Roman" w:hAnsi="Times New Roman" w:eastAsia="宋体"/>
          <w:color w:val="000000" w:themeColor="text1"/>
          <w:sz w:val="21"/>
          <w:szCs w:val="21"/>
          <w14:textFill>
            <w14:solidFill>
              <w14:schemeClr w14:val="tx1"/>
            </w14:solidFill>
          </w14:textFill>
        </w:rPr>
        <w:t>投标方提供的</w:t>
      </w:r>
      <w:r>
        <w:rPr>
          <w:rFonts w:ascii="Times New Roman" w:hAnsi="Times New Roman" w:eastAsia="宋体"/>
          <w:color w:val="000000" w:themeColor="text1"/>
          <w:sz w:val="21"/>
          <w:szCs w:val="21"/>
          <w14:textFill>
            <w14:solidFill>
              <w14:schemeClr w14:val="tx1"/>
            </w14:solidFill>
          </w14:textFill>
        </w:rPr>
        <w:t>各舱体围护结构主要材料及配套辅材工程量详见表2.3-2：</w:t>
      </w:r>
    </w:p>
    <w:p>
      <w:pPr>
        <w:pStyle w:val="201"/>
        <w:adjustRightInd w:val="0"/>
        <w:snapToGrid w:val="0"/>
        <w:spacing w:line="360" w:lineRule="auto"/>
        <w:ind w:firstLine="0" w:firstLineChars="0"/>
        <w:jc w:val="center"/>
        <w:rPr>
          <w:rFonts w:ascii="Times New Roman" w:hAnsi="Times New Roman" w:eastAsia="宋体"/>
          <w:color w:val="000000" w:themeColor="text1"/>
          <w:sz w:val="21"/>
          <w:szCs w:val="21"/>
          <w14:textFill>
            <w14:solidFill>
              <w14:schemeClr w14:val="tx1"/>
            </w14:solidFill>
          </w14:textFill>
        </w:rPr>
      </w:pPr>
      <w:r>
        <w:rPr>
          <w:rFonts w:ascii="Times New Roman" w:hAnsi="Times New Roman" w:eastAsia="宋体"/>
          <w:color w:val="000000" w:themeColor="text1"/>
          <w:sz w:val="21"/>
          <w:szCs w:val="21"/>
          <w14:textFill>
            <w14:solidFill>
              <w14:schemeClr w14:val="tx1"/>
            </w14:solidFill>
          </w14:textFill>
        </w:rPr>
        <w:t>表2.3-2  各舱体围护结构主要材料及配套辅材一览表</w:t>
      </w:r>
    </w:p>
    <w:tbl>
      <w:tblPr>
        <w:tblStyle w:val="85"/>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382"/>
        <w:gridCol w:w="1382"/>
        <w:gridCol w:w="1383"/>
        <w:gridCol w:w="1383"/>
        <w:gridCol w:w="1383"/>
        <w:gridCol w:w="1383"/>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382" w:type="dxa"/>
          </w:tcPr>
          <w:p>
            <w:pPr>
              <w:spacing w:line="360" w:lineRule="auto"/>
              <w:rPr>
                <w:szCs w:val="21"/>
              </w:rPr>
            </w:pPr>
            <w:r>
              <w:rPr>
                <w:rFonts w:hint="eastAsia"/>
                <w:szCs w:val="21"/>
              </w:rPr>
              <w:t>舱体名称</w:t>
            </w:r>
          </w:p>
        </w:tc>
        <w:tc>
          <w:tcPr>
            <w:tcW w:w="1382" w:type="dxa"/>
          </w:tcPr>
          <w:p>
            <w:pPr>
              <w:spacing w:line="360" w:lineRule="auto"/>
              <w:rPr>
                <w:szCs w:val="21"/>
              </w:rPr>
            </w:pPr>
            <w:r>
              <w:rPr>
                <w:rFonts w:hint="eastAsia"/>
                <w:szCs w:val="21"/>
              </w:rPr>
              <w:t>材料名称</w:t>
            </w:r>
          </w:p>
        </w:tc>
        <w:tc>
          <w:tcPr>
            <w:tcW w:w="1383" w:type="dxa"/>
          </w:tcPr>
          <w:p>
            <w:pPr>
              <w:spacing w:line="360" w:lineRule="auto"/>
              <w:rPr>
                <w:szCs w:val="21"/>
              </w:rPr>
            </w:pPr>
            <w:r>
              <w:rPr>
                <w:rFonts w:hint="eastAsia"/>
                <w:szCs w:val="21"/>
              </w:rPr>
              <w:t>单位</w:t>
            </w:r>
          </w:p>
        </w:tc>
        <w:tc>
          <w:tcPr>
            <w:tcW w:w="1383" w:type="dxa"/>
          </w:tcPr>
          <w:p>
            <w:pPr>
              <w:spacing w:line="360" w:lineRule="auto"/>
              <w:rPr>
                <w:szCs w:val="21"/>
              </w:rPr>
            </w:pPr>
            <w:r>
              <w:rPr>
                <w:rFonts w:hint="eastAsia"/>
                <w:szCs w:val="21"/>
              </w:rPr>
              <w:t>数量</w:t>
            </w:r>
          </w:p>
        </w:tc>
        <w:tc>
          <w:tcPr>
            <w:tcW w:w="1383" w:type="dxa"/>
          </w:tcPr>
          <w:p>
            <w:pPr>
              <w:spacing w:line="360" w:lineRule="auto"/>
              <w:rPr>
                <w:szCs w:val="21"/>
              </w:rPr>
            </w:pPr>
            <w:r>
              <w:rPr>
                <w:rFonts w:hint="eastAsia"/>
                <w:szCs w:val="21"/>
              </w:rPr>
              <w:t>所用部位</w:t>
            </w:r>
          </w:p>
        </w:tc>
        <w:tc>
          <w:tcPr>
            <w:tcW w:w="1383" w:type="dxa"/>
          </w:tcPr>
          <w:p>
            <w:pPr>
              <w:spacing w:line="360" w:lineRule="auto"/>
              <w:rPr>
                <w:szCs w:val="21"/>
              </w:rPr>
            </w:pPr>
            <w:r>
              <w:rPr>
                <w:rFonts w:hint="eastAsia"/>
                <w:szCs w:val="21"/>
              </w:rPr>
              <w:t>备注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382" w:type="dxa"/>
            <w:vMerge w:val="restart"/>
          </w:tcPr>
          <w:p>
            <w:pPr>
              <w:spacing w:line="360" w:lineRule="auto"/>
              <w:rPr>
                <w:szCs w:val="21"/>
              </w:rPr>
            </w:pPr>
            <w:r>
              <w:rPr>
                <w:rFonts w:hint="eastAsia"/>
                <w:szCs w:val="21"/>
              </w:rPr>
              <w:t>配电装置组合预制舱</w:t>
            </w:r>
          </w:p>
        </w:tc>
        <w:tc>
          <w:tcPr>
            <w:tcW w:w="1382" w:type="dxa"/>
          </w:tcPr>
          <w:p>
            <w:pPr>
              <w:spacing w:line="360" w:lineRule="auto"/>
              <w:rPr>
                <w:szCs w:val="21"/>
              </w:rPr>
            </w:pPr>
            <w:r>
              <w:rPr>
                <w:szCs w:val="21"/>
              </w:rPr>
              <w:t>外墙体维护结构</w:t>
            </w:r>
          </w:p>
        </w:tc>
        <w:tc>
          <w:tcPr>
            <w:tcW w:w="1383" w:type="dxa"/>
          </w:tcPr>
          <w:p>
            <w:pPr>
              <w:spacing w:line="360" w:lineRule="auto"/>
              <w:rPr>
                <w:szCs w:val="21"/>
              </w:rPr>
            </w:pPr>
            <w:r>
              <w:rPr>
                <w:rFonts w:hint="eastAsia"/>
                <w:szCs w:val="21"/>
              </w:rPr>
              <w:t>㎡</w:t>
            </w:r>
          </w:p>
        </w:tc>
        <w:tc>
          <w:tcPr>
            <w:tcW w:w="1383" w:type="dxa"/>
          </w:tcPr>
          <w:p>
            <w:pPr>
              <w:spacing w:line="360" w:lineRule="auto"/>
              <w:rPr>
                <w:szCs w:val="21"/>
              </w:rPr>
            </w:pPr>
            <w:r>
              <w:rPr>
                <w:szCs w:val="21"/>
              </w:rPr>
              <w:t>实体板：</w:t>
            </w:r>
            <w:r>
              <w:rPr>
                <w:rFonts w:hint="eastAsia"/>
                <w:szCs w:val="21"/>
              </w:rPr>
              <w:t>4</w:t>
            </w:r>
            <w:r>
              <w:rPr>
                <w:szCs w:val="21"/>
              </w:rPr>
              <w:t>00；</w:t>
            </w:r>
          </w:p>
          <w:p>
            <w:pPr>
              <w:spacing w:line="360" w:lineRule="auto"/>
              <w:rPr>
                <w:szCs w:val="21"/>
              </w:rPr>
            </w:pPr>
            <w:r>
              <w:rPr>
                <w:szCs w:val="21"/>
              </w:rPr>
              <w:t>节能玻璃幕墙：20</w:t>
            </w:r>
          </w:p>
        </w:tc>
        <w:tc>
          <w:tcPr>
            <w:tcW w:w="1383" w:type="dxa"/>
          </w:tcPr>
          <w:p>
            <w:pPr>
              <w:spacing w:line="360" w:lineRule="auto"/>
              <w:rPr>
                <w:szCs w:val="21"/>
              </w:rPr>
            </w:pPr>
            <w:r>
              <w:rPr>
                <w:szCs w:val="21"/>
              </w:rPr>
              <w:t>外墙</w:t>
            </w:r>
          </w:p>
        </w:tc>
        <w:tc>
          <w:tcPr>
            <w:tcW w:w="1383" w:type="dxa"/>
          </w:tcPr>
          <w:p>
            <w:pPr>
              <w:spacing w:line="360" w:lineRule="auto"/>
              <w:rPr>
                <w:szCs w:val="21"/>
              </w:rPr>
            </w:pPr>
            <w:r>
              <w:rPr>
                <w:szCs w:val="21"/>
              </w:rPr>
              <w:t>包含所有主材、辅材和配件，技术要求详见技术规范书正文相关章节。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382" w:type="dxa"/>
            <w:vMerge w:val="continue"/>
          </w:tcPr>
          <w:p>
            <w:pPr>
              <w:spacing w:line="360" w:lineRule="auto"/>
              <w:rPr>
                <w:szCs w:val="21"/>
              </w:rPr>
            </w:pPr>
          </w:p>
        </w:tc>
        <w:tc>
          <w:tcPr>
            <w:tcW w:w="1382" w:type="dxa"/>
          </w:tcPr>
          <w:p>
            <w:pPr>
              <w:spacing w:line="360" w:lineRule="auto"/>
              <w:rPr>
                <w:szCs w:val="21"/>
              </w:rPr>
            </w:pPr>
            <w:r>
              <w:rPr>
                <w:rFonts w:hint="eastAsia"/>
                <w:szCs w:val="21"/>
              </w:rPr>
              <w:t>内墙体维护结构</w:t>
            </w:r>
          </w:p>
        </w:tc>
        <w:tc>
          <w:tcPr>
            <w:tcW w:w="1383" w:type="dxa"/>
          </w:tcPr>
          <w:p>
            <w:pPr>
              <w:spacing w:line="360" w:lineRule="auto"/>
              <w:rPr>
                <w:szCs w:val="21"/>
              </w:rPr>
            </w:pPr>
            <w:r>
              <w:rPr>
                <w:rFonts w:hint="eastAsia"/>
                <w:szCs w:val="21"/>
              </w:rPr>
              <w:t>㎡</w:t>
            </w:r>
          </w:p>
        </w:tc>
        <w:tc>
          <w:tcPr>
            <w:tcW w:w="1383" w:type="dxa"/>
          </w:tcPr>
          <w:p>
            <w:pPr>
              <w:spacing w:line="360" w:lineRule="auto"/>
              <w:rPr>
                <w:szCs w:val="21"/>
              </w:rPr>
            </w:pPr>
            <w:r>
              <w:rPr>
                <w:rFonts w:hint="eastAsia"/>
                <w:szCs w:val="21"/>
              </w:rPr>
              <w:t>1</w:t>
            </w:r>
            <w:r>
              <w:rPr>
                <w:szCs w:val="21"/>
              </w:rPr>
              <w:t>40</w:t>
            </w:r>
          </w:p>
        </w:tc>
        <w:tc>
          <w:tcPr>
            <w:tcW w:w="1383" w:type="dxa"/>
          </w:tcPr>
          <w:p>
            <w:pPr>
              <w:spacing w:line="360" w:lineRule="auto"/>
              <w:rPr>
                <w:szCs w:val="21"/>
              </w:rPr>
            </w:pPr>
            <w:r>
              <w:rPr>
                <w:rFonts w:hint="eastAsia"/>
                <w:szCs w:val="21"/>
              </w:rPr>
              <w:t>内墙</w:t>
            </w:r>
          </w:p>
        </w:tc>
        <w:tc>
          <w:tcPr>
            <w:tcW w:w="1383" w:type="dxa"/>
          </w:tcPr>
          <w:p>
            <w:pPr>
              <w:spacing w:line="360" w:lineRule="auto"/>
              <w:rPr>
                <w:szCs w:val="21"/>
              </w:rPr>
            </w:pPr>
            <w:r>
              <w:rPr>
                <w:szCs w:val="21"/>
              </w:rPr>
              <w:t>同上</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382" w:type="dxa"/>
            <w:vMerge w:val="continue"/>
          </w:tcPr>
          <w:p>
            <w:pPr>
              <w:spacing w:line="360" w:lineRule="auto"/>
              <w:rPr>
                <w:szCs w:val="21"/>
              </w:rPr>
            </w:pPr>
          </w:p>
        </w:tc>
        <w:tc>
          <w:tcPr>
            <w:tcW w:w="1382" w:type="dxa"/>
          </w:tcPr>
          <w:p>
            <w:pPr>
              <w:spacing w:line="360" w:lineRule="auto"/>
              <w:rPr>
                <w:szCs w:val="21"/>
              </w:rPr>
            </w:pPr>
            <w:r>
              <w:rPr>
                <w:rFonts w:hint="eastAsia"/>
                <w:szCs w:val="21"/>
              </w:rPr>
              <w:t>楼板维护结构</w:t>
            </w:r>
          </w:p>
        </w:tc>
        <w:tc>
          <w:tcPr>
            <w:tcW w:w="1383" w:type="dxa"/>
          </w:tcPr>
          <w:p>
            <w:pPr>
              <w:spacing w:line="360" w:lineRule="auto"/>
              <w:rPr>
                <w:szCs w:val="21"/>
              </w:rPr>
            </w:pPr>
            <w:r>
              <w:rPr>
                <w:rFonts w:hint="eastAsia"/>
                <w:szCs w:val="21"/>
              </w:rPr>
              <w:t>㎡</w:t>
            </w:r>
          </w:p>
        </w:tc>
        <w:tc>
          <w:tcPr>
            <w:tcW w:w="1383" w:type="dxa"/>
          </w:tcPr>
          <w:p>
            <w:pPr>
              <w:spacing w:line="360" w:lineRule="auto"/>
              <w:rPr>
                <w:szCs w:val="21"/>
              </w:rPr>
            </w:pPr>
            <w:r>
              <w:rPr>
                <w:rFonts w:hint="eastAsia"/>
                <w:szCs w:val="21"/>
              </w:rPr>
              <w:t>首</w:t>
            </w:r>
            <w:r>
              <w:rPr>
                <w:szCs w:val="21"/>
              </w:rPr>
              <w:t>层：</w:t>
            </w:r>
            <w:r>
              <w:rPr>
                <w:rFonts w:hint="eastAsia"/>
                <w:szCs w:val="21"/>
              </w:rPr>
              <w:t>1</w:t>
            </w:r>
            <w:r>
              <w:rPr>
                <w:szCs w:val="21"/>
              </w:rPr>
              <w:t>70</w:t>
            </w:r>
          </w:p>
          <w:p>
            <w:pPr>
              <w:spacing w:line="360" w:lineRule="auto"/>
              <w:rPr>
                <w:szCs w:val="21"/>
              </w:rPr>
            </w:pPr>
            <w:r>
              <w:rPr>
                <w:szCs w:val="21"/>
              </w:rPr>
              <w:t>二层：</w:t>
            </w:r>
            <w:r>
              <w:rPr>
                <w:rFonts w:hint="eastAsia"/>
                <w:szCs w:val="21"/>
              </w:rPr>
              <w:t>1</w:t>
            </w:r>
            <w:r>
              <w:rPr>
                <w:szCs w:val="21"/>
              </w:rPr>
              <w:t>70</w:t>
            </w:r>
          </w:p>
        </w:tc>
        <w:tc>
          <w:tcPr>
            <w:tcW w:w="1383" w:type="dxa"/>
          </w:tcPr>
          <w:p>
            <w:pPr>
              <w:spacing w:line="360" w:lineRule="auto"/>
              <w:rPr>
                <w:szCs w:val="21"/>
              </w:rPr>
            </w:pPr>
            <w:r>
              <w:rPr>
                <w:rFonts w:hint="eastAsia"/>
                <w:szCs w:val="21"/>
              </w:rPr>
              <w:t>楼板</w:t>
            </w:r>
          </w:p>
        </w:tc>
        <w:tc>
          <w:tcPr>
            <w:tcW w:w="1383" w:type="dxa"/>
          </w:tcPr>
          <w:p>
            <w:pPr>
              <w:spacing w:line="360" w:lineRule="auto"/>
              <w:rPr>
                <w:szCs w:val="21"/>
              </w:rPr>
            </w:pPr>
            <w:r>
              <w:rPr>
                <w:szCs w:val="21"/>
              </w:rPr>
              <w:t>同上</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382" w:type="dxa"/>
            <w:vMerge w:val="continue"/>
          </w:tcPr>
          <w:p>
            <w:pPr>
              <w:spacing w:line="360" w:lineRule="auto"/>
              <w:rPr>
                <w:szCs w:val="21"/>
              </w:rPr>
            </w:pPr>
          </w:p>
        </w:tc>
        <w:tc>
          <w:tcPr>
            <w:tcW w:w="1382" w:type="dxa"/>
          </w:tcPr>
          <w:p>
            <w:pPr>
              <w:spacing w:line="360" w:lineRule="auto"/>
              <w:rPr>
                <w:szCs w:val="21"/>
              </w:rPr>
            </w:pPr>
            <w:r>
              <w:rPr>
                <w:rFonts w:hint="eastAsia"/>
                <w:szCs w:val="21"/>
              </w:rPr>
              <w:t>屋面板维护结构</w:t>
            </w:r>
          </w:p>
        </w:tc>
        <w:tc>
          <w:tcPr>
            <w:tcW w:w="1383" w:type="dxa"/>
          </w:tcPr>
          <w:p>
            <w:pPr>
              <w:spacing w:line="360" w:lineRule="auto"/>
              <w:rPr>
                <w:szCs w:val="21"/>
              </w:rPr>
            </w:pPr>
            <w:r>
              <w:rPr>
                <w:rFonts w:hint="eastAsia"/>
                <w:szCs w:val="21"/>
              </w:rPr>
              <w:t>㎡</w:t>
            </w:r>
          </w:p>
        </w:tc>
        <w:tc>
          <w:tcPr>
            <w:tcW w:w="1383" w:type="dxa"/>
          </w:tcPr>
          <w:p>
            <w:pPr>
              <w:spacing w:line="360" w:lineRule="auto"/>
              <w:rPr>
                <w:szCs w:val="21"/>
              </w:rPr>
            </w:pPr>
            <w:r>
              <w:rPr>
                <w:rFonts w:hint="eastAsia"/>
                <w:szCs w:val="21"/>
              </w:rPr>
              <w:t>1</w:t>
            </w:r>
            <w:r>
              <w:rPr>
                <w:szCs w:val="21"/>
              </w:rPr>
              <w:t>70</w:t>
            </w:r>
          </w:p>
        </w:tc>
        <w:tc>
          <w:tcPr>
            <w:tcW w:w="1383" w:type="dxa"/>
          </w:tcPr>
          <w:p>
            <w:pPr>
              <w:spacing w:line="360" w:lineRule="auto"/>
              <w:rPr>
                <w:szCs w:val="21"/>
              </w:rPr>
            </w:pPr>
            <w:r>
              <w:rPr>
                <w:rFonts w:hint="eastAsia"/>
                <w:szCs w:val="21"/>
              </w:rPr>
              <w:t>屋面</w:t>
            </w:r>
          </w:p>
        </w:tc>
        <w:tc>
          <w:tcPr>
            <w:tcW w:w="1383" w:type="dxa"/>
          </w:tcPr>
          <w:p>
            <w:pPr>
              <w:spacing w:line="360" w:lineRule="auto"/>
              <w:rPr>
                <w:szCs w:val="21"/>
              </w:rPr>
            </w:pPr>
            <w:r>
              <w:rPr>
                <w:szCs w:val="21"/>
              </w:rPr>
              <w:t>同上</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382" w:type="dxa"/>
            <w:vMerge w:val="restart"/>
          </w:tcPr>
          <w:p>
            <w:pPr>
              <w:spacing w:line="360" w:lineRule="auto"/>
              <w:rPr>
                <w:szCs w:val="21"/>
              </w:rPr>
            </w:pPr>
            <w:r>
              <w:rPr>
                <w:szCs w:val="21"/>
              </w:rPr>
              <w:t>SMES及升压变流系统组合预制舱</w:t>
            </w:r>
          </w:p>
        </w:tc>
        <w:tc>
          <w:tcPr>
            <w:tcW w:w="1382" w:type="dxa"/>
          </w:tcPr>
          <w:p>
            <w:pPr>
              <w:spacing w:line="360" w:lineRule="auto"/>
              <w:rPr>
                <w:szCs w:val="21"/>
              </w:rPr>
            </w:pPr>
            <w:r>
              <w:rPr>
                <w:szCs w:val="21"/>
              </w:rPr>
              <w:t>外墙体维护结构</w:t>
            </w:r>
          </w:p>
        </w:tc>
        <w:tc>
          <w:tcPr>
            <w:tcW w:w="1383" w:type="dxa"/>
          </w:tcPr>
          <w:p>
            <w:pPr>
              <w:spacing w:line="360" w:lineRule="auto"/>
              <w:rPr>
                <w:szCs w:val="21"/>
              </w:rPr>
            </w:pPr>
            <w:r>
              <w:rPr>
                <w:rFonts w:hint="eastAsia"/>
                <w:szCs w:val="21"/>
              </w:rPr>
              <w:t>㎡</w:t>
            </w:r>
          </w:p>
        </w:tc>
        <w:tc>
          <w:tcPr>
            <w:tcW w:w="1383" w:type="dxa"/>
          </w:tcPr>
          <w:p>
            <w:pPr>
              <w:spacing w:line="360" w:lineRule="auto"/>
              <w:rPr>
                <w:szCs w:val="21"/>
              </w:rPr>
            </w:pPr>
            <w:r>
              <w:rPr>
                <w:szCs w:val="21"/>
              </w:rPr>
              <w:t>实体板：650</w:t>
            </w:r>
          </w:p>
          <w:p>
            <w:pPr>
              <w:spacing w:line="360" w:lineRule="auto"/>
              <w:rPr>
                <w:szCs w:val="21"/>
              </w:rPr>
            </w:pPr>
            <w:r>
              <w:rPr>
                <w:szCs w:val="21"/>
              </w:rPr>
              <w:t>节能玻璃幕墙：</w:t>
            </w:r>
            <w:r>
              <w:rPr>
                <w:rFonts w:hint="eastAsia"/>
                <w:szCs w:val="21"/>
              </w:rPr>
              <w:t>1</w:t>
            </w:r>
            <w:r>
              <w:rPr>
                <w:szCs w:val="21"/>
              </w:rPr>
              <w:t>70</w:t>
            </w:r>
          </w:p>
        </w:tc>
        <w:tc>
          <w:tcPr>
            <w:tcW w:w="1383" w:type="dxa"/>
          </w:tcPr>
          <w:p>
            <w:pPr>
              <w:spacing w:line="360" w:lineRule="auto"/>
              <w:rPr>
                <w:szCs w:val="21"/>
              </w:rPr>
            </w:pPr>
            <w:r>
              <w:rPr>
                <w:szCs w:val="21"/>
              </w:rPr>
              <w:t>外墙</w:t>
            </w:r>
          </w:p>
        </w:tc>
        <w:tc>
          <w:tcPr>
            <w:tcW w:w="1383" w:type="dxa"/>
          </w:tcPr>
          <w:p>
            <w:pPr>
              <w:spacing w:line="360" w:lineRule="auto"/>
              <w:rPr>
                <w:szCs w:val="21"/>
              </w:rPr>
            </w:pPr>
            <w:r>
              <w:rPr>
                <w:szCs w:val="21"/>
              </w:rPr>
              <w:t>同上</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382" w:type="dxa"/>
            <w:vMerge w:val="continue"/>
          </w:tcPr>
          <w:p>
            <w:pPr>
              <w:spacing w:line="360" w:lineRule="auto"/>
              <w:rPr>
                <w:szCs w:val="21"/>
              </w:rPr>
            </w:pPr>
          </w:p>
        </w:tc>
        <w:tc>
          <w:tcPr>
            <w:tcW w:w="1382" w:type="dxa"/>
          </w:tcPr>
          <w:p>
            <w:pPr>
              <w:spacing w:line="360" w:lineRule="auto"/>
              <w:rPr>
                <w:szCs w:val="21"/>
              </w:rPr>
            </w:pPr>
            <w:r>
              <w:rPr>
                <w:rFonts w:hint="eastAsia"/>
                <w:szCs w:val="21"/>
              </w:rPr>
              <w:t>内墙体维护结构</w:t>
            </w:r>
          </w:p>
        </w:tc>
        <w:tc>
          <w:tcPr>
            <w:tcW w:w="1383" w:type="dxa"/>
          </w:tcPr>
          <w:p>
            <w:pPr>
              <w:spacing w:line="360" w:lineRule="auto"/>
              <w:rPr>
                <w:szCs w:val="21"/>
              </w:rPr>
            </w:pPr>
            <w:r>
              <w:rPr>
                <w:rFonts w:hint="eastAsia"/>
                <w:szCs w:val="21"/>
              </w:rPr>
              <w:t>㎡</w:t>
            </w:r>
          </w:p>
        </w:tc>
        <w:tc>
          <w:tcPr>
            <w:tcW w:w="1383" w:type="dxa"/>
          </w:tcPr>
          <w:p>
            <w:pPr>
              <w:spacing w:line="360" w:lineRule="auto"/>
              <w:rPr>
                <w:szCs w:val="21"/>
              </w:rPr>
            </w:pPr>
            <w:r>
              <w:rPr>
                <w:rFonts w:hint="eastAsia"/>
                <w:szCs w:val="21"/>
              </w:rPr>
              <w:t>4</w:t>
            </w:r>
            <w:r>
              <w:rPr>
                <w:szCs w:val="21"/>
              </w:rPr>
              <w:t>20</w:t>
            </w:r>
          </w:p>
        </w:tc>
        <w:tc>
          <w:tcPr>
            <w:tcW w:w="1383" w:type="dxa"/>
          </w:tcPr>
          <w:p>
            <w:pPr>
              <w:spacing w:line="360" w:lineRule="auto"/>
              <w:rPr>
                <w:szCs w:val="21"/>
              </w:rPr>
            </w:pPr>
            <w:r>
              <w:rPr>
                <w:rFonts w:hint="eastAsia"/>
                <w:szCs w:val="21"/>
              </w:rPr>
              <w:t>内墙</w:t>
            </w:r>
          </w:p>
        </w:tc>
        <w:tc>
          <w:tcPr>
            <w:tcW w:w="1383" w:type="dxa"/>
          </w:tcPr>
          <w:p>
            <w:pPr>
              <w:spacing w:line="360" w:lineRule="auto"/>
              <w:rPr>
                <w:szCs w:val="21"/>
              </w:rPr>
            </w:pPr>
            <w:r>
              <w:rPr>
                <w:szCs w:val="21"/>
              </w:rPr>
              <w:t>同上</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382" w:type="dxa"/>
            <w:vMerge w:val="continue"/>
          </w:tcPr>
          <w:p>
            <w:pPr>
              <w:spacing w:line="360" w:lineRule="auto"/>
              <w:rPr>
                <w:szCs w:val="21"/>
              </w:rPr>
            </w:pPr>
          </w:p>
        </w:tc>
        <w:tc>
          <w:tcPr>
            <w:tcW w:w="1382" w:type="dxa"/>
          </w:tcPr>
          <w:p>
            <w:pPr>
              <w:spacing w:line="360" w:lineRule="auto"/>
              <w:rPr>
                <w:szCs w:val="21"/>
              </w:rPr>
            </w:pPr>
            <w:r>
              <w:rPr>
                <w:rFonts w:hint="eastAsia"/>
                <w:szCs w:val="21"/>
              </w:rPr>
              <w:t>楼板维护结构</w:t>
            </w:r>
          </w:p>
        </w:tc>
        <w:tc>
          <w:tcPr>
            <w:tcW w:w="1383" w:type="dxa"/>
          </w:tcPr>
          <w:p>
            <w:pPr>
              <w:spacing w:line="360" w:lineRule="auto"/>
              <w:rPr>
                <w:szCs w:val="21"/>
              </w:rPr>
            </w:pPr>
            <w:r>
              <w:rPr>
                <w:rFonts w:hint="eastAsia"/>
                <w:szCs w:val="21"/>
              </w:rPr>
              <w:t>㎡</w:t>
            </w:r>
          </w:p>
        </w:tc>
        <w:tc>
          <w:tcPr>
            <w:tcW w:w="1383" w:type="dxa"/>
          </w:tcPr>
          <w:p>
            <w:pPr>
              <w:spacing w:line="360" w:lineRule="auto"/>
              <w:rPr>
                <w:szCs w:val="21"/>
              </w:rPr>
            </w:pPr>
            <w:r>
              <w:rPr>
                <w:szCs w:val="21"/>
              </w:rPr>
              <w:t>二层：</w:t>
            </w:r>
            <w:r>
              <w:rPr>
                <w:rFonts w:hint="eastAsia"/>
                <w:szCs w:val="21"/>
              </w:rPr>
              <w:t>1</w:t>
            </w:r>
            <w:r>
              <w:rPr>
                <w:szCs w:val="21"/>
              </w:rPr>
              <w:t>60</w:t>
            </w:r>
          </w:p>
        </w:tc>
        <w:tc>
          <w:tcPr>
            <w:tcW w:w="1383" w:type="dxa"/>
          </w:tcPr>
          <w:p>
            <w:pPr>
              <w:spacing w:line="360" w:lineRule="auto"/>
              <w:rPr>
                <w:szCs w:val="21"/>
              </w:rPr>
            </w:pPr>
            <w:r>
              <w:rPr>
                <w:rFonts w:hint="eastAsia"/>
                <w:szCs w:val="21"/>
              </w:rPr>
              <w:t>楼板</w:t>
            </w:r>
          </w:p>
        </w:tc>
        <w:tc>
          <w:tcPr>
            <w:tcW w:w="1383" w:type="dxa"/>
          </w:tcPr>
          <w:p>
            <w:pPr>
              <w:spacing w:line="360" w:lineRule="auto"/>
              <w:rPr>
                <w:szCs w:val="21"/>
              </w:rPr>
            </w:pPr>
            <w:r>
              <w:rPr>
                <w:szCs w:val="21"/>
              </w:rPr>
              <w:t>同上</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382" w:type="dxa"/>
            <w:vMerge w:val="continue"/>
          </w:tcPr>
          <w:p>
            <w:pPr>
              <w:spacing w:line="360" w:lineRule="auto"/>
              <w:rPr>
                <w:szCs w:val="21"/>
              </w:rPr>
            </w:pPr>
          </w:p>
        </w:tc>
        <w:tc>
          <w:tcPr>
            <w:tcW w:w="1382" w:type="dxa"/>
          </w:tcPr>
          <w:p>
            <w:pPr>
              <w:spacing w:line="360" w:lineRule="auto"/>
              <w:rPr>
                <w:szCs w:val="21"/>
              </w:rPr>
            </w:pPr>
            <w:r>
              <w:rPr>
                <w:rFonts w:hint="eastAsia"/>
                <w:szCs w:val="21"/>
              </w:rPr>
              <w:t>屋面板维护结构</w:t>
            </w:r>
          </w:p>
        </w:tc>
        <w:tc>
          <w:tcPr>
            <w:tcW w:w="1383" w:type="dxa"/>
          </w:tcPr>
          <w:p>
            <w:pPr>
              <w:spacing w:line="360" w:lineRule="auto"/>
              <w:rPr>
                <w:szCs w:val="21"/>
              </w:rPr>
            </w:pPr>
            <w:r>
              <w:rPr>
                <w:rFonts w:hint="eastAsia"/>
                <w:szCs w:val="21"/>
              </w:rPr>
              <w:t>㎡</w:t>
            </w:r>
          </w:p>
        </w:tc>
        <w:tc>
          <w:tcPr>
            <w:tcW w:w="1383" w:type="dxa"/>
          </w:tcPr>
          <w:p>
            <w:pPr>
              <w:spacing w:line="360" w:lineRule="auto"/>
              <w:rPr>
                <w:szCs w:val="21"/>
              </w:rPr>
            </w:pPr>
            <w:r>
              <w:rPr>
                <w:szCs w:val="21"/>
              </w:rPr>
              <w:t>470</w:t>
            </w:r>
          </w:p>
        </w:tc>
        <w:tc>
          <w:tcPr>
            <w:tcW w:w="1383" w:type="dxa"/>
          </w:tcPr>
          <w:p>
            <w:pPr>
              <w:spacing w:line="360" w:lineRule="auto"/>
              <w:rPr>
                <w:szCs w:val="21"/>
              </w:rPr>
            </w:pPr>
            <w:r>
              <w:rPr>
                <w:rFonts w:hint="eastAsia"/>
                <w:szCs w:val="21"/>
              </w:rPr>
              <w:t>屋面</w:t>
            </w:r>
          </w:p>
        </w:tc>
        <w:tc>
          <w:tcPr>
            <w:tcW w:w="1383" w:type="dxa"/>
          </w:tcPr>
          <w:p>
            <w:pPr>
              <w:spacing w:line="360" w:lineRule="auto"/>
              <w:rPr>
                <w:szCs w:val="21"/>
              </w:rPr>
            </w:pPr>
            <w:r>
              <w:rPr>
                <w:szCs w:val="21"/>
              </w:rPr>
              <w:t>同上</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382" w:type="dxa"/>
            <w:vMerge w:val="restart"/>
          </w:tcPr>
          <w:p>
            <w:pPr>
              <w:spacing w:line="360" w:lineRule="auto"/>
              <w:rPr>
                <w:szCs w:val="21"/>
              </w:rPr>
            </w:pPr>
            <w:r>
              <w:rPr>
                <w:rFonts w:hint="eastAsia"/>
                <w:szCs w:val="21"/>
              </w:rPr>
              <w:t>展厅舱</w:t>
            </w:r>
          </w:p>
        </w:tc>
        <w:tc>
          <w:tcPr>
            <w:tcW w:w="1382" w:type="dxa"/>
          </w:tcPr>
          <w:p>
            <w:pPr>
              <w:spacing w:line="360" w:lineRule="auto"/>
              <w:rPr>
                <w:szCs w:val="21"/>
              </w:rPr>
            </w:pPr>
            <w:r>
              <w:rPr>
                <w:szCs w:val="21"/>
              </w:rPr>
              <w:t>外墙体维护结构</w:t>
            </w:r>
          </w:p>
        </w:tc>
        <w:tc>
          <w:tcPr>
            <w:tcW w:w="1383" w:type="dxa"/>
          </w:tcPr>
          <w:p>
            <w:pPr>
              <w:spacing w:line="360" w:lineRule="auto"/>
              <w:rPr>
                <w:szCs w:val="21"/>
              </w:rPr>
            </w:pPr>
            <w:r>
              <w:rPr>
                <w:rFonts w:hint="eastAsia"/>
                <w:szCs w:val="21"/>
              </w:rPr>
              <w:t>㎡</w:t>
            </w:r>
          </w:p>
        </w:tc>
        <w:tc>
          <w:tcPr>
            <w:tcW w:w="1383" w:type="dxa"/>
          </w:tcPr>
          <w:p>
            <w:pPr>
              <w:spacing w:line="360" w:lineRule="auto"/>
              <w:rPr>
                <w:szCs w:val="21"/>
              </w:rPr>
            </w:pPr>
            <w:r>
              <w:rPr>
                <w:szCs w:val="21"/>
              </w:rPr>
              <w:t>实体板：570</w:t>
            </w:r>
          </w:p>
          <w:p>
            <w:pPr>
              <w:spacing w:line="360" w:lineRule="auto"/>
              <w:rPr>
                <w:strike/>
                <w:szCs w:val="21"/>
              </w:rPr>
            </w:pPr>
            <w:r>
              <w:rPr>
                <w:szCs w:val="21"/>
              </w:rPr>
              <w:t>节能玻璃幕墙：</w:t>
            </w:r>
            <w:r>
              <w:rPr>
                <w:rFonts w:hint="eastAsia"/>
                <w:szCs w:val="21"/>
              </w:rPr>
              <w:t>8</w:t>
            </w:r>
            <w:r>
              <w:rPr>
                <w:szCs w:val="21"/>
              </w:rPr>
              <w:t>0</w:t>
            </w:r>
          </w:p>
        </w:tc>
        <w:tc>
          <w:tcPr>
            <w:tcW w:w="1383" w:type="dxa"/>
          </w:tcPr>
          <w:p>
            <w:pPr>
              <w:spacing w:line="360" w:lineRule="auto"/>
              <w:rPr>
                <w:szCs w:val="21"/>
              </w:rPr>
            </w:pPr>
            <w:r>
              <w:rPr>
                <w:szCs w:val="21"/>
              </w:rPr>
              <w:t>外墙</w:t>
            </w:r>
          </w:p>
        </w:tc>
        <w:tc>
          <w:tcPr>
            <w:tcW w:w="1383" w:type="dxa"/>
          </w:tcPr>
          <w:p>
            <w:pPr>
              <w:spacing w:line="360" w:lineRule="auto"/>
              <w:rPr>
                <w:szCs w:val="21"/>
              </w:rPr>
            </w:pPr>
            <w:r>
              <w:rPr>
                <w:szCs w:val="21"/>
              </w:rPr>
              <w:t>同上</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382" w:type="dxa"/>
            <w:vMerge w:val="continue"/>
          </w:tcPr>
          <w:p>
            <w:pPr>
              <w:spacing w:line="360" w:lineRule="auto"/>
              <w:rPr>
                <w:szCs w:val="21"/>
              </w:rPr>
            </w:pPr>
          </w:p>
        </w:tc>
        <w:tc>
          <w:tcPr>
            <w:tcW w:w="1382" w:type="dxa"/>
          </w:tcPr>
          <w:p>
            <w:pPr>
              <w:spacing w:line="360" w:lineRule="auto"/>
              <w:rPr>
                <w:szCs w:val="21"/>
              </w:rPr>
            </w:pPr>
            <w:r>
              <w:rPr>
                <w:rFonts w:hint="eastAsia"/>
                <w:szCs w:val="21"/>
              </w:rPr>
              <w:t>内墙体维护结构</w:t>
            </w:r>
          </w:p>
        </w:tc>
        <w:tc>
          <w:tcPr>
            <w:tcW w:w="1383" w:type="dxa"/>
          </w:tcPr>
          <w:p>
            <w:pPr>
              <w:spacing w:line="360" w:lineRule="auto"/>
              <w:rPr>
                <w:szCs w:val="21"/>
              </w:rPr>
            </w:pPr>
            <w:r>
              <w:rPr>
                <w:rFonts w:hint="eastAsia"/>
                <w:szCs w:val="21"/>
              </w:rPr>
              <w:t>㎡</w:t>
            </w:r>
          </w:p>
        </w:tc>
        <w:tc>
          <w:tcPr>
            <w:tcW w:w="1383" w:type="dxa"/>
          </w:tcPr>
          <w:p>
            <w:pPr>
              <w:spacing w:line="360" w:lineRule="auto"/>
              <w:rPr>
                <w:szCs w:val="21"/>
              </w:rPr>
            </w:pPr>
            <w:r>
              <w:rPr>
                <w:szCs w:val="21"/>
              </w:rPr>
              <w:t>实体板：30</w:t>
            </w:r>
          </w:p>
          <w:p>
            <w:pPr>
              <w:spacing w:line="360" w:lineRule="auto"/>
              <w:rPr>
                <w:szCs w:val="21"/>
              </w:rPr>
            </w:pPr>
            <w:r>
              <w:rPr>
                <w:szCs w:val="21"/>
              </w:rPr>
              <w:t>节能玻璃幕墙：</w:t>
            </w:r>
            <w:r>
              <w:rPr>
                <w:rFonts w:hint="eastAsia"/>
                <w:szCs w:val="21"/>
              </w:rPr>
              <w:t>9</w:t>
            </w:r>
            <w:r>
              <w:rPr>
                <w:szCs w:val="21"/>
              </w:rPr>
              <w:t>0</w:t>
            </w:r>
          </w:p>
        </w:tc>
        <w:tc>
          <w:tcPr>
            <w:tcW w:w="1383" w:type="dxa"/>
          </w:tcPr>
          <w:p>
            <w:pPr>
              <w:spacing w:line="360" w:lineRule="auto"/>
              <w:rPr>
                <w:szCs w:val="21"/>
              </w:rPr>
            </w:pPr>
            <w:r>
              <w:rPr>
                <w:rFonts w:hint="eastAsia"/>
                <w:szCs w:val="21"/>
              </w:rPr>
              <w:t>内墙</w:t>
            </w:r>
          </w:p>
        </w:tc>
        <w:tc>
          <w:tcPr>
            <w:tcW w:w="1383" w:type="dxa"/>
          </w:tcPr>
          <w:p>
            <w:pPr>
              <w:spacing w:line="360" w:lineRule="auto"/>
              <w:rPr>
                <w:szCs w:val="21"/>
              </w:rPr>
            </w:pPr>
            <w:r>
              <w:rPr>
                <w:szCs w:val="21"/>
              </w:rPr>
              <w:t>同上</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382" w:type="dxa"/>
            <w:vMerge w:val="continue"/>
          </w:tcPr>
          <w:p>
            <w:pPr>
              <w:spacing w:line="360" w:lineRule="auto"/>
              <w:rPr>
                <w:rFonts w:ascii="黑体" w:hAnsi="黑体" w:eastAsia="黑体"/>
                <w:color w:val="000000" w:themeColor="text1"/>
                <w:szCs w:val="21"/>
                <w14:textFill>
                  <w14:solidFill>
                    <w14:schemeClr w14:val="tx1"/>
                  </w14:solidFill>
                </w14:textFill>
              </w:rPr>
            </w:pPr>
          </w:p>
        </w:tc>
        <w:tc>
          <w:tcPr>
            <w:tcW w:w="1382" w:type="dxa"/>
          </w:tcPr>
          <w:p>
            <w:pPr>
              <w:spacing w:line="360" w:lineRule="auto"/>
              <w:rPr>
                <w:szCs w:val="21"/>
              </w:rPr>
            </w:pPr>
            <w:r>
              <w:rPr>
                <w:rFonts w:hint="eastAsia"/>
                <w:szCs w:val="21"/>
              </w:rPr>
              <w:t>楼板维护结构</w:t>
            </w:r>
          </w:p>
        </w:tc>
        <w:tc>
          <w:tcPr>
            <w:tcW w:w="1383" w:type="dxa"/>
          </w:tcPr>
          <w:p>
            <w:pPr>
              <w:spacing w:line="360" w:lineRule="auto"/>
              <w:rPr>
                <w:szCs w:val="21"/>
              </w:rPr>
            </w:pPr>
            <w:r>
              <w:rPr>
                <w:rFonts w:hint="eastAsia"/>
                <w:szCs w:val="21"/>
              </w:rPr>
              <w:t>㎡</w:t>
            </w:r>
          </w:p>
        </w:tc>
        <w:tc>
          <w:tcPr>
            <w:tcW w:w="1383" w:type="dxa"/>
          </w:tcPr>
          <w:p>
            <w:pPr>
              <w:spacing w:line="360" w:lineRule="auto"/>
              <w:rPr>
                <w:szCs w:val="21"/>
              </w:rPr>
            </w:pPr>
            <w:r>
              <w:rPr>
                <w:rFonts w:hint="eastAsia"/>
                <w:szCs w:val="21"/>
              </w:rPr>
              <w:t>首</w:t>
            </w:r>
            <w:r>
              <w:rPr>
                <w:szCs w:val="21"/>
              </w:rPr>
              <w:t>层：</w:t>
            </w:r>
            <w:r>
              <w:rPr>
                <w:rFonts w:hint="eastAsia"/>
                <w:szCs w:val="21"/>
              </w:rPr>
              <w:t>2</w:t>
            </w:r>
            <w:r>
              <w:rPr>
                <w:szCs w:val="21"/>
              </w:rPr>
              <w:t>30</w:t>
            </w:r>
          </w:p>
          <w:p>
            <w:pPr>
              <w:spacing w:line="360" w:lineRule="auto"/>
              <w:rPr>
                <w:szCs w:val="21"/>
              </w:rPr>
            </w:pPr>
            <w:r>
              <w:rPr>
                <w:szCs w:val="21"/>
              </w:rPr>
              <w:t>二层：</w:t>
            </w:r>
            <w:r>
              <w:rPr>
                <w:rFonts w:hint="eastAsia"/>
                <w:szCs w:val="21"/>
              </w:rPr>
              <w:t>2</w:t>
            </w:r>
            <w:r>
              <w:rPr>
                <w:szCs w:val="21"/>
              </w:rPr>
              <w:t>30</w:t>
            </w:r>
          </w:p>
        </w:tc>
        <w:tc>
          <w:tcPr>
            <w:tcW w:w="1383" w:type="dxa"/>
          </w:tcPr>
          <w:p>
            <w:pPr>
              <w:spacing w:line="360" w:lineRule="auto"/>
              <w:rPr>
                <w:szCs w:val="21"/>
              </w:rPr>
            </w:pPr>
            <w:r>
              <w:rPr>
                <w:rFonts w:hint="eastAsia"/>
                <w:szCs w:val="21"/>
              </w:rPr>
              <w:t>楼板</w:t>
            </w:r>
          </w:p>
        </w:tc>
        <w:tc>
          <w:tcPr>
            <w:tcW w:w="1383" w:type="dxa"/>
          </w:tcPr>
          <w:p>
            <w:pPr>
              <w:spacing w:line="360" w:lineRule="auto"/>
              <w:rPr>
                <w:szCs w:val="21"/>
              </w:rPr>
            </w:pPr>
            <w:r>
              <w:rPr>
                <w:szCs w:val="21"/>
              </w:rPr>
              <w:t>同上</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382" w:type="dxa"/>
            <w:vMerge w:val="continue"/>
          </w:tcPr>
          <w:p>
            <w:pPr>
              <w:spacing w:line="360" w:lineRule="auto"/>
              <w:rPr>
                <w:rFonts w:ascii="黑体" w:hAnsi="黑体" w:eastAsia="黑体"/>
                <w:color w:val="000000" w:themeColor="text1"/>
                <w:szCs w:val="21"/>
                <w14:textFill>
                  <w14:solidFill>
                    <w14:schemeClr w14:val="tx1"/>
                  </w14:solidFill>
                </w14:textFill>
              </w:rPr>
            </w:pPr>
          </w:p>
        </w:tc>
        <w:tc>
          <w:tcPr>
            <w:tcW w:w="1382" w:type="dxa"/>
          </w:tcPr>
          <w:p>
            <w:pPr>
              <w:spacing w:line="360" w:lineRule="auto"/>
              <w:rPr>
                <w:szCs w:val="21"/>
              </w:rPr>
            </w:pPr>
            <w:r>
              <w:rPr>
                <w:rFonts w:hint="eastAsia"/>
                <w:szCs w:val="21"/>
              </w:rPr>
              <w:t>屋面板维护结构</w:t>
            </w:r>
          </w:p>
        </w:tc>
        <w:tc>
          <w:tcPr>
            <w:tcW w:w="1383" w:type="dxa"/>
          </w:tcPr>
          <w:p>
            <w:pPr>
              <w:spacing w:line="360" w:lineRule="auto"/>
              <w:rPr>
                <w:szCs w:val="21"/>
              </w:rPr>
            </w:pPr>
            <w:r>
              <w:rPr>
                <w:rFonts w:hint="eastAsia"/>
                <w:szCs w:val="21"/>
              </w:rPr>
              <w:t>㎡</w:t>
            </w:r>
          </w:p>
        </w:tc>
        <w:tc>
          <w:tcPr>
            <w:tcW w:w="1383" w:type="dxa"/>
          </w:tcPr>
          <w:p>
            <w:pPr>
              <w:spacing w:line="360" w:lineRule="auto"/>
              <w:rPr>
                <w:szCs w:val="21"/>
              </w:rPr>
            </w:pPr>
            <w:r>
              <w:rPr>
                <w:rFonts w:hint="eastAsia"/>
                <w:szCs w:val="21"/>
              </w:rPr>
              <w:t>2</w:t>
            </w:r>
            <w:r>
              <w:rPr>
                <w:szCs w:val="21"/>
              </w:rPr>
              <w:t>30</w:t>
            </w:r>
          </w:p>
        </w:tc>
        <w:tc>
          <w:tcPr>
            <w:tcW w:w="1383" w:type="dxa"/>
          </w:tcPr>
          <w:p>
            <w:pPr>
              <w:spacing w:line="360" w:lineRule="auto"/>
              <w:rPr>
                <w:szCs w:val="21"/>
              </w:rPr>
            </w:pPr>
            <w:r>
              <w:rPr>
                <w:rFonts w:hint="eastAsia"/>
                <w:szCs w:val="21"/>
              </w:rPr>
              <w:t>屋面</w:t>
            </w:r>
          </w:p>
        </w:tc>
        <w:tc>
          <w:tcPr>
            <w:tcW w:w="1383" w:type="dxa"/>
          </w:tcPr>
          <w:p>
            <w:pPr>
              <w:spacing w:line="360" w:lineRule="auto"/>
              <w:rPr>
                <w:szCs w:val="21"/>
              </w:rPr>
            </w:pPr>
            <w:r>
              <w:rPr>
                <w:szCs w:val="21"/>
              </w:rPr>
              <w:t>同上</w:t>
            </w:r>
          </w:p>
        </w:tc>
      </w:tr>
    </w:tbl>
    <w:p>
      <w:pPr>
        <w:pStyle w:val="201"/>
        <w:adjustRightInd w:val="0"/>
        <w:snapToGrid w:val="0"/>
        <w:spacing w:line="360" w:lineRule="auto"/>
        <w:rPr>
          <w:rFonts w:ascii="Times New Roman" w:hAnsi="Times New Roman" w:eastAsia="宋体"/>
          <w:color w:val="000000" w:themeColor="text1"/>
          <w:sz w:val="21"/>
          <w:szCs w:val="21"/>
          <w14:textFill>
            <w14:solidFill>
              <w14:schemeClr w14:val="tx1"/>
            </w14:solidFill>
          </w14:textFill>
        </w:rPr>
      </w:pPr>
    </w:p>
    <w:p>
      <w:pPr>
        <w:pStyle w:val="201"/>
        <w:adjustRightInd w:val="0"/>
        <w:snapToGrid w:val="0"/>
        <w:spacing w:line="360" w:lineRule="auto"/>
        <w:rPr>
          <w:rFonts w:ascii="Times New Roman" w:hAnsi="Times New Roman" w:eastAsia="宋体"/>
          <w:color w:val="000000" w:themeColor="text1"/>
          <w:sz w:val="21"/>
          <w:szCs w:val="21"/>
          <w14:textFill>
            <w14:solidFill>
              <w14:schemeClr w14:val="tx1"/>
            </w14:solidFill>
          </w14:textFill>
        </w:rPr>
      </w:pPr>
      <w:r>
        <w:rPr>
          <w:rFonts w:hint="eastAsia" w:ascii="Times New Roman" w:hAnsi="Times New Roman" w:eastAsia="宋体"/>
          <w:color w:val="000000" w:themeColor="text1"/>
          <w:sz w:val="21"/>
          <w:szCs w:val="21"/>
          <w14:textFill>
            <w14:solidFill>
              <w14:schemeClr w14:val="tx1"/>
            </w14:solidFill>
          </w14:textFill>
        </w:rPr>
        <w:t>投标方提供的</w:t>
      </w:r>
      <w:r>
        <w:rPr>
          <w:rFonts w:ascii="Times New Roman" w:hAnsi="Times New Roman" w:eastAsia="宋体"/>
          <w:color w:val="000000" w:themeColor="text1"/>
          <w:sz w:val="21"/>
          <w:szCs w:val="21"/>
          <w14:textFill>
            <w14:solidFill>
              <w14:schemeClr w14:val="tx1"/>
            </w14:solidFill>
          </w14:textFill>
        </w:rPr>
        <w:t>各舱体门窗</w:t>
      </w:r>
      <w:r>
        <w:rPr>
          <w:rFonts w:hint="eastAsia" w:ascii="Times New Roman" w:hAnsi="Times New Roman" w:eastAsia="宋体"/>
          <w:color w:val="000000" w:themeColor="text1"/>
          <w:sz w:val="21"/>
          <w:szCs w:val="21"/>
          <w14:textFill>
            <w14:solidFill>
              <w14:schemeClr w14:val="tx1"/>
            </w14:solidFill>
          </w14:textFill>
        </w:rPr>
        <w:t>具体规格详见表</w:t>
      </w:r>
      <w:r>
        <w:rPr>
          <w:rFonts w:ascii="Times New Roman" w:hAnsi="Times New Roman" w:eastAsia="宋体"/>
          <w:color w:val="000000" w:themeColor="text1"/>
          <w:sz w:val="21"/>
          <w:szCs w:val="21"/>
          <w14:textFill>
            <w14:solidFill>
              <w14:schemeClr w14:val="tx1"/>
            </w14:solidFill>
          </w14:textFill>
        </w:rPr>
        <w:t>2.3-3</w:t>
      </w:r>
      <w:r>
        <w:rPr>
          <w:rFonts w:hint="eastAsia" w:ascii="Times New Roman" w:hAnsi="Times New Roman" w:eastAsia="宋体"/>
          <w:color w:val="000000" w:themeColor="text1"/>
          <w:sz w:val="21"/>
          <w:szCs w:val="21"/>
          <w14:textFill>
            <w14:solidFill>
              <w14:schemeClr w14:val="tx1"/>
            </w14:solidFill>
          </w14:textFill>
        </w:rPr>
        <w:t>：</w:t>
      </w:r>
    </w:p>
    <w:p>
      <w:pPr>
        <w:pStyle w:val="201"/>
        <w:adjustRightInd w:val="0"/>
        <w:snapToGrid w:val="0"/>
        <w:spacing w:line="360" w:lineRule="auto"/>
        <w:ind w:firstLine="0" w:firstLineChars="0"/>
        <w:jc w:val="center"/>
        <w:rPr>
          <w:rFonts w:ascii="Times New Roman" w:hAnsi="Times New Roman" w:eastAsia="宋体"/>
          <w:color w:val="000000" w:themeColor="text1"/>
          <w:sz w:val="21"/>
          <w:szCs w:val="21"/>
          <w14:textFill>
            <w14:solidFill>
              <w14:schemeClr w14:val="tx1"/>
            </w14:solidFill>
          </w14:textFill>
        </w:rPr>
      </w:pPr>
      <w:r>
        <w:rPr>
          <w:rFonts w:hint="eastAsia" w:ascii="Times New Roman" w:hAnsi="Times New Roman" w:eastAsia="宋体"/>
          <w:color w:val="000000" w:themeColor="text1"/>
          <w:sz w:val="21"/>
          <w:szCs w:val="21"/>
          <w14:textFill>
            <w14:solidFill>
              <w14:schemeClr w14:val="tx1"/>
            </w14:solidFill>
          </w14:textFill>
        </w:rPr>
        <w:t>表</w:t>
      </w:r>
      <w:r>
        <w:rPr>
          <w:rFonts w:ascii="Times New Roman" w:hAnsi="Times New Roman" w:eastAsia="宋体"/>
          <w:color w:val="000000" w:themeColor="text1"/>
          <w:sz w:val="21"/>
          <w:szCs w:val="21"/>
          <w14:textFill>
            <w14:solidFill>
              <w14:schemeClr w14:val="tx1"/>
            </w14:solidFill>
          </w14:textFill>
        </w:rPr>
        <w:t>2.3-3  各舱体门窗一览表</w:t>
      </w:r>
    </w:p>
    <w:tbl>
      <w:tblPr>
        <w:tblStyle w:val="85"/>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034"/>
        <w:gridCol w:w="1034"/>
        <w:gridCol w:w="1142"/>
        <w:gridCol w:w="993"/>
        <w:gridCol w:w="1033"/>
        <w:gridCol w:w="1033"/>
        <w:gridCol w:w="1033"/>
        <w:gridCol w:w="994"/>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5" w:hRule="atLeast"/>
        </w:trPr>
        <w:tc>
          <w:tcPr>
            <w:tcW w:w="1034" w:type="dxa"/>
            <w:vMerge w:val="restart"/>
          </w:tcPr>
          <w:p>
            <w:pPr>
              <w:spacing w:line="360" w:lineRule="auto"/>
              <w:rPr>
                <w:szCs w:val="21"/>
              </w:rPr>
            </w:pPr>
            <w:r>
              <w:rPr>
                <w:szCs w:val="21"/>
              </w:rPr>
              <w:t>舱体名称</w:t>
            </w:r>
          </w:p>
        </w:tc>
        <w:tc>
          <w:tcPr>
            <w:tcW w:w="1034" w:type="dxa"/>
            <w:vMerge w:val="restart"/>
          </w:tcPr>
          <w:p>
            <w:pPr>
              <w:spacing w:line="360" w:lineRule="auto"/>
              <w:rPr>
                <w:szCs w:val="21"/>
              </w:rPr>
            </w:pPr>
            <w:r>
              <w:rPr>
                <w:szCs w:val="21"/>
              </w:rPr>
              <w:t>门窗类别</w:t>
            </w:r>
          </w:p>
        </w:tc>
        <w:tc>
          <w:tcPr>
            <w:tcW w:w="2135" w:type="dxa"/>
            <w:gridSpan w:val="2"/>
          </w:tcPr>
          <w:p>
            <w:pPr>
              <w:spacing w:line="360" w:lineRule="auto"/>
              <w:rPr>
                <w:szCs w:val="21"/>
              </w:rPr>
            </w:pPr>
            <w:r>
              <w:rPr>
                <w:szCs w:val="21"/>
              </w:rPr>
              <w:t>门窗洞尺寸（mm）</w:t>
            </w:r>
          </w:p>
        </w:tc>
        <w:tc>
          <w:tcPr>
            <w:tcW w:w="1033" w:type="dxa"/>
            <w:vMerge w:val="restart"/>
          </w:tcPr>
          <w:p>
            <w:pPr>
              <w:spacing w:line="360" w:lineRule="auto"/>
              <w:rPr>
                <w:szCs w:val="21"/>
              </w:rPr>
            </w:pPr>
            <w:r>
              <w:rPr>
                <w:szCs w:val="21"/>
              </w:rPr>
              <w:t>单</w:t>
            </w:r>
            <w:r>
              <w:rPr>
                <w:rFonts w:hint="eastAsia"/>
                <w:szCs w:val="21"/>
              </w:rPr>
              <w:t>樘面积</w:t>
            </w:r>
            <w:r>
              <w:rPr>
                <w:szCs w:val="21"/>
              </w:rPr>
              <w:t>（㎡）</w:t>
            </w:r>
          </w:p>
        </w:tc>
        <w:tc>
          <w:tcPr>
            <w:tcW w:w="1033" w:type="dxa"/>
            <w:vMerge w:val="restart"/>
          </w:tcPr>
          <w:p>
            <w:pPr>
              <w:spacing w:line="360" w:lineRule="auto"/>
              <w:rPr>
                <w:szCs w:val="21"/>
              </w:rPr>
            </w:pPr>
            <w:r>
              <w:rPr>
                <w:szCs w:val="21"/>
              </w:rPr>
              <w:t>数量</w:t>
            </w:r>
          </w:p>
          <w:p>
            <w:pPr>
              <w:spacing w:line="360" w:lineRule="auto"/>
              <w:rPr>
                <w:szCs w:val="21"/>
              </w:rPr>
            </w:pPr>
            <w:r>
              <w:rPr>
                <w:szCs w:val="21"/>
              </w:rPr>
              <w:t>（</w:t>
            </w:r>
            <w:r>
              <w:rPr>
                <w:rFonts w:hint="eastAsia"/>
                <w:szCs w:val="21"/>
              </w:rPr>
              <w:t>樘</w:t>
            </w:r>
            <w:r>
              <w:rPr>
                <w:szCs w:val="21"/>
              </w:rPr>
              <w:t>）</w:t>
            </w:r>
          </w:p>
        </w:tc>
        <w:tc>
          <w:tcPr>
            <w:tcW w:w="1033" w:type="dxa"/>
            <w:vMerge w:val="restart"/>
          </w:tcPr>
          <w:p>
            <w:pPr>
              <w:spacing w:line="360" w:lineRule="auto"/>
              <w:rPr>
                <w:szCs w:val="21"/>
              </w:rPr>
            </w:pPr>
            <w:r>
              <w:rPr>
                <w:szCs w:val="21"/>
              </w:rPr>
              <w:t>合计面积（㎡）</w:t>
            </w:r>
          </w:p>
        </w:tc>
        <w:tc>
          <w:tcPr>
            <w:tcW w:w="994" w:type="dxa"/>
            <w:vMerge w:val="restart"/>
          </w:tcPr>
          <w:p>
            <w:pPr>
              <w:spacing w:line="360" w:lineRule="auto"/>
              <w:rPr>
                <w:szCs w:val="21"/>
              </w:rPr>
            </w:pPr>
            <w:r>
              <w:rPr>
                <w:szCs w:val="21"/>
              </w:rPr>
              <w:t>备注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5" w:hRule="atLeast"/>
        </w:trPr>
        <w:tc>
          <w:tcPr>
            <w:tcW w:w="1034" w:type="dxa"/>
            <w:vMerge w:val="continue"/>
          </w:tcPr>
          <w:p>
            <w:pPr>
              <w:spacing w:line="360" w:lineRule="auto"/>
              <w:rPr>
                <w:szCs w:val="21"/>
              </w:rPr>
            </w:pPr>
          </w:p>
        </w:tc>
        <w:tc>
          <w:tcPr>
            <w:tcW w:w="1034" w:type="dxa"/>
            <w:vMerge w:val="continue"/>
          </w:tcPr>
          <w:p>
            <w:pPr>
              <w:spacing w:line="360" w:lineRule="auto"/>
              <w:rPr>
                <w:szCs w:val="21"/>
              </w:rPr>
            </w:pPr>
          </w:p>
        </w:tc>
        <w:tc>
          <w:tcPr>
            <w:tcW w:w="1142" w:type="dxa"/>
          </w:tcPr>
          <w:p>
            <w:pPr>
              <w:spacing w:line="360" w:lineRule="auto"/>
              <w:rPr>
                <w:szCs w:val="21"/>
              </w:rPr>
            </w:pPr>
            <w:r>
              <w:rPr>
                <w:szCs w:val="21"/>
              </w:rPr>
              <w:t>宽度</w:t>
            </w:r>
          </w:p>
        </w:tc>
        <w:tc>
          <w:tcPr>
            <w:tcW w:w="993" w:type="dxa"/>
          </w:tcPr>
          <w:p>
            <w:pPr>
              <w:spacing w:line="360" w:lineRule="auto"/>
              <w:rPr>
                <w:szCs w:val="21"/>
              </w:rPr>
            </w:pPr>
            <w:r>
              <w:rPr>
                <w:szCs w:val="21"/>
              </w:rPr>
              <w:t>高度</w:t>
            </w:r>
          </w:p>
        </w:tc>
        <w:tc>
          <w:tcPr>
            <w:tcW w:w="1033" w:type="dxa"/>
            <w:vMerge w:val="continue"/>
          </w:tcPr>
          <w:p>
            <w:pPr>
              <w:spacing w:line="360" w:lineRule="auto"/>
              <w:rPr>
                <w:szCs w:val="21"/>
              </w:rPr>
            </w:pPr>
          </w:p>
        </w:tc>
        <w:tc>
          <w:tcPr>
            <w:tcW w:w="1033" w:type="dxa"/>
            <w:vMerge w:val="continue"/>
          </w:tcPr>
          <w:p>
            <w:pPr>
              <w:spacing w:line="360" w:lineRule="auto"/>
              <w:rPr>
                <w:szCs w:val="21"/>
              </w:rPr>
            </w:pPr>
          </w:p>
        </w:tc>
        <w:tc>
          <w:tcPr>
            <w:tcW w:w="1033" w:type="dxa"/>
            <w:vMerge w:val="continue"/>
          </w:tcPr>
          <w:p>
            <w:pPr>
              <w:spacing w:line="360" w:lineRule="auto"/>
              <w:rPr>
                <w:szCs w:val="21"/>
              </w:rPr>
            </w:pPr>
          </w:p>
        </w:tc>
        <w:tc>
          <w:tcPr>
            <w:tcW w:w="994" w:type="dxa"/>
            <w:vMerge w:val="continue"/>
          </w:tcPr>
          <w:p>
            <w:pPr>
              <w:spacing w:line="360" w:lineRule="auto"/>
              <w:rPr>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34" w:type="dxa"/>
            <w:vMerge w:val="restart"/>
          </w:tcPr>
          <w:p>
            <w:pPr>
              <w:spacing w:line="360" w:lineRule="auto"/>
              <w:rPr>
                <w:szCs w:val="21"/>
              </w:rPr>
            </w:pPr>
            <w:r>
              <w:rPr>
                <w:rFonts w:hint="eastAsia"/>
                <w:szCs w:val="21"/>
              </w:rPr>
              <w:t>配电装置组合预制舱</w:t>
            </w:r>
          </w:p>
        </w:tc>
        <w:tc>
          <w:tcPr>
            <w:tcW w:w="1034" w:type="dxa"/>
          </w:tcPr>
          <w:p>
            <w:pPr>
              <w:spacing w:line="360" w:lineRule="auto"/>
              <w:rPr>
                <w:szCs w:val="21"/>
              </w:rPr>
            </w:pPr>
            <w:r>
              <w:rPr>
                <w:szCs w:val="21"/>
              </w:rPr>
              <w:t>全玻门（采用LOW-E</w:t>
            </w:r>
            <w:r>
              <w:rPr>
                <w:rFonts w:hint="eastAsia"/>
                <w:szCs w:val="21"/>
              </w:rPr>
              <w:t>节能玻璃</w:t>
            </w:r>
            <w:r>
              <w:rPr>
                <w:szCs w:val="21"/>
              </w:rPr>
              <w:t>）</w:t>
            </w:r>
          </w:p>
        </w:tc>
        <w:tc>
          <w:tcPr>
            <w:tcW w:w="1142" w:type="dxa"/>
          </w:tcPr>
          <w:p>
            <w:pPr>
              <w:spacing w:line="360" w:lineRule="auto"/>
              <w:rPr>
                <w:szCs w:val="21"/>
              </w:rPr>
            </w:pPr>
            <w:r>
              <w:rPr>
                <w:rFonts w:hint="eastAsia"/>
                <w:szCs w:val="21"/>
              </w:rPr>
              <w:t>1</w:t>
            </w:r>
            <w:r>
              <w:rPr>
                <w:szCs w:val="21"/>
              </w:rPr>
              <w:t>500</w:t>
            </w:r>
          </w:p>
        </w:tc>
        <w:tc>
          <w:tcPr>
            <w:tcW w:w="993" w:type="dxa"/>
          </w:tcPr>
          <w:p>
            <w:pPr>
              <w:spacing w:line="360" w:lineRule="auto"/>
              <w:rPr>
                <w:szCs w:val="21"/>
              </w:rPr>
            </w:pPr>
            <w:r>
              <w:rPr>
                <w:rFonts w:hint="eastAsia"/>
                <w:szCs w:val="21"/>
              </w:rPr>
              <w:t>2</w:t>
            </w:r>
            <w:r>
              <w:rPr>
                <w:szCs w:val="21"/>
              </w:rPr>
              <w:t>400</w:t>
            </w:r>
          </w:p>
        </w:tc>
        <w:tc>
          <w:tcPr>
            <w:tcW w:w="1033" w:type="dxa"/>
          </w:tcPr>
          <w:p>
            <w:pPr>
              <w:spacing w:line="360" w:lineRule="auto"/>
              <w:rPr>
                <w:szCs w:val="21"/>
              </w:rPr>
            </w:pPr>
            <w:r>
              <w:rPr>
                <w:rFonts w:hint="eastAsia"/>
                <w:szCs w:val="21"/>
              </w:rPr>
              <w:t>3</w:t>
            </w:r>
            <w:r>
              <w:rPr>
                <w:szCs w:val="21"/>
              </w:rPr>
              <w:t>.60</w:t>
            </w:r>
          </w:p>
        </w:tc>
        <w:tc>
          <w:tcPr>
            <w:tcW w:w="1033" w:type="dxa"/>
          </w:tcPr>
          <w:p>
            <w:pPr>
              <w:spacing w:line="360" w:lineRule="auto"/>
              <w:rPr>
                <w:szCs w:val="21"/>
              </w:rPr>
            </w:pPr>
            <w:r>
              <w:rPr>
                <w:rFonts w:hint="eastAsia"/>
                <w:szCs w:val="21"/>
              </w:rPr>
              <w:t>1</w:t>
            </w:r>
          </w:p>
        </w:tc>
        <w:tc>
          <w:tcPr>
            <w:tcW w:w="1033" w:type="dxa"/>
          </w:tcPr>
          <w:p>
            <w:pPr>
              <w:spacing w:line="360" w:lineRule="auto"/>
              <w:rPr>
                <w:szCs w:val="21"/>
              </w:rPr>
            </w:pPr>
            <w:r>
              <w:rPr>
                <w:rFonts w:hint="eastAsia"/>
                <w:szCs w:val="21"/>
              </w:rPr>
              <w:t>3</w:t>
            </w:r>
            <w:r>
              <w:rPr>
                <w:szCs w:val="21"/>
              </w:rPr>
              <w:t>.60</w:t>
            </w:r>
          </w:p>
        </w:tc>
        <w:tc>
          <w:tcPr>
            <w:tcW w:w="994" w:type="dxa"/>
          </w:tcPr>
          <w:p>
            <w:pPr>
              <w:spacing w:line="360" w:lineRule="auto"/>
              <w:rPr>
                <w:szCs w:val="21"/>
              </w:rPr>
            </w:pPr>
            <w:r>
              <w:rPr>
                <w:szCs w:val="21"/>
              </w:rPr>
              <w:t>成品门，满足相关国家标准技术要求。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34" w:type="dxa"/>
            <w:vMerge w:val="continue"/>
          </w:tcPr>
          <w:p>
            <w:pPr>
              <w:spacing w:line="360" w:lineRule="auto"/>
              <w:rPr>
                <w:szCs w:val="21"/>
              </w:rPr>
            </w:pPr>
          </w:p>
        </w:tc>
        <w:tc>
          <w:tcPr>
            <w:tcW w:w="1034" w:type="dxa"/>
          </w:tcPr>
          <w:p>
            <w:pPr>
              <w:spacing w:line="360" w:lineRule="auto"/>
              <w:rPr>
                <w:szCs w:val="21"/>
              </w:rPr>
            </w:pPr>
            <w:r>
              <w:rPr>
                <w:rFonts w:hint="eastAsia"/>
                <w:szCs w:val="21"/>
              </w:rPr>
              <w:t>3</w:t>
            </w:r>
            <w:r>
              <w:rPr>
                <w:szCs w:val="21"/>
              </w:rPr>
              <w:t>04不锈钢大门</w:t>
            </w:r>
          </w:p>
        </w:tc>
        <w:tc>
          <w:tcPr>
            <w:tcW w:w="1142" w:type="dxa"/>
          </w:tcPr>
          <w:p>
            <w:pPr>
              <w:spacing w:line="360" w:lineRule="auto"/>
              <w:rPr>
                <w:szCs w:val="21"/>
              </w:rPr>
            </w:pPr>
            <w:r>
              <w:rPr>
                <w:rFonts w:hint="eastAsia"/>
                <w:szCs w:val="21"/>
              </w:rPr>
              <w:t>2</w:t>
            </w:r>
            <w:r>
              <w:rPr>
                <w:szCs w:val="21"/>
              </w:rPr>
              <w:t>400</w:t>
            </w:r>
          </w:p>
        </w:tc>
        <w:tc>
          <w:tcPr>
            <w:tcW w:w="993" w:type="dxa"/>
          </w:tcPr>
          <w:p>
            <w:pPr>
              <w:spacing w:line="360" w:lineRule="auto"/>
              <w:rPr>
                <w:szCs w:val="21"/>
              </w:rPr>
            </w:pPr>
            <w:r>
              <w:rPr>
                <w:szCs w:val="21"/>
              </w:rPr>
              <w:t>3600</w:t>
            </w:r>
          </w:p>
        </w:tc>
        <w:tc>
          <w:tcPr>
            <w:tcW w:w="1033" w:type="dxa"/>
          </w:tcPr>
          <w:p>
            <w:pPr>
              <w:spacing w:line="360" w:lineRule="auto"/>
              <w:rPr>
                <w:szCs w:val="21"/>
              </w:rPr>
            </w:pPr>
            <w:r>
              <w:rPr>
                <w:rFonts w:hint="eastAsia"/>
                <w:szCs w:val="21"/>
              </w:rPr>
              <w:t>8</w:t>
            </w:r>
            <w:r>
              <w:rPr>
                <w:szCs w:val="21"/>
              </w:rPr>
              <w:t>.64</w:t>
            </w:r>
          </w:p>
        </w:tc>
        <w:tc>
          <w:tcPr>
            <w:tcW w:w="1033" w:type="dxa"/>
          </w:tcPr>
          <w:p>
            <w:pPr>
              <w:spacing w:line="360" w:lineRule="auto"/>
              <w:rPr>
                <w:szCs w:val="21"/>
              </w:rPr>
            </w:pPr>
            <w:r>
              <w:rPr>
                <w:rFonts w:hint="eastAsia"/>
                <w:szCs w:val="21"/>
              </w:rPr>
              <w:t>1</w:t>
            </w:r>
          </w:p>
        </w:tc>
        <w:tc>
          <w:tcPr>
            <w:tcW w:w="1033" w:type="dxa"/>
          </w:tcPr>
          <w:p>
            <w:pPr>
              <w:spacing w:line="360" w:lineRule="auto"/>
              <w:rPr>
                <w:szCs w:val="21"/>
              </w:rPr>
            </w:pPr>
            <w:r>
              <w:rPr>
                <w:rFonts w:hint="eastAsia"/>
                <w:szCs w:val="21"/>
              </w:rPr>
              <w:t>8</w:t>
            </w:r>
            <w:r>
              <w:rPr>
                <w:szCs w:val="21"/>
              </w:rPr>
              <w:t>.64</w:t>
            </w:r>
          </w:p>
        </w:tc>
        <w:tc>
          <w:tcPr>
            <w:tcW w:w="994" w:type="dxa"/>
          </w:tcPr>
          <w:p>
            <w:pPr>
              <w:spacing w:line="360" w:lineRule="auto"/>
              <w:rPr>
                <w:szCs w:val="21"/>
              </w:rPr>
            </w:pPr>
            <w:r>
              <w:rPr>
                <w:szCs w:val="21"/>
              </w:rPr>
              <w:t>同上</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34" w:type="dxa"/>
            <w:vMerge w:val="continue"/>
          </w:tcPr>
          <w:p>
            <w:pPr>
              <w:spacing w:line="360" w:lineRule="auto"/>
              <w:rPr>
                <w:szCs w:val="21"/>
              </w:rPr>
            </w:pPr>
          </w:p>
        </w:tc>
        <w:tc>
          <w:tcPr>
            <w:tcW w:w="1034" w:type="dxa"/>
          </w:tcPr>
          <w:p>
            <w:pPr>
              <w:spacing w:line="360" w:lineRule="auto"/>
              <w:rPr>
                <w:szCs w:val="21"/>
              </w:rPr>
            </w:pPr>
            <w:r>
              <w:rPr>
                <w:rFonts w:hint="eastAsia"/>
                <w:szCs w:val="21"/>
              </w:rPr>
              <w:t>3</w:t>
            </w:r>
            <w:r>
              <w:rPr>
                <w:szCs w:val="21"/>
              </w:rPr>
              <w:t>04不锈钢门</w:t>
            </w:r>
          </w:p>
        </w:tc>
        <w:tc>
          <w:tcPr>
            <w:tcW w:w="1142" w:type="dxa"/>
          </w:tcPr>
          <w:p>
            <w:pPr>
              <w:spacing w:line="360" w:lineRule="auto"/>
              <w:rPr>
                <w:szCs w:val="21"/>
              </w:rPr>
            </w:pPr>
            <w:r>
              <w:rPr>
                <w:rFonts w:hint="eastAsia"/>
                <w:szCs w:val="21"/>
              </w:rPr>
              <w:t>1</w:t>
            </w:r>
            <w:r>
              <w:rPr>
                <w:szCs w:val="21"/>
              </w:rPr>
              <w:t>000</w:t>
            </w:r>
          </w:p>
        </w:tc>
        <w:tc>
          <w:tcPr>
            <w:tcW w:w="993" w:type="dxa"/>
          </w:tcPr>
          <w:p>
            <w:pPr>
              <w:spacing w:line="360" w:lineRule="auto"/>
              <w:rPr>
                <w:szCs w:val="21"/>
              </w:rPr>
            </w:pPr>
            <w:r>
              <w:rPr>
                <w:rFonts w:hint="eastAsia"/>
                <w:szCs w:val="21"/>
              </w:rPr>
              <w:t>2</w:t>
            </w:r>
            <w:r>
              <w:rPr>
                <w:szCs w:val="21"/>
              </w:rPr>
              <w:t>400</w:t>
            </w:r>
          </w:p>
        </w:tc>
        <w:tc>
          <w:tcPr>
            <w:tcW w:w="1033" w:type="dxa"/>
          </w:tcPr>
          <w:p>
            <w:pPr>
              <w:spacing w:line="360" w:lineRule="auto"/>
              <w:rPr>
                <w:szCs w:val="21"/>
              </w:rPr>
            </w:pPr>
            <w:r>
              <w:rPr>
                <w:rFonts w:hint="eastAsia"/>
                <w:szCs w:val="21"/>
              </w:rPr>
              <w:t>2</w:t>
            </w:r>
            <w:r>
              <w:rPr>
                <w:szCs w:val="21"/>
              </w:rPr>
              <w:t>.40</w:t>
            </w:r>
          </w:p>
        </w:tc>
        <w:tc>
          <w:tcPr>
            <w:tcW w:w="1033" w:type="dxa"/>
          </w:tcPr>
          <w:p>
            <w:pPr>
              <w:spacing w:line="360" w:lineRule="auto"/>
              <w:rPr>
                <w:szCs w:val="21"/>
              </w:rPr>
            </w:pPr>
            <w:r>
              <w:rPr>
                <w:szCs w:val="21"/>
              </w:rPr>
              <w:t>2</w:t>
            </w:r>
          </w:p>
        </w:tc>
        <w:tc>
          <w:tcPr>
            <w:tcW w:w="1033" w:type="dxa"/>
          </w:tcPr>
          <w:p>
            <w:pPr>
              <w:spacing w:line="360" w:lineRule="auto"/>
              <w:rPr>
                <w:szCs w:val="21"/>
              </w:rPr>
            </w:pPr>
            <w:r>
              <w:rPr>
                <w:rFonts w:hint="eastAsia"/>
                <w:szCs w:val="21"/>
              </w:rPr>
              <w:t>4</w:t>
            </w:r>
            <w:r>
              <w:rPr>
                <w:szCs w:val="21"/>
              </w:rPr>
              <w:t>.80</w:t>
            </w:r>
          </w:p>
        </w:tc>
        <w:tc>
          <w:tcPr>
            <w:tcW w:w="994" w:type="dxa"/>
          </w:tcPr>
          <w:p>
            <w:pPr>
              <w:spacing w:line="360" w:lineRule="auto"/>
              <w:rPr>
                <w:szCs w:val="21"/>
              </w:rPr>
            </w:pPr>
            <w:r>
              <w:rPr>
                <w:szCs w:val="21"/>
              </w:rPr>
              <w:t>同上</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34" w:type="dxa"/>
            <w:vMerge w:val="continue"/>
          </w:tcPr>
          <w:p>
            <w:pPr>
              <w:spacing w:line="360" w:lineRule="auto"/>
              <w:rPr>
                <w:szCs w:val="21"/>
              </w:rPr>
            </w:pPr>
          </w:p>
        </w:tc>
        <w:tc>
          <w:tcPr>
            <w:tcW w:w="1034" w:type="dxa"/>
          </w:tcPr>
          <w:p>
            <w:pPr>
              <w:spacing w:line="360" w:lineRule="auto"/>
              <w:rPr>
                <w:szCs w:val="21"/>
              </w:rPr>
            </w:pPr>
            <w:r>
              <w:rPr>
                <w:szCs w:val="21"/>
              </w:rPr>
              <w:t>钢质屏蔽防火门</w:t>
            </w:r>
          </w:p>
        </w:tc>
        <w:tc>
          <w:tcPr>
            <w:tcW w:w="1142" w:type="dxa"/>
          </w:tcPr>
          <w:p>
            <w:pPr>
              <w:spacing w:line="360" w:lineRule="auto"/>
              <w:rPr>
                <w:szCs w:val="21"/>
              </w:rPr>
            </w:pPr>
            <w:r>
              <w:rPr>
                <w:rFonts w:hint="eastAsia"/>
                <w:szCs w:val="21"/>
              </w:rPr>
              <w:t>1</w:t>
            </w:r>
            <w:r>
              <w:rPr>
                <w:szCs w:val="21"/>
              </w:rPr>
              <w:t>500</w:t>
            </w:r>
          </w:p>
        </w:tc>
        <w:tc>
          <w:tcPr>
            <w:tcW w:w="993" w:type="dxa"/>
          </w:tcPr>
          <w:p>
            <w:pPr>
              <w:spacing w:line="360" w:lineRule="auto"/>
              <w:rPr>
                <w:szCs w:val="21"/>
              </w:rPr>
            </w:pPr>
            <w:r>
              <w:rPr>
                <w:rFonts w:hint="eastAsia"/>
                <w:szCs w:val="21"/>
              </w:rPr>
              <w:t>2</w:t>
            </w:r>
            <w:r>
              <w:rPr>
                <w:szCs w:val="21"/>
              </w:rPr>
              <w:t>400</w:t>
            </w:r>
          </w:p>
        </w:tc>
        <w:tc>
          <w:tcPr>
            <w:tcW w:w="1033" w:type="dxa"/>
          </w:tcPr>
          <w:p>
            <w:pPr>
              <w:spacing w:line="360" w:lineRule="auto"/>
              <w:rPr>
                <w:szCs w:val="21"/>
              </w:rPr>
            </w:pPr>
            <w:r>
              <w:rPr>
                <w:rFonts w:hint="eastAsia"/>
                <w:szCs w:val="21"/>
              </w:rPr>
              <w:t>3</w:t>
            </w:r>
            <w:r>
              <w:rPr>
                <w:szCs w:val="21"/>
              </w:rPr>
              <w:t>.60</w:t>
            </w:r>
          </w:p>
        </w:tc>
        <w:tc>
          <w:tcPr>
            <w:tcW w:w="1033" w:type="dxa"/>
          </w:tcPr>
          <w:p>
            <w:pPr>
              <w:spacing w:line="360" w:lineRule="auto"/>
              <w:rPr>
                <w:szCs w:val="21"/>
              </w:rPr>
            </w:pPr>
            <w:r>
              <w:rPr>
                <w:rFonts w:hint="eastAsia"/>
                <w:szCs w:val="21"/>
              </w:rPr>
              <w:t>1</w:t>
            </w:r>
          </w:p>
        </w:tc>
        <w:tc>
          <w:tcPr>
            <w:tcW w:w="1033" w:type="dxa"/>
          </w:tcPr>
          <w:p>
            <w:pPr>
              <w:spacing w:line="360" w:lineRule="auto"/>
              <w:rPr>
                <w:szCs w:val="21"/>
              </w:rPr>
            </w:pPr>
            <w:r>
              <w:rPr>
                <w:rFonts w:hint="eastAsia"/>
                <w:szCs w:val="21"/>
              </w:rPr>
              <w:t>3</w:t>
            </w:r>
            <w:r>
              <w:rPr>
                <w:szCs w:val="21"/>
              </w:rPr>
              <w:t>.60</w:t>
            </w:r>
          </w:p>
        </w:tc>
        <w:tc>
          <w:tcPr>
            <w:tcW w:w="994" w:type="dxa"/>
          </w:tcPr>
          <w:p>
            <w:pPr>
              <w:spacing w:line="360" w:lineRule="auto"/>
              <w:rPr>
                <w:szCs w:val="21"/>
              </w:rPr>
            </w:pPr>
            <w:r>
              <w:rPr>
                <w:szCs w:val="21"/>
              </w:rPr>
              <w:t>同上</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34" w:type="dxa"/>
            <w:vMerge w:val="continue"/>
          </w:tcPr>
          <w:p>
            <w:pPr>
              <w:spacing w:line="360" w:lineRule="auto"/>
              <w:rPr>
                <w:szCs w:val="21"/>
              </w:rPr>
            </w:pPr>
          </w:p>
        </w:tc>
        <w:tc>
          <w:tcPr>
            <w:tcW w:w="1034" w:type="dxa"/>
          </w:tcPr>
          <w:p>
            <w:pPr>
              <w:spacing w:line="360" w:lineRule="auto"/>
              <w:rPr>
                <w:szCs w:val="21"/>
              </w:rPr>
            </w:pPr>
            <w:r>
              <w:rPr>
                <w:rFonts w:hint="eastAsia"/>
                <w:szCs w:val="21"/>
              </w:rPr>
              <w:t>不锈</w:t>
            </w:r>
            <w:r>
              <w:rPr>
                <w:szCs w:val="21"/>
              </w:rPr>
              <w:t>钢乙级防火门</w:t>
            </w:r>
          </w:p>
        </w:tc>
        <w:tc>
          <w:tcPr>
            <w:tcW w:w="1142" w:type="dxa"/>
          </w:tcPr>
          <w:p>
            <w:pPr>
              <w:spacing w:line="360" w:lineRule="auto"/>
              <w:rPr>
                <w:szCs w:val="21"/>
              </w:rPr>
            </w:pPr>
            <w:r>
              <w:rPr>
                <w:rFonts w:hint="eastAsia"/>
                <w:szCs w:val="21"/>
              </w:rPr>
              <w:t>1</w:t>
            </w:r>
            <w:r>
              <w:rPr>
                <w:szCs w:val="21"/>
              </w:rPr>
              <w:t>000</w:t>
            </w:r>
          </w:p>
        </w:tc>
        <w:tc>
          <w:tcPr>
            <w:tcW w:w="993" w:type="dxa"/>
          </w:tcPr>
          <w:p>
            <w:pPr>
              <w:spacing w:line="360" w:lineRule="auto"/>
              <w:rPr>
                <w:szCs w:val="21"/>
              </w:rPr>
            </w:pPr>
            <w:r>
              <w:rPr>
                <w:rFonts w:hint="eastAsia"/>
                <w:szCs w:val="21"/>
              </w:rPr>
              <w:t>2</w:t>
            </w:r>
            <w:r>
              <w:rPr>
                <w:szCs w:val="21"/>
              </w:rPr>
              <w:t>400</w:t>
            </w:r>
          </w:p>
        </w:tc>
        <w:tc>
          <w:tcPr>
            <w:tcW w:w="1033" w:type="dxa"/>
          </w:tcPr>
          <w:p>
            <w:pPr>
              <w:spacing w:line="360" w:lineRule="auto"/>
              <w:rPr>
                <w:szCs w:val="21"/>
              </w:rPr>
            </w:pPr>
            <w:r>
              <w:rPr>
                <w:rFonts w:hint="eastAsia"/>
                <w:szCs w:val="21"/>
              </w:rPr>
              <w:t>2</w:t>
            </w:r>
            <w:r>
              <w:rPr>
                <w:szCs w:val="21"/>
              </w:rPr>
              <w:t>.40</w:t>
            </w:r>
          </w:p>
        </w:tc>
        <w:tc>
          <w:tcPr>
            <w:tcW w:w="1033" w:type="dxa"/>
          </w:tcPr>
          <w:p>
            <w:pPr>
              <w:spacing w:line="360" w:lineRule="auto"/>
              <w:rPr>
                <w:szCs w:val="21"/>
              </w:rPr>
            </w:pPr>
            <w:r>
              <w:rPr>
                <w:szCs w:val="21"/>
              </w:rPr>
              <w:t>1</w:t>
            </w:r>
          </w:p>
        </w:tc>
        <w:tc>
          <w:tcPr>
            <w:tcW w:w="1033" w:type="dxa"/>
          </w:tcPr>
          <w:p>
            <w:pPr>
              <w:spacing w:line="360" w:lineRule="auto"/>
              <w:rPr>
                <w:szCs w:val="21"/>
              </w:rPr>
            </w:pPr>
            <w:r>
              <w:rPr>
                <w:szCs w:val="21"/>
              </w:rPr>
              <w:t>2.40</w:t>
            </w:r>
          </w:p>
        </w:tc>
        <w:tc>
          <w:tcPr>
            <w:tcW w:w="994" w:type="dxa"/>
          </w:tcPr>
          <w:p>
            <w:pPr>
              <w:spacing w:line="360" w:lineRule="auto"/>
              <w:rPr>
                <w:szCs w:val="21"/>
              </w:rPr>
            </w:pPr>
            <w:r>
              <w:rPr>
                <w:szCs w:val="21"/>
              </w:rPr>
              <w:t>同上</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34" w:type="dxa"/>
            <w:vMerge w:val="restart"/>
          </w:tcPr>
          <w:p>
            <w:pPr>
              <w:spacing w:line="360" w:lineRule="auto"/>
              <w:rPr>
                <w:szCs w:val="21"/>
              </w:rPr>
            </w:pPr>
            <w:r>
              <w:rPr>
                <w:szCs w:val="21"/>
              </w:rPr>
              <w:t>SMES及升压变流系统组合预制舱</w:t>
            </w:r>
          </w:p>
        </w:tc>
        <w:tc>
          <w:tcPr>
            <w:tcW w:w="1034" w:type="dxa"/>
          </w:tcPr>
          <w:p>
            <w:pPr>
              <w:spacing w:line="360" w:lineRule="auto"/>
              <w:rPr>
                <w:szCs w:val="21"/>
              </w:rPr>
            </w:pPr>
            <w:r>
              <w:rPr>
                <w:szCs w:val="21"/>
              </w:rPr>
              <w:t>全玻门（采用LOW-E</w:t>
            </w:r>
            <w:r>
              <w:rPr>
                <w:rFonts w:hint="eastAsia"/>
                <w:szCs w:val="21"/>
              </w:rPr>
              <w:t>节能玻璃</w:t>
            </w:r>
            <w:r>
              <w:rPr>
                <w:szCs w:val="21"/>
              </w:rPr>
              <w:t>）</w:t>
            </w:r>
          </w:p>
        </w:tc>
        <w:tc>
          <w:tcPr>
            <w:tcW w:w="1142" w:type="dxa"/>
          </w:tcPr>
          <w:p>
            <w:pPr>
              <w:spacing w:line="360" w:lineRule="auto"/>
              <w:rPr>
                <w:szCs w:val="21"/>
              </w:rPr>
            </w:pPr>
            <w:r>
              <w:rPr>
                <w:rFonts w:hint="eastAsia"/>
                <w:szCs w:val="21"/>
              </w:rPr>
              <w:t>1</w:t>
            </w:r>
            <w:r>
              <w:rPr>
                <w:szCs w:val="21"/>
              </w:rPr>
              <w:t>500</w:t>
            </w:r>
          </w:p>
        </w:tc>
        <w:tc>
          <w:tcPr>
            <w:tcW w:w="993" w:type="dxa"/>
          </w:tcPr>
          <w:p>
            <w:pPr>
              <w:spacing w:line="360" w:lineRule="auto"/>
              <w:rPr>
                <w:szCs w:val="21"/>
              </w:rPr>
            </w:pPr>
            <w:r>
              <w:rPr>
                <w:rFonts w:hint="eastAsia"/>
                <w:szCs w:val="21"/>
              </w:rPr>
              <w:t>2</w:t>
            </w:r>
            <w:r>
              <w:rPr>
                <w:szCs w:val="21"/>
              </w:rPr>
              <w:t>400</w:t>
            </w:r>
          </w:p>
        </w:tc>
        <w:tc>
          <w:tcPr>
            <w:tcW w:w="1033" w:type="dxa"/>
          </w:tcPr>
          <w:p>
            <w:pPr>
              <w:spacing w:line="360" w:lineRule="auto"/>
              <w:rPr>
                <w:szCs w:val="21"/>
              </w:rPr>
            </w:pPr>
            <w:r>
              <w:rPr>
                <w:rFonts w:hint="eastAsia"/>
                <w:szCs w:val="21"/>
              </w:rPr>
              <w:t>3</w:t>
            </w:r>
            <w:r>
              <w:rPr>
                <w:szCs w:val="21"/>
              </w:rPr>
              <w:t>.60</w:t>
            </w:r>
          </w:p>
        </w:tc>
        <w:tc>
          <w:tcPr>
            <w:tcW w:w="1033" w:type="dxa"/>
          </w:tcPr>
          <w:p>
            <w:pPr>
              <w:spacing w:line="360" w:lineRule="auto"/>
              <w:rPr>
                <w:szCs w:val="21"/>
              </w:rPr>
            </w:pPr>
            <w:r>
              <w:rPr>
                <w:rFonts w:hint="eastAsia"/>
                <w:szCs w:val="21"/>
              </w:rPr>
              <w:t>2</w:t>
            </w:r>
          </w:p>
        </w:tc>
        <w:tc>
          <w:tcPr>
            <w:tcW w:w="1033" w:type="dxa"/>
          </w:tcPr>
          <w:p>
            <w:pPr>
              <w:spacing w:line="360" w:lineRule="auto"/>
              <w:rPr>
                <w:szCs w:val="21"/>
              </w:rPr>
            </w:pPr>
            <w:r>
              <w:rPr>
                <w:rFonts w:hint="eastAsia"/>
                <w:szCs w:val="21"/>
              </w:rPr>
              <w:t>7</w:t>
            </w:r>
            <w:r>
              <w:rPr>
                <w:szCs w:val="21"/>
              </w:rPr>
              <w:t>.20</w:t>
            </w:r>
          </w:p>
        </w:tc>
        <w:tc>
          <w:tcPr>
            <w:tcW w:w="994" w:type="dxa"/>
          </w:tcPr>
          <w:p>
            <w:pPr>
              <w:spacing w:line="360" w:lineRule="auto"/>
              <w:rPr>
                <w:szCs w:val="21"/>
              </w:rPr>
            </w:pPr>
            <w:r>
              <w:rPr>
                <w:szCs w:val="21"/>
              </w:rPr>
              <w:t>同上</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34" w:type="dxa"/>
            <w:vMerge w:val="continue"/>
          </w:tcPr>
          <w:p>
            <w:pPr>
              <w:spacing w:line="360" w:lineRule="auto"/>
              <w:rPr>
                <w:szCs w:val="21"/>
              </w:rPr>
            </w:pPr>
          </w:p>
        </w:tc>
        <w:tc>
          <w:tcPr>
            <w:tcW w:w="1034" w:type="dxa"/>
          </w:tcPr>
          <w:p>
            <w:pPr>
              <w:spacing w:line="360" w:lineRule="auto"/>
              <w:rPr>
                <w:szCs w:val="21"/>
              </w:rPr>
            </w:pPr>
            <w:r>
              <w:rPr>
                <w:rFonts w:hint="eastAsia"/>
                <w:szCs w:val="21"/>
              </w:rPr>
              <w:t>3</w:t>
            </w:r>
            <w:r>
              <w:rPr>
                <w:szCs w:val="21"/>
              </w:rPr>
              <w:t>04不锈钢大门</w:t>
            </w:r>
          </w:p>
        </w:tc>
        <w:tc>
          <w:tcPr>
            <w:tcW w:w="1142" w:type="dxa"/>
          </w:tcPr>
          <w:p>
            <w:pPr>
              <w:spacing w:line="360" w:lineRule="auto"/>
              <w:rPr>
                <w:szCs w:val="21"/>
              </w:rPr>
            </w:pPr>
            <w:r>
              <w:rPr>
                <w:szCs w:val="21"/>
              </w:rPr>
              <w:t>4200</w:t>
            </w:r>
          </w:p>
        </w:tc>
        <w:tc>
          <w:tcPr>
            <w:tcW w:w="993" w:type="dxa"/>
          </w:tcPr>
          <w:p>
            <w:pPr>
              <w:spacing w:line="360" w:lineRule="auto"/>
              <w:rPr>
                <w:szCs w:val="21"/>
              </w:rPr>
            </w:pPr>
            <w:r>
              <w:rPr>
                <w:szCs w:val="21"/>
              </w:rPr>
              <w:t>3600</w:t>
            </w:r>
          </w:p>
        </w:tc>
        <w:tc>
          <w:tcPr>
            <w:tcW w:w="1033" w:type="dxa"/>
          </w:tcPr>
          <w:p>
            <w:pPr>
              <w:spacing w:line="360" w:lineRule="auto"/>
              <w:rPr>
                <w:szCs w:val="21"/>
              </w:rPr>
            </w:pPr>
            <w:r>
              <w:rPr>
                <w:rFonts w:hint="eastAsia"/>
                <w:szCs w:val="21"/>
              </w:rPr>
              <w:t>1</w:t>
            </w:r>
            <w:r>
              <w:rPr>
                <w:szCs w:val="21"/>
              </w:rPr>
              <w:t>5.12</w:t>
            </w:r>
          </w:p>
        </w:tc>
        <w:tc>
          <w:tcPr>
            <w:tcW w:w="1033" w:type="dxa"/>
          </w:tcPr>
          <w:p>
            <w:pPr>
              <w:spacing w:line="360" w:lineRule="auto"/>
              <w:rPr>
                <w:szCs w:val="21"/>
              </w:rPr>
            </w:pPr>
            <w:r>
              <w:rPr>
                <w:rFonts w:hint="eastAsia"/>
                <w:szCs w:val="21"/>
              </w:rPr>
              <w:t>1</w:t>
            </w:r>
          </w:p>
        </w:tc>
        <w:tc>
          <w:tcPr>
            <w:tcW w:w="1033" w:type="dxa"/>
          </w:tcPr>
          <w:p>
            <w:pPr>
              <w:spacing w:line="360" w:lineRule="auto"/>
              <w:rPr>
                <w:szCs w:val="21"/>
              </w:rPr>
            </w:pPr>
            <w:r>
              <w:rPr>
                <w:rFonts w:hint="eastAsia"/>
                <w:szCs w:val="21"/>
              </w:rPr>
              <w:t>1</w:t>
            </w:r>
            <w:r>
              <w:rPr>
                <w:szCs w:val="21"/>
              </w:rPr>
              <w:t>5.12</w:t>
            </w:r>
          </w:p>
        </w:tc>
        <w:tc>
          <w:tcPr>
            <w:tcW w:w="994" w:type="dxa"/>
          </w:tcPr>
          <w:p>
            <w:pPr>
              <w:spacing w:line="360" w:lineRule="auto"/>
              <w:rPr>
                <w:szCs w:val="21"/>
              </w:rPr>
            </w:pPr>
            <w:r>
              <w:rPr>
                <w:szCs w:val="21"/>
              </w:rPr>
              <w:t>同上</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34" w:type="dxa"/>
            <w:vMerge w:val="continue"/>
          </w:tcPr>
          <w:p>
            <w:pPr>
              <w:spacing w:line="360" w:lineRule="auto"/>
              <w:rPr>
                <w:szCs w:val="21"/>
              </w:rPr>
            </w:pPr>
          </w:p>
        </w:tc>
        <w:tc>
          <w:tcPr>
            <w:tcW w:w="1034" w:type="dxa"/>
          </w:tcPr>
          <w:p>
            <w:pPr>
              <w:spacing w:line="360" w:lineRule="auto"/>
              <w:rPr>
                <w:szCs w:val="21"/>
              </w:rPr>
            </w:pPr>
            <w:r>
              <w:rPr>
                <w:rFonts w:hint="eastAsia"/>
                <w:szCs w:val="21"/>
              </w:rPr>
              <w:t>甲</w:t>
            </w:r>
            <w:r>
              <w:rPr>
                <w:szCs w:val="21"/>
              </w:rPr>
              <w:t>级钢质防火门</w:t>
            </w:r>
          </w:p>
        </w:tc>
        <w:tc>
          <w:tcPr>
            <w:tcW w:w="1142" w:type="dxa"/>
          </w:tcPr>
          <w:p>
            <w:pPr>
              <w:spacing w:line="360" w:lineRule="auto"/>
              <w:rPr>
                <w:szCs w:val="21"/>
              </w:rPr>
            </w:pPr>
            <w:r>
              <w:rPr>
                <w:rFonts w:hint="eastAsia"/>
                <w:szCs w:val="21"/>
              </w:rPr>
              <w:t>1</w:t>
            </w:r>
            <w:r>
              <w:rPr>
                <w:szCs w:val="21"/>
              </w:rPr>
              <w:t>000</w:t>
            </w:r>
          </w:p>
        </w:tc>
        <w:tc>
          <w:tcPr>
            <w:tcW w:w="993" w:type="dxa"/>
          </w:tcPr>
          <w:p>
            <w:pPr>
              <w:spacing w:line="360" w:lineRule="auto"/>
              <w:rPr>
                <w:szCs w:val="21"/>
              </w:rPr>
            </w:pPr>
            <w:r>
              <w:rPr>
                <w:rFonts w:hint="eastAsia"/>
                <w:szCs w:val="21"/>
              </w:rPr>
              <w:t>2</w:t>
            </w:r>
            <w:r>
              <w:rPr>
                <w:szCs w:val="21"/>
              </w:rPr>
              <w:t>400</w:t>
            </w:r>
          </w:p>
        </w:tc>
        <w:tc>
          <w:tcPr>
            <w:tcW w:w="1033" w:type="dxa"/>
          </w:tcPr>
          <w:p>
            <w:pPr>
              <w:spacing w:line="360" w:lineRule="auto"/>
              <w:rPr>
                <w:szCs w:val="21"/>
                <w:highlight w:val="none"/>
              </w:rPr>
            </w:pPr>
            <w:r>
              <w:rPr>
                <w:rFonts w:hint="eastAsia"/>
                <w:szCs w:val="21"/>
                <w:highlight w:val="none"/>
              </w:rPr>
              <w:t>2</w:t>
            </w:r>
            <w:r>
              <w:rPr>
                <w:szCs w:val="21"/>
                <w:highlight w:val="none"/>
              </w:rPr>
              <w:t>.40</w:t>
            </w:r>
          </w:p>
        </w:tc>
        <w:tc>
          <w:tcPr>
            <w:tcW w:w="1033" w:type="dxa"/>
          </w:tcPr>
          <w:p>
            <w:pPr>
              <w:spacing w:line="360" w:lineRule="auto"/>
              <w:rPr>
                <w:szCs w:val="21"/>
                <w:highlight w:val="none"/>
              </w:rPr>
            </w:pPr>
            <w:r>
              <w:rPr>
                <w:szCs w:val="21"/>
                <w:highlight w:val="none"/>
              </w:rPr>
              <w:t>8</w:t>
            </w:r>
          </w:p>
        </w:tc>
        <w:tc>
          <w:tcPr>
            <w:tcW w:w="1033" w:type="dxa"/>
          </w:tcPr>
          <w:p>
            <w:pPr>
              <w:spacing w:line="360" w:lineRule="auto"/>
              <w:rPr>
                <w:szCs w:val="21"/>
                <w:highlight w:val="none"/>
              </w:rPr>
            </w:pPr>
            <w:r>
              <w:rPr>
                <w:szCs w:val="21"/>
                <w:highlight w:val="none"/>
              </w:rPr>
              <w:t>19.20</w:t>
            </w:r>
          </w:p>
        </w:tc>
        <w:tc>
          <w:tcPr>
            <w:tcW w:w="994" w:type="dxa"/>
          </w:tcPr>
          <w:p>
            <w:pPr>
              <w:spacing w:line="360" w:lineRule="auto"/>
              <w:rPr>
                <w:szCs w:val="21"/>
              </w:rPr>
            </w:pPr>
            <w:r>
              <w:rPr>
                <w:szCs w:val="21"/>
              </w:rPr>
              <w:t>同上</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34" w:type="dxa"/>
            <w:vMerge w:val="restart"/>
          </w:tcPr>
          <w:p>
            <w:pPr>
              <w:spacing w:line="360" w:lineRule="auto"/>
              <w:rPr>
                <w:szCs w:val="21"/>
              </w:rPr>
            </w:pPr>
            <w:r>
              <w:rPr>
                <w:rFonts w:hint="eastAsia"/>
                <w:szCs w:val="21"/>
              </w:rPr>
              <w:t>展厅舱</w:t>
            </w:r>
          </w:p>
        </w:tc>
        <w:tc>
          <w:tcPr>
            <w:tcW w:w="1034" w:type="dxa"/>
          </w:tcPr>
          <w:p>
            <w:pPr>
              <w:spacing w:line="360" w:lineRule="auto"/>
              <w:rPr>
                <w:szCs w:val="21"/>
              </w:rPr>
            </w:pPr>
            <w:r>
              <w:rPr>
                <w:szCs w:val="21"/>
              </w:rPr>
              <w:t>全玻门（采用LOW-E</w:t>
            </w:r>
            <w:r>
              <w:rPr>
                <w:rFonts w:hint="eastAsia"/>
                <w:szCs w:val="21"/>
              </w:rPr>
              <w:t>节能玻璃</w:t>
            </w:r>
            <w:r>
              <w:rPr>
                <w:szCs w:val="21"/>
              </w:rPr>
              <w:t>）</w:t>
            </w:r>
          </w:p>
        </w:tc>
        <w:tc>
          <w:tcPr>
            <w:tcW w:w="1142" w:type="dxa"/>
          </w:tcPr>
          <w:p>
            <w:pPr>
              <w:spacing w:line="360" w:lineRule="auto"/>
              <w:rPr>
                <w:szCs w:val="21"/>
              </w:rPr>
            </w:pPr>
            <w:r>
              <w:rPr>
                <w:rFonts w:hint="eastAsia"/>
                <w:szCs w:val="21"/>
              </w:rPr>
              <w:t>3</w:t>
            </w:r>
            <w:r>
              <w:rPr>
                <w:szCs w:val="21"/>
              </w:rPr>
              <w:t>600</w:t>
            </w:r>
          </w:p>
        </w:tc>
        <w:tc>
          <w:tcPr>
            <w:tcW w:w="993" w:type="dxa"/>
          </w:tcPr>
          <w:p>
            <w:pPr>
              <w:spacing w:line="360" w:lineRule="auto"/>
              <w:rPr>
                <w:szCs w:val="21"/>
              </w:rPr>
            </w:pPr>
            <w:r>
              <w:rPr>
                <w:rFonts w:hint="eastAsia"/>
                <w:szCs w:val="21"/>
              </w:rPr>
              <w:t>2</w:t>
            </w:r>
            <w:r>
              <w:rPr>
                <w:szCs w:val="21"/>
              </w:rPr>
              <w:t>400</w:t>
            </w:r>
          </w:p>
        </w:tc>
        <w:tc>
          <w:tcPr>
            <w:tcW w:w="1033" w:type="dxa"/>
          </w:tcPr>
          <w:p>
            <w:pPr>
              <w:spacing w:line="360" w:lineRule="auto"/>
              <w:rPr>
                <w:szCs w:val="21"/>
              </w:rPr>
            </w:pPr>
            <w:r>
              <w:rPr>
                <w:rFonts w:hint="eastAsia"/>
                <w:szCs w:val="21"/>
              </w:rPr>
              <w:t>8</w:t>
            </w:r>
            <w:r>
              <w:rPr>
                <w:szCs w:val="21"/>
              </w:rPr>
              <w:t>.64</w:t>
            </w:r>
          </w:p>
        </w:tc>
        <w:tc>
          <w:tcPr>
            <w:tcW w:w="1033" w:type="dxa"/>
          </w:tcPr>
          <w:p>
            <w:pPr>
              <w:spacing w:line="360" w:lineRule="auto"/>
              <w:rPr>
                <w:szCs w:val="21"/>
              </w:rPr>
            </w:pPr>
            <w:r>
              <w:rPr>
                <w:rFonts w:hint="eastAsia"/>
                <w:szCs w:val="21"/>
              </w:rPr>
              <w:t>2</w:t>
            </w:r>
          </w:p>
        </w:tc>
        <w:tc>
          <w:tcPr>
            <w:tcW w:w="1033" w:type="dxa"/>
          </w:tcPr>
          <w:p>
            <w:pPr>
              <w:spacing w:line="360" w:lineRule="auto"/>
              <w:rPr>
                <w:szCs w:val="21"/>
              </w:rPr>
            </w:pPr>
            <w:r>
              <w:rPr>
                <w:szCs w:val="21"/>
              </w:rPr>
              <w:t>17.28</w:t>
            </w:r>
          </w:p>
        </w:tc>
        <w:tc>
          <w:tcPr>
            <w:tcW w:w="994" w:type="dxa"/>
          </w:tcPr>
          <w:p>
            <w:pPr>
              <w:spacing w:line="360" w:lineRule="auto"/>
              <w:rPr>
                <w:szCs w:val="21"/>
              </w:rPr>
            </w:pPr>
            <w:r>
              <w:rPr>
                <w:szCs w:val="21"/>
              </w:rPr>
              <w:t>同上</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34" w:type="dxa"/>
            <w:vMerge w:val="continue"/>
          </w:tcPr>
          <w:p>
            <w:pPr>
              <w:spacing w:line="360" w:lineRule="auto"/>
              <w:rPr>
                <w:szCs w:val="21"/>
              </w:rPr>
            </w:pPr>
          </w:p>
        </w:tc>
        <w:tc>
          <w:tcPr>
            <w:tcW w:w="1034" w:type="dxa"/>
          </w:tcPr>
          <w:p>
            <w:pPr>
              <w:spacing w:line="360" w:lineRule="auto"/>
              <w:rPr>
                <w:szCs w:val="21"/>
              </w:rPr>
            </w:pPr>
            <w:r>
              <w:rPr>
                <w:szCs w:val="21"/>
              </w:rPr>
              <w:t>木夹板门</w:t>
            </w:r>
          </w:p>
        </w:tc>
        <w:tc>
          <w:tcPr>
            <w:tcW w:w="1142" w:type="dxa"/>
          </w:tcPr>
          <w:p>
            <w:pPr>
              <w:spacing w:line="360" w:lineRule="auto"/>
              <w:rPr>
                <w:szCs w:val="21"/>
              </w:rPr>
            </w:pPr>
            <w:r>
              <w:rPr>
                <w:rFonts w:hint="eastAsia"/>
                <w:szCs w:val="21"/>
              </w:rPr>
              <w:t>1</w:t>
            </w:r>
            <w:r>
              <w:rPr>
                <w:szCs w:val="21"/>
              </w:rPr>
              <w:t>000</w:t>
            </w:r>
          </w:p>
        </w:tc>
        <w:tc>
          <w:tcPr>
            <w:tcW w:w="993" w:type="dxa"/>
          </w:tcPr>
          <w:p>
            <w:pPr>
              <w:spacing w:line="360" w:lineRule="auto"/>
              <w:rPr>
                <w:szCs w:val="21"/>
              </w:rPr>
            </w:pPr>
            <w:r>
              <w:rPr>
                <w:rFonts w:hint="eastAsia"/>
                <w:szCs w:val="21"/>
              </w:rPr>
              <w:t>2</w:t>
            </w:r>
            <w:r>
              <w:rPr>
                <w:szCs w:val="21"/>
              </w:rPr>
              <w:t>100</w:t>
            </w:r>
          </w:p>
        </w:tc>
        <w:tc>
          <w:tcPr>
            <w:tcW w:w="1033" w:type="dxa"/>
          </w:tcPr>
          <w:p>
            <w:pPr>
              <w:spacing w:line="360" w:lineRule="auto"/>
              <w:rPr>
                <w:szCs w:val="21"/>
              </w:rPr>
            </w:pPr>
            <w:r>
              <w:rPr>
                <w:rFonts w:hint="eastAsia"/>
                <w:szCs w:val="21"/>
              </w:rPr>
              <w:t>2</w:t>
            </w:r>
            <w:r>
              <w:rPr>
                <w:szCs w:val="21"/>
              </w:rPr>
              <w:t>.10</w:t>
            </w:r>
          </w:p>
        </w:tc>
        <w:tc>
          <w:tcPr>
            <w:tcW w:w="1033" w:type="dxa"/>
          </w:tcPr>
          <w:p>
            <w:pPr>
              <w:spacing w:line="360" w:lineRule="auto"/>
              <w:rPr>
                <w:szCs w:val="21"/>
              </w:rPr>
            </w:pPr>
            <w:r>
              <w:rPr>
                <w:rFonts w:hint="eastAsia"/>
                <w:szCs w:val="21"/>
              </w:rPr>
              <w:t>2</w:t>
            </w:r>
          </w:p>
        </w:tc>
        <w:tc>
          <w:tcPr>
            <w:tcW w:w="1033" w:type="dxa"/>
          </w:tcPr>
          <w:p>
            <w:pPr>
              <w:spacing w:line="360" w:lineRule="auto"/>
              <w:rPr>
                <w:szCs w:val="21"/>
              </w:rPr>
            </w:pPr>
            <w:r>
              <w:rPr>
                <w:szCs w:val="21"/>
              </w:rPr>
              <w:t>4.20</w:t>
            </w:r>
          </w:p>
        </w:tc>
        <w:tc>
          <w:tcPr>
            <w:tcW w:w="994" w:type="dxa"/>
          </w:tcPr>
          <w:p>
            <w:pPr>
              <w:spacing w:line="360" w:lineRule="auto"/>
              <w:rPr>
                <w:szCs w:val="21"/>
              </w:rPr>
            </w:pPr>
            <w:r>
              <w:rPr>
                <w:szCs w:val="21"/>
              </w:rPr>
              <w:t>同上</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34" w:type="dxa"/>
            <w:vMerge w:val="continue"/>
          </w:tcPr>
          <w:p>
            <w:pPr>
              <w:spacing w:line="360" w:lineRule="auto"/>
              <w:rPr>
                <w:szCs w:val="21"/>
              </w:rPr>
            </w:pPr>
          </w:p>
        </w:tc>
        <w:tc>
          <w:tcPr>
            <w:tcW w:w="1034" w:type="dxa"/>
          </w:tcPr>
          <w:p>
            <w:pPr>
              <w:spacing w:line="360" w:lineRule="auto"/>
              <w:rPr>
                <w:szCs w:val="21"/>
              </w:rPr>
            </w:pPr>
            <w:r>
              <w:rPr>
                <w:rFonts w:hint="eastAsia"/>
                <w:szCs w:val="21"/>
              </w:rPr>
              <w:t>3</w:t>
            </w:r>
            <w:r>
              <w:rPr>
                <w:szCs w:val="21"/>
              </w:rPr>
              <w:t>04不锈钢门</w:t>
            </w:r>
          </w:p>
        </w:tc>
        <w:tc>
          <w:tcPr>
            <w:tcW w:w="1142" w:type="dxa"/>
          </w:tcPr>
          <w:p>
            <w:pPr>
              <w:spacing w:line="360" w:lineRule="auto"/>
              <w:rPr>
                <w:szCs w:val="21"/>
              </w:rPr>
            </w:pPr>
            <w:r>
              <w:rPr>
                <w:rFonts w:hint="eastAsia"/>
                <w:szCs w:val="21"/>
              </w:rPr>
              <w:t>1</w:t>
            </w:r>
            <w:r>
              <w:rPr>
                <w:szCs w:val="21"/>
              </w:rPr>
              <w:t>000</w:t>
            </w:r>
          </w:p>
        </w:tc>
        <w:tc>
          <w:tcPr>
            <w:tcW w:w="993" w:type="dxa"/>
          </w:tcPr>
          <w:p>
            <w:pPr>
              <w:spacing w:line="360" w:lineRule="auto"/>
              <w:rPr>
                <w:szCs w:val="21"/>
              </w:rPr>
            </w:pPr>
            <w:r>
              <w:rPr>
                <w:rFonts w:hint="eastAsia"/>
                <w:szCs w:val="21"/>
              </w:rPr>
              <w:t>2</w:t>
            </w:r>
            <w:r>
              <w:rPr>
                <w:szCs w:val="21"/>
              </w:rPr>
              <w:t>400</w:t>
            </w:r>
          </w:p>
        </w:tc>
        <w:tc>
          <w:tcPr>
            <w:tcW w:w="1033" w:type="dxa"/>
          </w:tcPr>
          <w:p>
            <w:pPr>
              <w:spacing w:line="360" w:lineRule="auto"/>
              <w:rPr>
                <w:szCs w:val="21"/>
              </w:rPr>
            </w:pPr>
            <w:r>
              <w:rPr>
                <w:rFonts w:hint="eastAsia"/>
                <w:szCs w:val="21"/>
              </w:rPr>
              <w:t>2</w:t>
            </w:r>
            <w:r>
              <w:rPr>
                <w:szCs w:val="21"/>
              </w:rPr>
              <w:t>.40</w:t>
            </w:r>
          </w:p>
        </w:tc>
        <w:tc>
          <w:tcPr>
            <w:tcW w:w="1033" w:type="dxa"/>
          </w:tcPr>
          <w:p>
            <w:pPr>
              <w:spacing w:line="360" w:lineRule="auto"/>
              <w:rPr>
                <w:szCs w:val="21"/>
              </w:rPr>
            </w:pPr>
            <w:r>
              <w:rPr>
                <w:szCs w:val="21"/>
              </w:rPr>
              <w:t>1</w:t>
            </w:r>
          </w:p>
        </w:tc>
        <w:tc>
          <w:tcPr>
            <w:tcW w:w="1033" w:type="dxa"/>
          </w:tcPr>
          <w:p>
            <w:pPr>
              <w:spacing w:line="360" w:lineRule="auto"/>
              <w:rPr>
                <w:szCs w:val="21"/>
              </w:rPr>
            </w:pPr>
            <w:r>
              <w:rPr>
                <w:szCs w:val="21"/>
              </w:rPr>
              <w:t>2.40</w:t>
            </w:r>
          </w:p>
        </w:tc>
        <w:tc>
          <w:tcPr>
            <w:tcW w:w="994" w:type="dxa"/>
          </w:tcPr>
          <w:p>
            <w:pPr>
              <w:spacing w:line="360" w:lineRule="auto"/>
              <w:rPr>
                <w:szCs w:val="21"/>
              </w:rPr>
            </w:pPr>
            <w:r>
              <w:rPr>
                <w:szCs w:val="21"/>
              </w:rPr>
              <w:t>同上</w:t>
            </w:r>
          </w:p>
        </w:tc>
      </w:tr>
    </w:tbl>
    <w:p>
      <w:pPr>
        <w:pStyle w:val="32"/>
        <w:tabs>
          <w:tab w:val="left" w:pos="142"/>
        </w:tabs>
        <w:spacing w:line="288" w:lineRule="auto"/>
        <w:ind w:left="0"/>
        <w:jc w:val="left"/>
        <w:rPr>
          <w:rFonts w:ascii="宋体" w:hAnsi="宋体"/>
          <w:szCs w:val="21"/>
        </w:rPr>
      </w:pPr>
      <w:r>
        <w:rPr>
          <w:rFonts w:hint="eastAsia" w:ascii="宋体" w:hAnsi="宋体"/>
          <w:szCs w:val="21"/>
        </w:rPr>
        <w:t>（注：1、本表中门窗造价费用含五金、安装费、运输费等。</w:t>
      </w:r>
    </w:p>
    <w:p>
      <w:pPr>
        <w:spacing w:line="360" w:lineRule="auto"/>
        <w:rPr>
          <w:color w:val="000000" w:themeColor="text1"/>
          <w:szCs w:val="21"/>
          <w14:textFill>
            <w14:solidFill>
              <w14:schemeClr w14:val="tx1"/>
            </w14:solidFill>
          </w14:textFill>
        </w:rPr>
      </w:pPr>
      <w:r>
        <w:rPr>
          <w:rFonts w:hint="eastAsia" w:ascii="宋体" w:hAnsi="宋体"/>
          <w:szCs w:val="21"/>
        </w:rPr>
        <w:t>2、投标方提供锁具前应与本站土建施工包协调、确认其所供锁具能满足全站钥匙分级管理系统的要求。）</w:t>
      </w:r>
    </w:p>
    <w:p>
      <w:pPr>
        <w:pStyle w:val="201"/>
        <w:adjustRightInd w:val="0"/>
        <w:snapToGrid w:val="0"/>
        <w:spacing w:line="360" w:lineRule="auto"/>
        <w:rPr>
          <w:rFonts w:ascii="Times New Roman" w:hAnsi="Times New Roman" w:eastAsia="宋体"/>
          <w:color w:val="000000" w:themeColor="text1"/>
          <w:sz w:val="21"/>
          <w:szCs w:val="21"/>
          <w14:textFill>
            <w14:solidFill>
              <w14:schemeClr w14:val="tx1"/>
            </w14:solidFill>
          </w14:textFill>
        </w:rPr>
      </w:pPr>
    </w:p>
    <w:p>
      <w:pPr>
        <w:pStyle w:val="201"/>
        <w:adjustRightInd w:val="0"/>
        <w:snapToGrid w:val="0"/>
        <w:spacing w:line="360" w:lineRule="auto"/>
        <w:rPr>
          <w:rFonts w:ascii="Times New Roman" w:hAnsi="Times New Roman" w:eastAsia="宋体"/>
          <w:color w:val="000000" w:themeColor="text1"/>
          <w:sz w:val="21"/>
          <w:szCs w:val="21"/>
          <w14:textFill>
            <w14:solidFill>
              <w14:schemeClr w14:val="tx1"/>
            </w14:solidFill>
          </w14:textFill>
        </w:rPr>
      </w:pPr>
      <w:r>
        <w:rPr>
          <w:rFonts w:hint="eastAsia" w:ascii="Times New Roman" w:hAnsi="Times New Roman" w:eastAsia="宋体"/>
          <w:color w:val="000000" w:themeColor="text1"/>
          <w:sz w:val="21"/>
          <w:szCs w:val="21"/>
          <w14:textFill>
            <w14:solidFill>
              <w14:schemeClr w14:val="tx1"/>
            </w14:solidFill>
          </w14:textFill>
        </w:rPr>
        <w:t>投标方提供的</w:t>
      </w:r>
      <w:r>
        <w:rPr>
          <w:rFonts w:ascii="Times New Roman" w:hAnsi="Times New Roman" w:eastAsia="宋体"/>
          <w:color w:val="000000" w:themeColor="text1"/>
          <w:sz w:val="21"/>
          <w:szCs w:val="21"/>
          <w14:textFill>
            <w14:solidFill>
              <w14:schemeClr w14:val="tx1"/>
            </w14:solidFill>
          </w14:textFill>
        </w:rPr>
        <w:t>卫生器具工程量详见表2.3-4：</w:t>
      </w:r>
    </w:p>
    <w:p>
      <w:pPr>
        <w:pStyle w:val="201"/>
        <w:adjustRightInd w:val="0"/>
        <w:snapToGrid w:val="0"/>
        <w:spacing w:line="360" w:lineRule="auto"/>
        <w:ind w:firstLine="0" w:firstLineChars="0"/>
        <w:jc w:val="center"/>
        <w:rPr>
          <w:rFonts w:ascii="Times New Roman" w:hAnsi="Times New Roman" w:eastAsia="宋体"/>
          <w:color w:val="000000" w:themeColor="text1"/>
          <w:sz w:val="21"/>
          <w:szCs w:val="21"/>
          <w14:textFill>
            <w14:solidFill>
              <w14:schemeClr w14:val="tx1"/>
            </w14:solidFill>
          </w14:textFill>
        </w:rPr>
      </w:pPr>
      <w:r>
        <w:rPr>
          <w:rFonts w:ascii="Times New Roman" w:hAnsi="Times New Roman" w:eastAsia="宋体"/>
          <w:color w:val="000000" w:themeColor="text1"/>
          <w:sz w:val="21"/>
          <w:szCs w:val="21"/>
          <w14:textFill>
            <w14:solidFill>
              <w14:schemeClr w14:val="tx1"/>
            </w14:solidFill>
          </w14:textFill>
        </w:rPr>
        <w:t xml:space="preserve">表2.3-4 </w:t>
      </w:r>
      <w:r>
        <w:rPr>
          <w:rFonts w:hint="eastAsia"/>
          <w:sz w:val="21"/>
          <w:szCs w:val="21"/>
        </w:rPr>
        <w:t>展厅</w:t>
      </w:r>
      <w:r>
        <w:rPr>
          <w:sz w:val="21"/>
          <w:szCs w:val="21"/>
        </w:rPr>
        <w:t>舱卫生器具一览表</w:t>
      </w:r>
    </w:p>
    <w:tbl>
      <w:tblPr>
        <w:tblStyle w:val="85"/>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830"/>
        <w:gridCol w:w="1843"/>
        <w:gridCol w:w="2552"/>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830" w:type="dxa"/>
          </w:tcPr>
          <w:p>
            <w:pPr>
              <w:spacing w:line="360" w:lineRule="auto"/>
              <w:rPr>
                <w:szCs w:val="21"/>
              </w:rPr>
            </w:pPr>
            <w:r>
              <w:rPr>
                <w:szCs w:val="21"/>
              </w:rPr>
              <w:t>卫生器具</w:t>
            </w:r>
          </w:p>
        </w:tc>
        <w:tc>
          <w:tcPr>
            <w:tcW w:w="1843" w:type="dxa"/>
          </w:tcPr>
          <w:p>
            <w:pPr>
              <w:spacing w:line="360" w:lineRule="auto"/>
              <w:rPr>
                <w:szCs w:val="21"/>
              </w:rPr>
            </w:pPr>
            <w:r>
              <w:rPr>
                <w:szCs w:val="21"/>
              </w:rPr>
              <w:t>数量</w:t>
            </w:r>
          </w:p>
        </w:tc>
        <w:tc>
          <w:tcPr>
            <w:tcW w:w="2552" w:type="dxa"/>
          </w:tcPr>
          <w:p>
            <w:pPr>
              <w:spacing w:line="360" w:lineRule="auto"/>
              <w:rPr>
                <w:szCs w:val="21"/>
              </w:rPr>
            </w:pPr>
            <w:r>
              <w:rPr>
                <w:szCs w:val="21"/>
              </w:rPr>
              <w:t>备注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830" w:type="dxa"/>
          </w:tcPr>
          <w:p>
            <w:pPr>
              <w:spacing w:line="360" w:lineRule="auto"/>
              <w:rPr>
                <w:szCs w:val="21"/>
              </w:rPr>
            </w:pPr>
            <w:r>
              <w:rPr>
                <w:rFonts w:hint="eastAsia"/>
                <w:szCs w:val="21"/>
              </w:rPr>
              <w:t>复合防潮板成套卫生间隔断（含门）</w:t>
            </w:r>
          </w:p>
        </w:tc>
        <w:tc>
          <w:tcPr>
            <w:tcW w:w="1843" w:type="dxa"/>
          </w:tcPr>
          <w:p>
            <w:pPr>
              <w:spacing w:line="360" w:lineRule="auto"/>
              <w:rPr>
                <w:szCs w:val="21"/>
              </w:rPr>
            </w:pPr>
            <w:r>
              <w:rPr>
                <w:szCs w:val="21"/>
              </w:rPr>
              <w:t>5</w:t>
            </w:r>
            <w:r>
              <w:rPr>
                <w:rFonts w:hint="eastAsia"/>
                <w:szCs w:val="21"/>
              </w:rPr>
              <w:t>㎡</w:t>
            </w:r>
          </w:p>
        </w:tc>
        <w:tc>
          <w:tcPr>
            <w:tcW w:w="2552" w:type="dxa"/>
          </w:tcPr>
          <w:p>
            <w:pPr>
              <w:spacing w:line="360" w:lineRule="auto"/>
              <w:rPr>
                <w:szCs w:val="21"/>
              </w:rPr>
            </w:pPr>
            <w:r>
              <w:rPr>
                <w:szCs w:val="21"/>
              </w:rPr>
              <w:t>成品，包含所有主材、辅材和安装配件。</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830" w:type="dxa"/>
          </w:tcPr>
          <w:p>
            <w:pPr>
              <w:spacing w:line="360" w:lineRule="auto"/>
              <w:rPr>
                <w:szCs w:val="21"/>
              </w:rPr>
            </w:pPr>
            <w:r>
              <w:rPr>
                <w:szCs w:val="21"/>
              </w:rPr>
              <w:t>瓷质坐便器</w:t>
            </w:r>
          </w:p>
        </w:tc>
        <w:tc>
          <w:tcPr>
            <w:tcW w:w="1843" w:type="dxa"/>
          </w:tcPr>
          <w:p>
            <w:pPr>
              <w:spacing w:line="360" w:lineRule="auto"/>
              <w:rPr>
                <w:szCs w:val="21"/>
              </w:rPr>
            </w:pPr>
            <w:r>
              <w:rPr>
                <w:rFonts w:hint="eastAsia"/>
                <w:szCs w:val="21"/>
              </w:rPr>
              <w:t>1套</w:t>
            </w:r>
          </w:p>
        </w:tc>
        <w:tc>
          <w:tcPr>
            <w:tcW w:w="2552" w:type="dxa"/>
          </w:tcPr>
          <w:p>
            <w:pPr>
              <w:spacing w:line="360" w:lineRule="auto"/>
              <w:rPr>
                <w:szCs w:val="21"/>
              </w:rPr>
            </w:pPr>
            <w:r>
              <w:rPr>
                <w:szCs w:val="21"/>
              </w:rPr>
              <w:t>同上</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830" w:type="dxa"/>
          </w:tcPr>
          <w:p>
            <w:pPr>
              <w:spacing w:line="360" w:lineRule="auto"/>
              <w:rPr>
                <w:szCs w:val="21"/>
              </w:rPr>
            </w:pPr>
            <w:r>
              <w:rPr>
                <w:rFonts w:hint="eastAsia"/>
                <w:szCs w:val="21"/>
              </w:rPr>
              <w:t>黑金砂花岗石</w:t>
            </w:r>
            <w:r>
              <w:rPr>
                <w:szCs w:val="21"/>
              </w:rPr>
              <w:t>洗手台（含洗手盆</w:t>
            </w:r>
            <w:r>
              <w:rPr>
                <w:rFonts w:hint="eastAsia"/>
                <w:szCs w:val="21"/>
              </w:rPr>
              <w:t>1个</w:t>
            </w:r>
            <w:r>
              <w:rPr>
                <w:szCs w:val="21"/>
              </w:rPr>
              <w:t>）</w:t>
            </w:r>
          </w:p>
        </w:tc>
        <w:tc>
          <w:tcPr>
            <w:tcW w:w="1843" w:type="dxa"/>
          </w:tcPr>
          <w:p>
            <w:pPr>
              <w:spacing w:line="360" w:lineRule="auto"/>
              <w:rPr>
                <w:szCs w:val="21"/>
              </w:rPr>
            </w:pPr>
            <w:r>
              <w:rPr>
                <w:rFonts w:hint="eastAsia"/>
                <w:szCs w:val="21"/>
              </w:rPr>
              <w:t>1套</w:t>
            </w:r>
          </w:p>
        </w:tc>
        <w:tc>
          <w:tcPr>
            <w:tcW w:w="2552" w:type="dxa"/>
          </w:tcPr>
          <w:p>
            <w:pPr>
              <w:spacing w:line="360" w:lineRule="auto"/>
              <w:rPr>
                <w:szCs w:val="21"/>
              </w:rPr>
            </w:pPr>
            <w:r>
              <w:rPr>
                <w:szCs w:val="21"/>
              </w:rPr>
              <w:t>同上</w:t>
            </w:r>
          </w:p>
        </w:tc>
      </w:tr>
    </w:tbl>
    <w:p>
      <w:pPr>
        <w:pStyle w:val="201"/>
        <w:adjustRightInd w:val="0"/>
        <w:snapToGrid w:val="0"/>
        <w:spacing w:line="360" w:lineRule="auto"/>
        <w:rPr>
          <w:rFonts w:ascii="Times New Roman" w:hAnsi="Times New Roman" w:eastAsia="宋体"/>
          <w:color w:val="000000" w:themeColor="text1"/>
          <w:sz w:val="21"/>
          <w:szCs w:val="21"/>
          <w14:textFill>
            <w14:solidFill>
              <w14:schemeClr w14:val="tx1"/>
            </w14:solidFill>
          </w14:textFill>
        </w:rPr>
      </w:pPr>
    </w:p>
    <w:p>
      <w:pPr>
        <w:pStyle w:val="2"/>
        <w:snapToGrid/>
        <w:spacing w:before="0" w:beforeLines="0" w:line="480" w:lineRule="auto"/>
        <w:rPr>
          <w:rFonts w:ascii="黑体" w:eastAsia="黑体"/>
          <w:color w:val="000000" w:themeColor="text1"/>
          <w14:textFill>
            <w14:solidFill>
              <w14:schemeClr w14:val="tx1"/>
            </w14:solidFill>
          </w14:textFill>
        </w:rPr>
      </w:pPr>
      <w:bookmarkStart w:id="18" w:name="_Toc177995322"/>
      <w:r>
        <w:rPr>
          <w:rFonts w:hint="eastAsia" w:ascii="黑体" w:eastAsia="黑体"/>
          <w:color w:val="000000" w:themeColor="text1"/>
          <w14:textFill>
            <w14:solidFill>
              <w14:schemeClr w14:val="tx1"/>
            </w14:solidFill>
          </w14:textFill>
        </w:rPr>
        <w:t>应遵循的主要标准</w:t>
      </w:r>
      <w:bookmarkEnd w:id="18"/>
    </w:p>
    <w:p>
      <w:pPr>
        <w:pStyle w:val="201"/>
        <w:adjustRightInd w:val="0"/>
        <w:snapToGrid w:val="0"/>
        <w:spacing w:line="360" w:lineRule="auto"/>
        <w:rPr>
          <w:rFonts w:ascii="Times New Roman" w:hAnsi="Times New Roman" w:eastAsia="宋体"/>
          <w:color w:val="000000" w:themeColor="text1"/>
          <w:sz w:val="21"/>
          <w:szCs w:val="21"/>
          <w14:textFill>
            <w14:solidFill>
              <w14:schemeClr w14:val="tx1"/>
            </w14:solidFill>
          </w14:textFill>
        </w:rPr>
      </w:pPr>
      <w:bookmarkStart w:id="19" w:name="_Toc279769035"/>
      <w:r>
        <w:rPr>
          <w:rFonts w:hint="eastAsia" w:ascii="Times New Roman" w:hAnsi="Times New Roman" w:eastAsia="宋体"/>
          <w:color w:val="000000" w:themeColor="text1"/>
          <w:sz w:val="21"/>
          <w:szCs w:val="21"/>
          <w14:textFill>
            <w14:solidFill>
              <w14:schemeClr w14:val="tx1"/>
            </w14:solidFill>
          </w14:textFill>
        </w:rPr>
        <w:t>下列标准所包含的条文</w:t>
      </w:r>
      <w:r>
        <w:rPr>
          <w:rFonts w:ascii="Times New Roman" w:hAnsi="Times New Roman" w:eastAsia="宋体"/>
          <w:color w:val="000000" w:themeColor="text1"/>
          <w:sz w:val="21"/>
          <w:szCs w:val="21"/>
          <w14:textFill>
            <w14:solidFill>
              <w14:schemeClr w14:val="tx1"/>
            </w14:solidFill>
          </w14:textFill>
        </w:rPr>
        <w:t xml:space="preserve">, </w:t>
      </w:r>
      <w:r>
        <w:rPr>
          <w:rFonts w:hint="eastAsia" w:ascii="Times New Roman" w:hAnsi="Times New Roman" w:eastAsia="宋体"/>
          <w:color w:val="000000" w:themeColor="text1"/>
          <w:sz w:val="21"/>
          <w:szCs w:val="21"/>
          <w14:textFill>
            <w14:solidFill>
              <w14:schemeClr w14:val="tx1"/>
            </w14:solidFill>
          </w14:textFill>
        </w:rPr>
        <w:t>通过在本技术协议书中引用而构成本技术协议书的基本条文。在本技术协议书出版时</w:t>
      </w:r>
      <w:r>
        <w:rPr>
          <w:rFonts w:ascii="Times New Roman" w:hAnsi="Times New Roman" w:eastAsia="宋体"/>
          <w:color w:val="000000" w:themeColor="text1"/>
          <w:sz w:val="21"/>
          <w:szCs w:val="21"/>
          <w14:textFill>
            <w14:solidFill>
              <w14:schemeClr w14:val="tx1"/>
            </w14:solidFill>
          </w14:textFill>
        </w:rPr>
        <w:t xml:space="preserve">, </w:t>
      </w:r>
      <w:r>
        <w:rPr>
          <w:rFonts w:hint="eastAsia" w:ascii="Times New Roman" w:hAnsi="Times New Roman" w:eastAsia="宋体"/>
          <w:color w:val="000000" w:themeColor="text1"/>
          <w:sz w:val="21"/>
          <w:szCs w:val="21"/>
          <w14:textFill>
            <w14:solidFill>
              <w14:schemeClr w14:val="tx1"/>
            </w14:solidFill>
          </w14:textFill>
        </w:rPr>
        <w:t>所示版本均为有效。所有标准都会被修订</w:t>
      </w:r>
      <w:r>
        <w:rPr>
          <w:rFonts w:ascii="Times New Roman" w:hAnsi="Times New Roman" w:eastAsia="宋体"/>
          <w:color w:val="000000" w:themeColor="text1"/>
          <w:sz w:val="21"/>
          <w:szCs w:val="21"/>
          <w14:textFill>
            <w14:solidFill>
              <w14:schemeClr w14:val="tx1"/>
            </w14:solidFill>
          </w14:textFill>
        </w:rPr>
        <w:t xml:space="preserve">, </w:t>
      </w:r>
      <w:r>
        <w:rPr>
          <w:rFonts w:hint="eastAsia" w:ascii="Times New Roman" w:hAnsi="Times New Roman" w:eastAsia="宋体"/>
          <w:color w:val="000000" w:themeColor="text1"/>
          <w:sz w:val="21"/>
          <w:szCs w:val="21"/>
          <w14:textFill>
            <w14:solidFill>
              <w14:schemeClr w14:val="tx1"/>
            </w14:solidFill>
          </w14:textFill>
        </w:rPr>
        <w:t>使用本技术协议书的各方应探讨使用下列标准最新版本的可能性。</w:t>
      </w:r>
    </w:p>
    <w:p>
      <w:pPr>
        <w:pStyle w:val="201"/>
        <w:adjustRightInd w:val="0"/>
        <w:snapToGrid w:val="0"/>
        <w:spacing w:line="360" w:lineRule="auto"/>
        <w:rPr>
          <w:rFonts w:ascii="Times New Roman" w:hAnsi="Times New Roman" w:eastAsia="宋体"/>
          <w:color w:val="000000" w:themeColor="text1"/>
          <w:sz w:val="21"/>
          <w:szCs w:val="21"/>
          <w14:textFill>
            <w14:solidFill>
              <w14:schemeClr w14:val="tx1"/>
            </w14:solidFill>
          </w14:textFill>
        </w:rPr>
      </w:pPr>
      <w:r>
        <w:rPr>
          <w:rFonts w:ascii="Times New Roman" w:hAnsi="Times New Roman" w:eastAsia="宋体"/>
          <w:color w:val="000000" w:themeColor="text1"/>
          <w:sz w:val="21"/>
          <w:szCs w:val="21"/>
          <w14:textFill>
            <w14:solidFill>
              <w14:schemeClr w14:val="tx1"/>
            </w14:solidFill>
          </w14:textFill>
        </w:rPr>
        <w:t>GB/T17467</w:t>
      </w:r>
      <w:r>
        <w:rPr>
          <w:rFonts w:hint="eastAsia" w:ascii="Times New Roman" w:hAnsi="Times New Roman" w:eastAsia="宋体"/>
          <w:color w:val="000000" w:themeColor="text1"/>
          <w:sz w:val="21"/>
          <w:szCs w:val="21"/>
          <w14:textFill>
            <w14:solidFill>
              <w14:schemeClr w14:val="tx1"/>
            </w14:solidFill>
          </w14:textFill>
        </w:rPr>
        <w:t>—</w:t>
      </w:r>
      <w:r>
        <w:rPr>
          <w:rFonts w:ascii="Times New Roman" w:hAnsi="Times New Roman" w:eastAsia="宋体"/>
          <w:color w:val="000000" w:themeColor="text1"/>
          <w:sz w:val="21"/>
          <w:szCs w:val="21"/>
          <w14:textFill>
            <w14:solidFill>
              <w14:schemeClr w14:val="tx1"/>
            </w14:solidFill>
          </w14:textFill>
        </w:rPr>
        <w:t xml:space="preserve">2020         </w:t>
      </w:r>
      <w:r>
        <w:rPr>
          <w:rFonts w:hint="eastAsia" w:ascii="Times New Roman" w:hAnsi="Times New Roman" w:eastAsia="宋体"/>
          <w:color w:val="000000" w:themeColor="text1"/>
          <w:sz w:val="21"/>
          <w:szCs w:val="21"/>
          <w14:textFill>
            <w14:solidFill>
              <w14:schemeClr w14:val="tx1"/>
            </w14:solidFill>
          </w14:textFill>
        </w:rPr>
        <w:t>《高压低压预装式变电站》</w:t>
      </w:r>
      <w:r>
        <w:rPr>
          <w:rFonts w:ascii="Times New Roman" w:hAnsi="Times New Roman" w:eastAsia="宋体"/>
          <w:color w:val="000000" w:themeColor="text1"/>
          <w:sz w:val="21"/>
          <w:szCs w:val="21"/>
          <w14:textFill>
            <w14:solidFill>
              <w14:schemeClr w14:val="tx1"/>
            </w14:solidFill>
          </w14:textFill>
        </w:rPr>
        <w:t xml:space="preserve">   </w:t>
      </w:r>
    </w:p>
    <w:p>
      <w:pPr>
        <w:pStyle w:val="201"/>
        <w:adjustRightInd w:val="0"/>
        <w:snapToGrid w:val="0"/>
        <w:spacing w:line="360" w:lineRule="auto"/>
        <w:rPr>
          <w:rFonts w:ascii="Times New Roman" w:hAnsi="Times New Roman" w:eastAsia="宋体"/>
          <w:color w:val="000000" w:themeColor="text1"/>
          <w:sz w:val="21"/>
          <w:szCs w:val="21"/>
          <w14:textFill>
            <w14:solidFill>
              <w14:schemeClr w14:val="tx1"/>
            </w14:solidFill>
          </w14:textFill>
        </w:rPr>
      </w:pPr>
      <w:r>
        <w:rPr>
          <w:rFonts w:ascii="Times New Roman" w:hAnsi="Times New Roman" w:eastAsia="宋体"/>
          <w:color w:val="000000" w:themeColor="text1"/>
          <w:sz w:val="21"/>
          <w:szCs w:val="21"/>
          <w14:textFill>
            <w14:solidFill>
              <w14:schemeClr w14:val="tx1"/>
            </w14:solidFill>
          </w14:textFill>
        </w:rPr>
        <w:t xml:space="preserve">GB/T 20138-2006      </w:t>
      </w:r>
      <w:r>
        <w:rPr>
          <w:rFonts w:hint="eastAsia" w:ascii="Times New Roman" w:hAnsi="Times New Roman" w:eastAsia="宋体"/>
          <w:color w:val="000000" w:themeColor="text1"/>
          <w:sz w:val="21"/>
          <w:szCs w:val="21"/>
          <w14:textFill>
            <w14:solidFill>
              <w14:schemeClr w14:val="tx1"/>
            </w14:solidFill>
          </w14:textFill>
        </w:rPr>
        <w:t>《电器设备外壳对外界机械碰撞的防护等级</w:t>
      </w:r>
      <w:r>
        <w:rPr>
          <w:rFonts w:ascii="Times New Roman" w:hAnsi="Times New Roman" w:eastAsia="宋体"/>
          <w:color w:val="000000" w:themeColor="text1"/>
          <w:sz w:val="21"/>
          <w:szCs w:val="21"/>
          <w14:textFill>
            <w14:solidFill>
              <w14:schemeClr w14:val="tx1"/>
            </w14:solidFill>
          </w14:textFill>
        </w:rPr>
        <w:t>(IK</w:t>
      </w:r>
      <w:r>
        <w:rPr>
          <w:rFonts w:hint="eastAsia" w:ascii="Times New Roman" w:hAnsi="Times New Roman" w:eastAsia="宋体"/>
          <w:color w:val="000000" w:themeColor="text1"/>
          <w:sz w:val="21"/>
          <w:szCs w:val="21"/>
          <w14:textFill>
            <w14:solidFill>
              <w14:schemeClr w14:val="tx1"/>
            </w14:solidFill>
          </w14:textFill>
        </w:rPr>
        <w:t>代码</w:t>
      </w:r>
      <w:r>
        <w:rPr>
          <w:rFonts w:ascii="Times New Roman" w:hAnsi="Times New Roman" w:eastAsia="宋体"/>
          <w:color w:val="000000" w:themeColor="text1"/>
          <w:sz w:val="21"/>
          <w:szCs w:val="21"/>
          <w14:textFill>
            <w14:solidFill>
              <w14:schemeClr w14:val="tx1"/>
            </w14:solidFill>
          </w14:textFill>
        </w:rPr>
        <w:t xml:space="preserve">) </w:t>
      </w:r>
      <w:r>
        <w:rPr>
          <w:rFonts w:hint="eastAsia" w:ascii="Times New Roman" w:hAnsi="Times New Roman" w:eastAsia="宋体"/>
          <w:color w:val="000000" w:themeColor="text1"/>
          <w:sz w:val="21"/>
          <w:szCs w:val="21"/>
          <w14:textFill>
            <w14:solidFill>
              <w14:schemeClr w14:val="tx1"/>
            </w14:solidFill>
          </w14:textFill>
        </w:rPr>
        <w:t>》</w:t>
      </w:r>
    </w:p>
    <w:p>
      <w:pPr>
        <w:pStyle w:val="201"/>
        <w:adjustRightInd w:val="0"/>
        <w:snapToGrid w:val="0"/>
        <w:spacing w:line="360" w:lineRule="auto"/>
        <w:rPr>
          <w:rFonts w:ascii="Times New Roman" w:hAnsi="Times New Roman" w:eastAsia="宋体"/>
          <w:color w:val="000000" w:themeColor="text1"/>
          <w:sz w:val="21"/>
          <w:szCs w:val="21"/>
          <w14:textFill>
            <w14:solidFill>
              <w14:schemeClr w14:val="tx1"/>
            </w14:solidFill>
          </w14:textFill>
        </w:rPr>
      </w:pPr>
      <w:r>
        <w:rPr>
          <w:rFonts w:ascii="Times New Roman" w:hAnsi="Times New Roman" w:eastAsia="宋体"/>
          <w:color w:val="000000" w:themeColor="text1"/>
          <w:sz w:val="21"/>
          <w:szCs w:val="21"/>
          <w14:textFill>
            <w14:solidFill>
              <w14:schemeClr w14:val="tx1"/>
            </w14:solidFill>
          </w14:textFill>
        </w:rPr>
        <w:t xml:space="preserve">GB50059-2011            </w:t>
      </w:r>
      <w:r>
        <w:rPr>
          <w:rFonts w:hint="eastAsia" w:ascii="Times New Roman" w:hAnsi="Times New Roman" w:eastAsia="宋体"/>
          <w:color w:val="000000" w:themeColor="text1"/>
          <w:sz w:val="21"/>
          <w:szCs w:val="21"/>
          <w14:textFill>
            <w14:solidFill>
              <w14:schemeClr w14:val="tx1"/>
            </w14:solidFill>
          </w14:textFill>
        </w:rPr>
        <w:t>《</w:t>
      </w:r>
      <w:r>
        <w:rPr>
          <w:rFonts w:ascii="Times New Roman" w:hAnsi="Times New Roman" w:eastAsia="宋体"/>
          <w:color w:val="000000" w:themeColor="text1"/>
          <w:sz w:val="21"/>
          <w:szCs w:val="21"/>
          <w14:textFill>
            <w14:solidFill>
              <w14:schemeClr w14:val="tx1"/>
            </w14:solidFill>
          </w14:textFill>
        </w:rPr>
        <w:t>35kV-110kV</w:t>
      </w:r>
      <w:r>
        <w:rPr>
          <w:rFonts w:hint="eastAsia" w:ascii="Times New Roman" w:hAnsi="Times New Roman" w:eastAsia="宋体"/>
          <w:color w:val="000000" w:themeColor="text1"/>
          <w:sz w:val="21"/>
          <w:szCs w:val="21"/>
          <w14:textFill>
            <w14:solidFill>
              <w14:schemeClr w14:val="tx1"/>
            </w14:solidFill>
          </w14:textFill>
        </w:rPr>
        <w:t>变电站设计规范》</w:t>
      </w:r>
    </w:p>
    <w:p>
      <w:pPr>
        <w:pStyle w:val="201"/>
        <w:adjustRightInd w:val="0"/>
        <w:snapToGrid w:val="0"/>
        <w:spacing w:line="360" w:lineRule="auto"/>
        <w:rPr>
          <w:rFonts w:ascii="Times New Roman" w:hAnsi="Times New Roman" w:eastAsia="宋体"/>
          <w:color w:val="000000" w:themeColor="text1"/>
          <w:sz w:val="21"/>
          <w:szCs w:val="21"/>
          <w14:textFill>
            <w14:solidFill>
              <w14:schemeClr w14:val="tx1"/>
            </w14:solidFill>
          </w14:textFill>
        </w:rPr>
      </w:pPr>
      <w:r>
        <w:rPr>
          <w:rFonts w:ascii="Times New Roman" w:hAnsi="Times New Roman" w:eastAsia="宋体"/>
          <w:color w:val="000000" w:themeColor="text1"/>
          <w:sz w:val="21"/>
          <w:szCs w:val="21"/>
          <w14:textFill>
            <w14:solidFill>
              <w14:schemeClr w14:val="tx1"/>
            </w14:solidFill>
          </w14:textFill>
        </w:rPr>
        <w:t xml:space="preserve">GB50063-2011            </w:t>
      </w:r>
      <w:r>
        <w:rPr>
          <w:rFonts w:hint="eastAsia" w:ascii="Times New Roman" w:hAnsi="Times New Roman" w:eastAsia="宋体"/>
          <w:color w:val="000000" w:themeColor="text1"/>
          <w:sz w:val="21"/>
          <w:szCs w:val="21"/>
          <w14:textFill>
            <w14:solidFill>
              <w14:schemeClr w14:val="tx1"/>
            </w14:solidFill>
          </w14:textFill>
        </w:rPr>
        <w:t>《交流电气装置的接地设计规范》</w:t>
      </w:r>
    </w:p>
    <w:p>
      <w:pPr>
        <w:pStyle w:val="201"/>
        <w:adjustRightInd w:val="0"/>
        <w:snapToGrid w:val="0"/>
        <w:spacing w:line="360" w:lineRule="auto"/>
        <w:rPr>
          <w:rFonts w:ascii="Times New Roman" w:hAnsi="Times New Roman" w:eastAsia="宋体"/>
          <w:color w:val="000000" w:themeColor="text1"/>
          <w:sz w:val="21"/>
          <w:szCs w:val="21"/>
          <w14:textFill>
            <w14:solidFill>
              <w14:schemeClr w14:val="tx1"/>
            </w14:solidFill>
          </w14:textFill>
        </w:rPr>
      </w:pPr>
      <w:r>
        <w:rPr>
          <w:rFonts w:ascii="Times New Roman" w:hAnsi="Times New Roman" w:eastAsia="宋体"/>
          <w:color w:val="000000" w:themeColor="text1"/>
          <w:sz w:val="21"/>
          <w:szCs w:val="21"/>
          <w14:textFill>
            <w14:solidFill>
              <w14:schemeClr w14:val="tx1"/>
            </w14:solidFill>
          </w14:textFill>
        </w:rPr>
        <w:t xml:space="preserve">GB50217-2018            </w:t>
      </w:r>
      <w:r>
        <w:rPr>
          <w:rFonts w:hint="eastAsia" w:ascii="Times New Roman" w:hAnsi="Times New Roman" w:eastAsia="宋体"/>
          <w:color w:val="000000" w:themeColor="text1"/>
          <w:sz w:val="21"/>
          <w:szCs w:val="21"/>
          <w14:textFill>
            <w14:solidFill>
              <w14:schemeClr w14:val="tx1"/>
            </w14:solidFill>
          </w14:textFill>
        </w:rPr>
        <w:t>《电力工程电缆设计规范》</w:t>
      </w:r>
    </w:p>
    <w:p>
      <w:pPr>
        <w:pStyle w:val="201"/>
        <w:adjustRightInd w:val="0"/>
        <w:snapToGrid w:val="0"/>
        <w:spacing w:line="360" w:lineRule="auto"/>
        <w:rPr>
          <w:rFonts w:ascii="Times New Roman" w:hAnsi="Times New Roman" w:eastAsia="宋体"/>
          <w:color w:val="000000" w:themeColor="text1"/>
          <w:sz w:val="21"/>
          <w:szCs w:val="21"/>
          <w14:textFill>
            <w14:solidFill>
              <w14:schemeClr w14:val="tx1"/>
            </w14:solidFill>
          </w14:textFill>
        </w:rPr>
      </w:pPr>
      <w:r>
        <w:rPr>
          <w:rFonts w:ascii="Times New Roman" w:hAnsi="Times New Roman" w:eastAsia="宋体"/>
          <w:color w:val="000000" w:themeColor="text1"/>
          <w:sz w:val="21"/>
          <w:szCs w:val="21"/>
          <w14:textFill>
            <w14:solidFill>
              <w14:schemeClr w14:val="tx1"/>
            </w14:solidFill>
          </w14:textFill>
        </w:rPr>
        <w:t xml:space="preserve">GB50060-2008            </w:t>
      </w:r>
      <w:r>
        <w:rPr>
          <w:rFonts w:hint="eastAsia" w:ascii="Times New Roman" w:hAnsi="Times New Roman" w:eastAsia="宋体"/>
          <w:color w:val="000000" w:themeColor="text1"/>
          <w:sz w:val="21"/>
          <w:szCs w:val="21"/>
          <w14:textFill>
            <w14:solidFill>
              <w14:schemeClr w14:val="tx1"/>
            </w14:solidFill>
          </w14:textFill>
        </w:rPr>
        <w:t>《</w:t>
      </w:r>
      <w:r>
        <w:rPr>
          <w:rFonts w:ascii="Times New Roman" w:hAnsi="Times New Roman" w:eastAsia="宋体"/>
          <w:color w:val="000000" w:themeColor="text1"/>
          <w:sz w:val="21"/>
          <w:szCs w:val="21"/>
          <w14:textFill>
            <w14:solidFill>
              <w14:schemeClr w14:val="tx1"/>
            </w14:solidFill>
          </w14:textFill>
        </w:rPr>
        <w:t>3-110kV</w:t>
      </w:r>
      <w:r>
        <w:rPr>
          <w:rFonts w:hint="eastAsia" w:ascii="Times New Roman" w:hAnsi="Times New Roman" w:eastAsia="宋体"/>
          <w:color w:val="000000" w:themeColor="text1"/>
          <w:sz w:val="21"/>
          <w:szCs w:val="21"/>
          <w14:textFill>
            <w14:solidFill>
              <w14:schemeClr w14:val="tx1"/>
            </w14:solidFill>
          </w14:textFill>
        </w:rPr>
        <w:t>高压配电装置设计规范》</w:t>
      </w:r>
    </w:p>
    <w:p>
      <w:pPr>
        <w:pStyle w:val="201"/>
        <w:adjustRightInd w:val="0"/>
        <w:snapToGrid w:val="0"/>
        <w:spacing w:line="360" w:lineRule="auto"/>
        <w:rPr>
          <w:rFonts w:ascii="Times New Roman" w:hAnsi="Times New Roman" w:eastAsia="宋体"/>
          <w:color w:val="000000" w:themeColor="text1"/>
          <w:sz w:val="21"/>
          <w:szCs w:val="21"/>
          <w14:textFill>
            <w14:solidFill>
              <w14:schemeClr w14:val="tx1"/>
            </w14:solidFill>
          </w14:textFill>
        </w:rPr>
      </w:pPr>
      <w:r>
        <w:rPr>
          <w:rFonts w:ascii="Times New Roman" w:hAnsi="Times New Roman" w:eastAsia="宋体"/>
          <w:color w:val="000000" w:themeColor="text1"/>
          <w:sz w:val="21"/>
          <w:szCs w:val="21"/>
          <w14:textFill>
            <w14:solidFill>
              <w14:schemeClr w14:val="tx1"/>
            </w14:solidFill>
          </w14:textFill>
        </w:rPr>
        <w:t xml:space="preserve">GB 50116-2014           </w:t>
      </w:r>
      <w:r>
        <w:rPr>
          <w:rFonts w:hint="eastAsia" w:ascii="Times New Roman" w:hAnsi="Times New Roman" w:eastAsia="宋体"/>
          <w:color w:val="000000" w:themeColor="text1"/>
          <w:sz w:val="21"/>
          <w:szCs w:val="21"/>
          <w14:textFill>
            <w14:solidFill>
              <w14:schemeClr w14:val="tx1"/>
            </w14:solidFill>
          </w14:textFill>
        </w:rPr>
        <w:t>《火灾自动报警系统设计规范》</w:t>
      </w:r>
    </w:p>
    <w:p>
      <w:pPr>
        <w:pStyle w:val="201"/>
        <w:adjustRightInd w:val="0"/>
        <w:snapToGrid w:val="0"/>
        <w:spacing w:line="360" w:lineRule="auto"/>
        <w:rPr>
          <w:rFonts w:ascii="Times New Roman" w:hAnsi="Times New Roman" w:eastAsia="宋体"/>
          <w:color w:val="000000" w:themeColor="text1"/>
          <w:sz w:val="21"/>
          <w:szCs w:val="21"/>
          <w14:textFill>
            <w14:solidFill>
              <w14:schemeClr w14:val="tx1"/>
            </w14:solidFill>
          </w14:textFill>
        </w:rPr>
      </w:pPr>
      <w:r>
        <w:rPr>
          <w:rFonts w:ascii="Times New Roman" w:hAnsi="Times New Roman" w:eastAsia="宋体"/>
          <w:color w:val="000000" w:themeColor="text1"/>
          <w:sz w:val="21"/>
          <w:szCs w:val="21"/>
          <w14:textFill>
            <w14:solidFill>
              <w14:schemeClr w14:val="tx1"/>
            </w14:solidFill>
          </w14:textFill>
        </w:rPr>
        <w:t xml:space="preserve">GB/T 50065-2011         </w:t>
      </w:r>
      <w:r>
        <w:rPr>
          <w:rFonts w:hint="eastAsia" w:ascii="Times New Roman" w:hAnsi="Times New Roman" w:eastAsia="宋体"/>
          <w:color w:val="000000" w:themeColor="text1"/>
          <w:sz w:val="21"/>
          <w:szCs w:val="21"/>
          <w14:textFill>
            <w14:solidFill>
              <w14:schemeClr w14:val="tx1"/>
            </w14:solidFill>
          </w14:textFill>
        </w:rPr>
        <w:t>《交流电气装置的接地设计规范》</w:t>
      </w:r>
    </w:p>
    <w:p>
      <w:pPr>
        <w:pStyle w:val="201"/>
        <w:adjustRightInd w:val="0"/>
        <w:snapToGrid w:val="0"/>
        <w:spacing w:line="360" w:lineRule="auto"/>
        <w:rPr>
          <w:rFonts w:ascii="Times New Roman" w:hAnsi="Times New Roman" w:eastAsia="宋体"/>
          <w:color w:val="000000" w:themeColor="text1"/>
          <w:sz w:val="21"/>
          <w:szCs w:val="21"/>
          <w14:textFill>
            <w14:solidFill>
              <w14:schemeClr w14:val="tx1"/>
            </w14:solidFill>
          </w14:textFill>
        </w:rPr>
      </w:pPr>
      <w:r>
        <w:rPr>
          <w:rFonts w:ascii="Times New Roman" w:hAnsi="Times New Roman" w:eastAsia="宋体"/>
          <w:color w:val="000000" w:themeColor="text1"/>
          <w:sz w:val="21"/>
          <w:szCs w:val="21"/>
          <w14:textFill>
            <w14:solidFill>
              <w14:schemeClr w14:val="tx1"/>
            </w14:solidFill>
          </w14:textFill>
        </w:rPr>
        <w:t xml:space="preserve">GB 50229-2019           </w:t>
      </w:r>
      <w:r>
        <w:rPr>
          <w:rFonts w:hint="eastAsia" w:ascii="Times New Roman" w:hAnsi="Times New Roman" w:eastAsia="宋体"/>
          <w:color w:val="000000" w:themeColor="text1"/>
          <w:sz w:val="21"/>
          <w:szCs w:val="21"/>
          <w14:textFill>
            <w14:solidFill>
              <w14:schemeClr w14:val="tx1"/>
            </w14:solidFill>
          </w14:textFill>
        </w:rPr>
        <w:t>《火力发电厂与变电站设计防火规范》</w:t>
      </w:r>
    </w:p>
    <w:p>
      <w:pPr>
        <w:pStyle w:val="201"/>
        <w:adjustRightInd w:val="0"/>
        <w:snapToGrid w:val="0"/>
        <w:spacing w:line="360" w:lineRule="auto"/>
        <w:rPr>
          <w:rFonts w:ascii="Times New Roman" w:hAnsi="Times New Roman" w:eastAsia="宋体"/>
          <w:color w:val="000000" w:themeColor="text1"/>
          <w:sz w:val="21"/>
          <w:szCs w:val="21"/>
          <w14:textFill>
            <w14:solidFill>
              <w14:schemeClr w14:val="tx1"/>
            </w14:solidFill>
          </w14:textFill>
        </w:rPr>
      </w:pPr>
      <w:r>
        <w:rPr>
          <w:rFonts w:ascii="Times New Roman" w:hAnsi="Times New Roman" w:eastAsia="宋体"/>
          <w:color w:val="000000" w:themeColor="text1"/>
          <w:sz w:val="21"/>
          <w:szCs w:val="21"/>
          <w14:textFill>
            <w14:solidFill>
              <w14:schemeClr w14:val="tx1"/>
            </w14:solidFill>
          </w14:textFill>
        </w:rPr>
        <w:t xml:space="preserve">GB 50016-2014           </w:t>
      </w:r>
      <w:r>
        <w:rPr>
          <w:rFonts w:hint="eastAsia" w:ascii="Times New Roman" w:hAnsi="Times New Roman" w:eastAsia="宋体"/>
          <w:color w:val="000000" w:themeColor="text1"/>
          <w:sz w:val="21"/>
          <w:szCs w:val="21"/>
          <w14:textFill>
            <w14:solidFill>
              <w14:schemeClr w14:val="tx1"/>
            </w14:solidFill>
          </w14:textFill>
        </w:rPr>
        <w:t>《建筑设计防火规范》</w:t>
      </w:r>
    </w:p>
    <w:p>
      <w:pPr>
        <w:pStyle w:val="201"/>
        <w:adjustRightInd w:val="0"/>
        <w:snapToGrid w:val="0"/>
        <w:spacing w:line="360" w:lineRule="auto"/>
        <w:rPr>
          <w:rFonts w:ascii="Times New Roman" w:hAnsi="Times New Roman" w:eastAsia="宋体"/>
          <w:color w:val="000000" w:themeColor="text1"/>
          <w:sz w:val="21"/>
          <w:szCs w:val="21"/>
          <w14:textFill>
            <w14:solidFill>
              <w14:schemeClr w14:val="tx1"/>
            </w14:solidFill>
          </w14:textFill>
        </w:rPr>
      </w:pPr>
      <w:r>
        <w:rPr>
          <w:rFonts w:ascii="Times New Roman" w:hAnsi="Times New Roman" w:eastAsia="宋体"/>
          <w:color w:val="000000" w:themeColor="text1"/>
          <w:sz w:val="21"/>
          <w:szCs w:val="21"/>
          <w14:textFill>
            <w14:solidFill>
              <w14:schemeClr w14:val="tx1"/>
            </w14:solidFill>
          </w14:textFill>
        </w:rPr>
        <w:t xml:space="preserve">GB 50011-2010           </w:t>
      </w:r>
      <w:r>
        <w:rPr>
          <w:rFonts w:hint="eastAsia" w:ascii="Times New Roman" w:hAnsi="Times New Roman" w:eastAsia="宋体"/>
          <w:color w:val="000000" w:themeColor="text1"/>
          <w:sz w:val="21"/>
          <w:szCs w:val="21"/>
          <w14:textFill>
            <w14:solidFill>
              <w14:schemeClr w14:val="tx1"/>
            </w14:solidFill>
          </w14:textFill>
        </w:rPr>
        <w:t>《建筑抗震设计规范》</w:t>
      </w:r>
    </w:p>
    <w:p>
      <w:pPr>
        <w:pStyle w:val="201"/>
        <w:adjustRightInd w:val="0"/>
        <w:snapToGrid w:val="0"/>
        <w:spacing w:line="360" w:lineRule="auto"/>
        <w:rPr>
          <w:rFonts w:ascii="Times New Roman" w:hAnsi="Times New Roman" w:eastAsia="宋体"/>
          <w:color w:val="000000" w:themeColor="text1"/>
          <w:sz w:val="21"/>
          <w:szCs w:val="21"/>
          <w14:textFill>
            <w14:solidFill>
              <w14:schemeClr w14:val="tx1"/>
            </w14:solidFill>
          </w14:textFill>
        </w:rPr>
      </w:pPr>
      <w:r>
        <w:rPr>
          <w:rFonts w:ascii="Times New Roman" w:hAnsi="Times New Roman" w:eastAsia="宋体"/>
          <w:color w:val="000000" w:themeColor="text1"/>
          <w:sz w:val="21"/>
          <w:szCs w:val="21"/>
          <w14:textFill>
            <w14:solidFill>
              <w14:schemeClr w14:val="tx1"/>
            </w14:solidFill>
          </w14:textFill>
        </w:rPr>
        <w:t xml:space="preserve">GB/T 700-2006          </w:t>
      </w:r>
      <w:r>
        <w:rPr>
          <w:rFonts w:hint="eastAsia" w:ascii="Times New Roman" w:hAnsi="Times New Roman" w:eastAsia="宋体"/>
          <w:color w:val="000000" w:themeColor="text1"/>
          <w:sz w:val="21"/>
          <w:szCs w:val="21"/>
          <w14:textFill>
            <w14:solidFill>
              <w14:schemeClr w14:val="tx1"/>
            </w14:solidFill>
          </w14:textFill>
        </w:rPr>
        <w:t>《碳素结构钢</w:t>
      </w:r>
      <w:r>
        <w:rPr>
          <w:rFonts w:ascii="Times New Roman" w:hAnsi="Times New Roman" w:eastAsia="宋体"/>
          <w:color w:val="000000" w:themeColor="text1"/>
          <w:sz w:val="21"/>
          <w:szCs w:val="21"/>
          <w14:textFill>
            <w14:solidFill>
              <w14:schemeClr w14:val="tx1"/>
            </w14:solidFill>
          </w14:textFill>
        </w:rPr>
        <w:t xml:space="preserve"> </w:t>
      </w:r>
      <w:r>
        <w:rPr>
          <w:rFonts w:hint="eastAsia" w:ascii="Times New Roman" w:hAnsi="Times New Roman" w:eastAsia="宋体"/>
          <w:color w:val="000000" w:themeColor="text1"/>
          <w:sz w:val="21"/>
          <w:szCs w:val="21"/>
          <w14:textFill>
            <w14:solidFill>
              <w14:schemeClr w14:val="tx1"/>
            </w14:solidFill>
          </w14:textFill>
        </w:rPr>
        <w:t>》</w:t>
      </w:r>
    </w:p>
    <w:p>
      <w:pPr>
        <w:pStyle w:val="201"/>
        <w:adjustRightInd w:val="0"/>
        <w:snapToGrid w:val="0"/>
        <w:spacing w:line="360" w:lineRule="auto"/>
        <w:rPr>
          <w:rFonts w:ascii="Times New Roman" w:hAnsi="Times New Roman" w:eastAsia="宋体"/>
          <w:color w:val="000000" w:themeColor="text1"/>
          <w:sz w:val="21"/>
          <w:szCs w:val="21"/>
          <w14:textFill>
            <w14:solidFill>
              <w14:schemeClr w14:val="tx1"/>
            </w14:solidFill>
          </w14:textFill>
        </w:rPr>
      </w:pPr>
      <w:r>
        <w:rPr>
          <w:rFonts w:ascii="Times New Roman" w:hAnsi="Times New Roman" w:eastAsia="宋体"/>
          <w:color w:val="000000" w:themeColor="text1"/>
          <w:sz w:val="21"/>
          <w:szCs w:val="21"/>
          <w14:textFill>
            <w14:solidFill>
              <w14:schemeClr w14:val="tx1"/>
            </w14:solidFill>
          </w14:textFill>
        </w:rPr>
        <w:t xml:space="preserve">GB/T 13912-2002     </w:t>
      </w:r>
      <w:r>
        <w:rPr>
          <w:rFonts w:hint="eastAsia" w:ascii="Times New Roman" w:hAnsi="Times New Roman" w:eastAsia="宋体"/>
          <w:color w:val="000000" w:themeColor="text1"/>
          <w:sz w:val="21"/>
          <w:szCs w:val="21"/>
          <w14:textFill>
            <w14:solidFill>
              <w14:schemeClr w14:val="tx1"/>
            </w14:solidFill>
          </w14:textFill>
        </w:rPr>
        <w:t>《金属覆盖层</w:t>
      </w:r>
      <w:r>
        <w:rPr>
          <w:rFonts w:ascii="Times New Roman" w:hAnsi="Times New Roman" w:eastAsia="宋体"/>
          <w:color w:val="000000" w:themeColor="text1"/>
          <w:sz w:val="21"/>
          <w:szCs w:val="21"/>
          <w14:textFill>
            <w14:solidFill>
              <w14:schemeClr w14:val="tx1"/>
            </w14:solidFill>
          </w14:textFill>
        </w:rPr>
        <w:t xml:space="preserve"> </w:t>
      </w:r>
      <w:r>
        <w:rPr>
          <w:rFonts w:hint="eastAsia" w:ascii="Times New Roman" w:hAnsi="Times New Roman" w:eastAsia="宋体"/>
          <w:color w:val="000000" w:themeColor="text1"/>
          <w:sz w:val="21"/>
          <w:szCs w:val="21"/>
          <w14:textFill>
            <w14:solidFill>
              <w14:schemeClr w14:val="tx1"/>
            </w14:solidFill>
          </w14:textFill>
        </w:rPr>
        <w:t>钢铁制件热浸镀锌层技术要求及试验方法》</w:t>
      </w:r>
    </w:p>
    <w:p>
      <w:pPr>
        <w:pStyle w:val="201"/>
        <w:adjustRightInd w:val="0"/>
        <w:snapToGrid w:val="0"/>
        <w:spacing w:line="360" w:lineRule="auto"/>
        <w:rPr>
          <w:rFonts w:ascii="Times New Roman" w:hAnsi="Times New Roman" w:eastAsia="宋体"/>
          <w:color w:val="000000" w:themeColor="text1"/>
          <w:sz w:val="21"/>
          <w:szCs w:val="21"/>
          <w14:textFill>
            <w14:solidFill>
              <w14:schemeClr w14:val="tx1"/>
            </w14:solidFill>
          </w14:textFill>
        </w:rPr>
      </w:pPr>
      <w:r>
        <w:rPr>
          <w:rFonts w:ascii="Times New Roman" w:hAnsi="Times New Roman" w:eastAsia="宋体"/>
          <w:color w:val="000000" w:themeColor="text1"/>
          <w:sz w:val="21"/>
          <w:szCs w:val="21"/>
          <w14:textFill>
            <w14:solidFill>
              <w14:schemeClr w14:val="tx1"/>
            </w14:solidFill>
          </w14:textFill>
        </w:rPr>
        <w:t xml:space="preserve">DL/T 5390-2014          </w:t>
      </w:r>
      <w:r>
        <w:rPr>
          <w:rFonts w:hint="eastAsia" w:ascii="Times New Roman" w:hAnsi="Times New Roman" w:eastAsia="宋体"/>
          <w:color w:val="000000" w:themeColor="text1"/>
          <w:sz w:val="21"/>
          <w:szCs w:val="21"/>
          <w14:textFill>
            <w14:solidFill>
              <w14:schemeClr w14:val="tx1"/>
            </w14:solidFill>
          </w14:textFill>
        </w:rPr>
        <w:t>《发电厂和变电站照明设计技术规定》</w:t>
      </w:r>
    </w:p>
    <w:p>
      <w:pPr>
        <w:pStyle w:val="201"/>
        <w:adjustRightInd w:val="0"/>
        <w:snapToGrid w:val="0"/>
        <w:spacing w:line="360" w:lineRule="auto"/>
        <w:rPr>
          <w:rFonts w:ascii="Times New Roman" w:hAnsi="Times New Roman" w:eastAsia="宋体"/>
          <w:color w:val="000000" w:themeColor="text1"/>
          <w:sz w:val="21"/>
          <w:szCs w:val="21"/>
          <w14:textFill>
            <w14:solidFill>
              <w14:schemeClr w14:val="tx1"/>
            </w14:solidFill>
          </w14:textFill>
        </w:rPr>
      </w:pPr>
      <w:r>
        <w:rPr>
          <w:rFonts w:ascii="Times New Roman" w:hAnsi="Times New Roman" w:eastAsia="宋体"/>
          <w:color w:val="000000" w:themeColor="text1"/>
          <w:sz w:val="21"/>
          <w:szCs w:val="21"/>
          <w14:textFill>
            <w14:solidFill>
              <w14:schemeClr w14:val="tx1"/>
            </w14:solidFill>
          </w14:textFill>
        </w:rPr>
        <w:t xml:space="preserve">DL/T 5035-2019          </w:t>
      </w:r>
      <w:r>
        <w:rPr>
          <w:rFonts w:hint="eastAsia" w:ascii="Times New Roman" w:hAnsi="Times New Roman" w:eastAsia="宋体"/>
          <w:color w:val="000000" w:themeColor="text1"/>
          <w:sz w:val="21"/>
          <w:szCs w:val="21"/>
          <w14:textFill>
            <w14:solidFill>
              <w14:schemeClr w14:val="tx1"/>
            </w14:solidFill>
          </w14:textFill>
        </w:rPr>
        <w:t>《火力发电厂采暖通风与空气调节设计技术规程》</w:t>
      </w:r>
    </w:p>
    <w:p>
      <w:pPr>
        <w:pStyle w:val="201"/>
        <w:adjustRightInd w:val="0"/>
        <w:snapToGrid w:val="0"/>
        <w:spacing w:line="360" w:lineRule="auto"/>
        <w:rPr>
          <w:rFonts w:ascii="Times New Roman" w:hAnsi="Times New Roman" w:eastAsia="宋体"/>
          <w:color w:val="000000" w:themeColor="text1"/>
          <w:sz w:val="21"/>
          <w:szCs w:val="21"/>
          <w14:textFill>
            <w14:solidFill>
              <w14:schemeClr w14:val="tx1"/>
            </w14:solidFill>
          </w14:textFill>
        </w:rPr>
      </w:pPr>
      <w:r>
        <w:rPr>
          <w:rFonts w:ascii="Times New Roman" w:hAnsi="Times New Roman" w:eastAsia="宋体"/>
          <w:color w:val="000000" w:themeColor="text1"/>
          <w:sz w:val="21"/>
          <w:szCs w:val="21"/>
          <w14:textFill>
            <w14:solidFill>
              <w14:schemeClr w14:val="tx1"/>
            </w14:solidFill>
          </w14:textFill>
        </w:rPr>
        <w:t xml:space="preserve">ISO 12944               </w:t>
      </w:r>
      <w:r>
        <w:rPr>
          <w:rFonts w:hint="eastAsia" w:ascii="Times New Roman" w:hAnsi="Times New Roman" w:eastAsia="宋体"/>
          <w:color w:val="000000" w:themeColor="text1"/>
          <w:sz w:val="21"/>
          <w:szCs w:val="21"/>
          <w14:textFill>
            <w14:solidFill>
              <w14:schemeClr w14:val="tx1"/>
            </w14:solidFill>
          </w14:textFill>
        </w:rPr>
        <w:t>《色漆和清漆</w:t>
      </w:r>
      <w:r>
        <w:rPr>
          <w:rFonts w:ascii="Times New Roman" w:hAnsi="Times New Roman" w:eastAsia="宋体"/>
          <w:color w:val="000000" w:themeColor="text1"/>
          <w:sz w:val="21"/>
          <w:szCs w:val="21"/>
          <w14:textFill>
            <w14:solidFill>
              <w14:schemeClr w14:val="tx1"/>
            </w14:solidFill>
          </w14:textFill>
        </w:rPr>
        <w:t xml:space="preserve"> </w:t>
      </w:r>
      <w:r>
        <w:rPr>
          <w:rFonts w:hint="eastAsia" w:ascii="Times New Roman" w:hAnsi="Times New Roman" w:eastAsia="宋体"/>
          <w:color w:val="000000" w:themeColor="text1"/>
          <w:sz w:val="21"/>
          <w:szCs w:val="21"/>
          <w14:textFill>
            <w14:solidFill>
              <w14:schemeClr w14:val="tx1"/>
            </w14:solidFill>
          </w14:textFill>
        </w:rPr>
        <w:t>防护漆体系对钢结构的腐蚀防护》</w:t>
      </w:r>
    </w:p>
    <w:p>
      <w:pPr>
        <w:pStyle w:val="201"/>
        <w:adjustRightInd w:val="0"/>
        <w:snapToGrid w:val="0"/>
        <w:spacing w:line="360" w:lineRule="auto"/>
        <w:rPr>
          <w:rFonts w:ascii="Times New Roman" w:hAnsi="Times New Roman" w:eastAsia="宋体"/>
          <w:color w:val="000000" w:themeColor="text1"/>
          <w:sz w:val="21"/>
          <w:szCs w:val="21"/>
          <w14:textFill>
            <w14:solidFill>
              <w14:schemeClr w14:val="tx1"/>
            </w14:solidFill>
          </w14:textFill>
        </w:rPr>
      </w:pPr>
      <w:r>
        <w:rPr>
          <w:rFonts w:ascii="Times New Roman" w:hAnsi="Times New Roman" w:eastAsia="宋体"/>
          <w:color w:val="000000" w:themeColor="text1"/>
          <w:sz w:val="21"/>
          <w:szCs w:val="21"/>
          <w14:textFill>
            <w14:solidFill>
              <w14:schemeClr w14:val="tx1"/>
            </w14:solidFill>
          </w14:textFill>
        </w:rPr>
        <w:t xml:space="preserve">DL/T5103-2012           </w:t>
      </w:r>
      <w:r>
        <w:rPr>
          <w:rFonts w:hint="eastAsia" w:ascii="Times New Roman" w:hAnsi="Times New Roman" w:eastAsia="宋体"/>
          <w:color w:val="000000" w:themeColor="text1"/>
          <w:sz w:val="21"/>
          <w:szCs w:val="21"/>
          <w14:textFill>
            <w14:solidFill>
              <w14:schemeClr w14:val="tx1"/>
            </w14:solidFill>
          </w14:textFill>
        </w:rPr>
        <w:t>《</w:t>
      </w:r>
      <w:r>
        <w:rPr>
          <w:rFonts w:ascii="Times New Roman" w:hAnsi="Times New Roman" w:eastAsia="宋体"/>
          <w:color w:val="000000" w:themeColor="text1"/>
          <w:sz w:val="21"/>
          <w:szCs w:val="21"/>
          <w14:textFill>
            <w14:solidFill>
              <w14:schemeClr w14:val="tx1"/>
            </w14:solidFill>
          </w14:textFill>
        </w:rPr>
        <w:t>35kV-220kV</w:t>
      </w:r>
      <w:r>
        <w:rPr>
          <w:rFonts w:hint="eastAsia" w:ascii="Times New Roman" w:hAnsi="Times New Roman" w:eastAsia="宋体"/>
          <w:color w:val="000000" w:themeColor="text1"/>
          <w:sz w:val="21"/>
          <w:szCs w:val="21"/>
          <w14:textFill>
            <w14:solidFill>
              <w14:schemeClr w14:val="tx1"/>
            </w14:solidFill>
          </w14:textFill>
        </w:rPr>
        <w:t>无人值班变电所设计规程》</w:t>
      </w:r>
    </w:p>
    <w:p>
      <w:pPr>
        <w:pStyle w:val="201"/>
        <w:adjustRightInd w:val="0"/>
        <w:snapToGrid w:val="0"/>
        <w:spacing w:line="360" w:lineRule="auto"/>
        <w:rPr>
          <w:rFonts w:ascii="Times New Roman" w:hAnsi="Times New Roman" w:eastAsia="宋体"/>
          <w:color w:val="000000" w:themeColor="text1"/>
          <w:sz w:val="21"/>
          <w:szCs w:val="21"/>
          <w14:textFill>
            <w14:solidFill>
              <w14:schemeClr w14:val="tx1"/>
            </w14:solidFill>
          </w14:textFill>
        </w:rPr>
      </w:pPr>
      <w:r>
        <w:rPr>
          <w:rFonts w:ascii="Times New Roman" w:hAnsi="Times New Roman" w:eastAsia="宋体"/>
          <w:color w:val="000000" w:themeColor="text1"/>
          <w:sz w:val="21"/>
          <w:szCs w:val="21"/>
          <w14:textFill>
            <w14:solidFill>
              <w14:schemeClr w14:val="tx1"/>
            </w14:solidFill>
          </w14:textFill>
        </w:rPr>
        <w:t xml:space="preserve">DL/T5027-2015           </w:t>
      </w:r>
      <w:r>
        <w:rPr>
          <w:rFonts w:hint="eastAsia" w:ascii="Times New Roman" w:hAnsi="Times New Roman" w:eastAsia="宋体"/>
          <w:color w:val="000000" w:themeColor="text1"/>
          <w:sz w:val="21"/>
          <w:szCs w:val="21"/>
          <w14:textFill>
            <w14:solidFill>
              <w14:schemeClr w14:val="tx1"/>
            </w14:solidFill>
          </w14:textFill>
        </w:rPr>
        <w:t>《电力设备典型消防规程》</w:t>
      </w:r>
    </w:p>
    <w:p>
      <w:pPr>
        <w:pStyle w:val="201"/>
        <w:adjustRightInd w:val="0"/>
        <w:snapToGrid w:val="0"/>
        <w:spacing w:line="360" w:lineRule="auto"/>
        <w:rPr>
          <w:rFonts w:ascii="Times New Roman" w:hAnsi="Times New Roman" w:eastAsia="宋体"/>
          <w:color w:val="000000" w:themeColor="text1"/>
          <w:sz w:val="21"/>
          <w:szCs w:val="21"/>
          <w14:textFill>
            <w14:solidFill>
              <w14:schemeClr w14:val="tx1"/>
            </w14:solidFill>
          </w14:textFill>
        </w:rPr>
      </w:pPr>
      <w:r>
        <w:rPr>
          <w:rFonts w:ascii="Times New Roman" w:hAnsi="Times New Roman" w:eastAsia="宋体"/>
          <w:color w:val="000000" w:themeColor="text1"/>
          <w:sz w:val="21"/>
          <w:szCs w:val="21"/>
          <w14:textFill>
            <w14:solidFill>
              <w14:schemeClr w14:val="tx1"/>
            </w14:solidFill>
          </w14:textFill>
        </w:rPr>
        <w:t xml:space="preserve">DL/T 1342-2014          </w:t>
      </w:r>
      <w:r>
        <w:rPr>
          <w:rFonts w:hint="eastAsia" w:ascii="Times New Roman" w:hAnsi="Times New Roman" w:eastAsia="宋体"/>
          <w:color w:val="000000" w:themeColor="text1"/>
          <w:sz w:val="21"/>
          <w:szCs w:val="21"/>
          <w14:textFill>
            <w14:solidFill>
              <w14:schemeClr w14:val="tx1"/>
            </w14:solidFill>
          </w14:textFill>
        </w:rPr>
        <w:t>《电气接地工程用材料及连接件》</w:t>
      </w:r>
      <w:r>
        <w:rPr>
          <w:rFonts w:ascii="Times New Roman" w:hAnsi="Times New Roman" w:eastAsia="宋体"/>
          <w:color w:val="000000" w:themeColor="text1"/>
          <w:sz w:val="21"/>
          <w:szCs w:val="21"/>
          <w14:textFill>
            <w14:solidFill>
              <w14:schemeClr w14:val="tx1"/>
            </w14:solidFill>
          </w14:textFill>
        </w:rPr>
        <w:t xml:space="preserve"> </w:t>
      </w:r>
    </w:p>
    <w:p>
      <w:pPr>
        <w:pStyle w:val="201"/>
        <w:adjustRightInd w:val="0"/>
        <w:snapToGrid w:val="0"/>
        <w:spacing w:line="360" w:lineRule="auto"/>
        <w:rPr>
          <w:rFonts w:ascii="Times New Roman" w:hAnsi="Times New Roman" w:eastAsia="宋体"/>
          <w:color w:val="000000" w:themeColor="text1"/>
          <w:sz w:val="21"/>
          <w:szCs w:val="21"/>
          <w14:textFill>
            <w14:solidFill>
              <w14:schemeClr w14:val="tx1"/>
            </w14:solidFill>
          </w14:textFill>
        </w:rPr>
      </w:pPr>
      <w:r>
        <w:rPr>
          <w:rFonts w:ascii="Times New Roman" w:hAnsi="Times New Roman" w:eastAsia="宋体"/>
          <w:color w:val="000000" w:themeColor="text1"/>
          <w:sz w:val="21"/>
          <w:szCs w:val="21"/>
          <w14:textFill>
            <w14:solidFill>
              <w14:schemeClr w14:val="tx1"/>
            </w14:solidFill>
          </w14:textFill>
        </w:rPr>
        <w:t xml:space="preserve">GB50034-2024            </w:t>
      </w:r>
      <w:r>
        <w:rPr>
          <w:rFonts w:hint="eastAsia" w:ascii="Times New Roman" w:hAnsi="Times New Roman" w:eastAsia="宋体"/>
          <w:color w:val="000000" w:themeColor="text1"/>
          <w:sz w:val="21"/>
          <w:szCs w:val="21"/>
          <w14:textFill>
            <w14:solidFill>
              <w14:schemeClr w14:val="tx1"/>
            </w14:solidFill>
          </w14:textFill>
        </w:rPr>
        <w:t>《建筑照明设计标准》</w:t>
      </w:r>
    </w:p>
    <w:p>
      <w:pPr>
        <w:pStyle w:val="201"/>
        <w:adjustRightInd w:val="0"/>
        <w:snapToGrid w:val="0"/>
        <w:spacing w:line="360" w:lineRule="auto"/>
        <w:rPr>
          <w:rFonts w:ascii="Times New Roman" w:hAnsi="Times New Roman" w:eastAsia="宋体"/>
          <w:color w:val="000000" w:themeColor="text1"/>
          <w:sz w:val="21"/>
          <w:szCs w:val="21"/>
          <w14:textFill>
            <w14:solidFill>
              <w14:schemeClr w14:val="tx1"/>
            </w14:solidFill>
          </w14:textFill>
        </w:rPr>
      </w:pPr>
      <w:r>
        <w:rPr>
          <w:rFonts w:ascii="Times New Roman" w:hAnsi="Times New Roman" w:eastAsia="宋体"/>
          <w:color w:val="000000" w:themeColor="text1"/>
          <w:sz w:val="21"/>
          <w:szCs w:val="21"/>
          <w14:textFill>
            <w14:solidFill>
              <w14:schemeClr w14:val="tx1"/>
            </w14:solidFill>
          </w14:textFill>
        </w:rPr>
        <w:t xml:space="preserve">GB 51309-2018           </w:t>
      </w:r>
      <w:r>
        <w:rPr>
          <w:rFonts w:hint="eastAsia" w:ascii="Times New Roman" w:hAnsi="Times New Roman" w:eastAsia="宋体"/>
          <w:color w:val="000000" w:themeColor="text1"/>
          <w:sz w:val="21"/>
          <w:szCs w:val="21"/>
          <w14:textFill>
            <w14:solidFill>
              <w14:schemeClr w14:val="tx1"/>
            </w14:solidFill>
          </w14:textFill>
        </w:rPr>
        <w:t>《消防应急照明和疏散指示系统技术标准》</w:t>
      </w:r>
    </w:p>
    <w:p>
      <w:pPr>
        <w:pStyle w:val="201"/>
        <w:adjustRightInd w:val="0"/>
        <w:snapToGrid w:val="0"/>
        <w:spacing w:line="360" w:lineRule="auto"/>
        <w:rPr>
          <w:rFonts w:ascii="Times New Roman" w:hAnsi="Times New Roman" w:eastAsia="宋体"/>
          <w:color w:val="000000" w:themeColor="text1"/>
          <w:sz w:val="21"/>
          <w:szCs w:val="21"/>
          <w14:textFill>
            <w14:solidFill>
              <w14:schemeClr w14:val="tx1"/>
            </w14:solidFill>
          </w14:textFill>
        </w:rPr>
      </w:pPr>
      <w:r>
        <w:rPr>
          <w:rFonts w:hint="eastAsia" w:ascii="Times New Roman" w:hAnsi="Times New Roman" w:eastAsia="宋体"/>
          <w:color w:val="000000" w:themeColor="text1"/>
          <w:sz w:val="21"/>
          <w:szCs w:val="21"/>
          <w14:textFill>
            <w14:solidFill>
              <w14:schemeClr w14:val="tx1"/>
            </w14:solidFill>
          </w14:textFill>
        </w:rPr>
        <w:t>GB 17945-2024</w:t>
      </w:r>
      <w:r>
        <w:rPr>
          <w:rFonts w:ascii="Times New Roman" w:hAnsi="Times New Roman" w:eastAsia="宋体"/>
          <w:color w:val="000000" w:themeColor="text1"/>
          <w:sz w:val="21"/>
          <w:szCs w:val="21"/>
          <w14:textFill>
            <w14:solidFill>
              <w14:schemeClr w14:val="tx1"/>
            </w14:solidFill>
          </w14:textFill>
        </w:rPr>
        <w:t xml:space="preserve">           </w:t>
      </w:r>
      <w:r>
        <w:rPr>
          <w:rFonts w:hint="eastAsia" w:ascii="Times New Roman" w:hAnsi="Times New Roman" w:eastAsia="宋体"/>
          <w:color w:val="000000" w:themeColor="text1"/>
          <w:sz w:val="21"/>
          <w:szCs w:val="21"/>
          <w14:textFill>
            <w14:solidFill>
              <w14:schemeClr w14:val="tx1"/>
            </w14:solidFill>
          </w14:textFill>
        </w:rPr>
        <w:t>《消防应急照明和疏散指示系统》</w:t>
      </w:r>
    </w:p>
    <w:p>
      <w:pPr>
        <w:pStyle w:val="201"/>
        <w:adjustRightInd w:val="0"/>
        <w:snapToGrid w:val="0"/>
        <w:spacing w:line="360" w:lineRule="auto"/>
        <w:rPr>
          <w:rFonts w:ascii="Times New Roman" w:hAnsi="Times New Roman" w:eastAsia="宋体"/>
          <w:color w:val="000000" w:themeColor="text1"/>
          <w:sz w:val="21"/>
          <w:szCs w:val="21"/>
          <w14:textFill>
            <w14:solidFill>
              <w14:schemeClr w14:val="tx1"/>
            </w14:solidFill>
          </w14:textFill>
        </w:rPr>
      </w:pPr>
      <w:r>
        <w:rPr>
          <w:rFonts w:hint="eastAsia" w:ascii="Times New Roman" w:hAnsi="Times New Roman" w:eastAsia="宋体"/>
          <w:color w:val="000000" w:themeColor="text1"/>
          <w:sz w:val="21"/>
          <w:szCs w:val="21"/>
          <w14:textFill>
            <w14:solidFill>
              <w14:schemeClr w14:val="tx1"/>
            </w14:solidFill>
          </w14:textFill>
        </w:rPr>
        <w:t>南方电网生技［</w:t>
      </w:r>
      <w:r>
        <w:rPr>
          <w:rFonts w:ascii="Times New Roman" w:hAnsi="Times New Roman" w:eastAsia="宋体"/>
          <w:color w:val="000000" w:themeColor="text1"/>
          <w:sz w:val="21"/>
          <w:szCs w:val="21"/>
          <w14:textFill>
            <w14:solidFill>
              <w14:schemeClr w14:val="tx1"/>
            </w14:solidFill>
          </w14:textFill>
        </w:rPr>
        <w:t>2018</w:t>
      </w:r>
      <w:r>
        <w:rPr>
          <w:rFonts w:hint="eastAsia" w:ascii="Times New Roman" w:hAnsi="Times New Roman" w:eastAsia="宋体"/>
          <w:color w:val="000000" w:themeColor="text1"/>
          <w:sz w:val="21"/>
          <w:szCs w:val="21"/>
          <w14:textFill>
            <w14:solidFill>
              <w14:schemeClr w14:val="tx1"/>
            </w14:solidFill>
          </w14:textFill>
        </w:rPr>
        <w:t>］</w:t>
      </w:r>
      <w:r>
        <w:rPr>
          <w:rFonts w:ascii="Times New Roman" w:hAnsi="Times New Roman" w:eastAsia="宋体"/>
          <w:color w:val="000000" w:themeColor="text1"/>
          <w:sz w:val="21"/>
          <w:szCs w:val="21"/>
          <w14:textFill>
            <w14:solidFill>
              <w14:schemeClr w14:val="tx1"/>
            </w14:solidFill>
          </w14:textFill>
        </w:rPr>
        <w:t>36</w:t>
      </w:r>
      <w:r>
        <w:rPr>
          <w:rFonts w:hint="eastAsia" w:ascii="Times New Roman" w:hAnsi="Times New Roman" w:eastAsia="宋体"/>
          <w:color w:val="000000" w:themeColor="text1"/>
          <w:sz w:val="21"/>
          <w:szCs w:val="21"/>
          <w14:textFill>
            <w14:solidFill>
              <w14:schemeClr w14:val="tx1"/>
            </w14:solidFill>
          </w14:textFill>
        </w:rPr>
        <w:t>号防范重大电气火灾及故障专项反事故措施</w:t>
      </w:r>
    </w:p>
    <w:p>
      <w:pPr>
        <w:pStyle w:val="201"/>
        <w:adjustRightInd w:val="0"/>
        <w:snapToGrid w:val="0"/>
        <w:spacing w:line="360" w:lineRule="auto"/>
        <w:rPr>
          <w:rFonts w:ascii="Times New Roman" w:hAnsi="Times New Roman" w:eastAsia="宋体"/>
          <w:color w:val="000000" w:themeColor="text1"/>
          <w:sz w:val="21"/>
          <w:szCs w:val="21"/>
          <w14:textFill>
            <w14:solidFill>
              <w14:schemeClr w14:val="tx1"/>
            </w14:solidFill>
          </w14:textFill>
        </w:rPr>
      </w:pPr>
      <w:r>
        <w:rPr>
          <w:rFonts w:hint="eastAsia" w:ascii="Times New Roman" w:hAnsi="Times New Roman" w:eastAsia="宋体"/>
          <w:color w:val="000000" w:themeColor="text1"/>
          <w:sz w:val="21"/>
          <w:szCs w:val="21"/>
          <w14:textFill>
            <w14:solidFill>
              <w14:schemeClr w14:val="tx1"/>
            </w14:solidFill>
          </w14:textFill>
        </w:rPr>
        <w:t>能源局二十五项反事故措施</w:t>
      </w:r>
    </w:p>
    <w:p>
      <w:pPr>
        <w:pStyle w:val="201"/>
        <w:adjustRightInd w:val="0"/>
        <w:snapToGrid w:val="0"/>
        <w:spacing w:line="360" w:lineRule="auto"/>
        <w:rPr>
          <w:rFonts w:ascii="Times New Roman" w:hAnsi="Times New Roman" w:eastAsia="宋体"/>
          <w:color w:val="000000" w:themeColor="text1"/>
          <w:sz w:val="21"/>
          <w:szCs w:val="21"/>
          <w14:textFill>
            <w14:solidFill>
              <w14:schemeClr w14:val="tx1"/>
            </w14:solidFill>
          </w14:textFill>
        </w:rPr>
      </w:pPr>
      <w:r>
        <w:rPr>
          <w:rFonts w:hint="eastAsia" w:ascii="Times New Roman" w:hAnsi="Times New Roman" w:eastAsia="宋体"/>
          <w:color w:val="000000" w:themeColor="text1"/>
          <w:sz w:val="21"/>
          <w:szCs w:val="21"/>
          <w14:textFill>
            <w14:solidFill>
              <w14:schemeClr w14:val="tx1"/>
            </w14:solidFill>
          </w14:textFill>
        </w:rPr>
        <w:t>广电生部［</w:t>
      </w:r>
      <w:r>
        <w:rPr>
          <w:rFonts w:ascii="Times New Roman" w:hAnsi="Times New Roman" w:eastAsia="宋体"/>
          <w:color w:val="000000" w:themeColor="text1"/>
          <w:sz w:val="21"/>
          <w:szCs w:val="21"/>
          <w14:textFill>
            <w14:solidFill>
              <w14:schemeClr w14:val="tx1"/>
            </w14:solidFill>
          </w14:textFill>
        </w:rPr>
        <w:t>2016</w:t>
      </w:r>
      <w:r>
        <w:rPr>
          <w:rFonts w:hint="eastAsia" w:ascii="Times New Roman" w:hAnsi="Times New Roman" w:eastAsia="宋体"/>
          <w:color w:val="000000" w:themeColor="text1"/>
          <w:sz w:val="21"/>
          <w:szCs w:val="21"/>
          <w14:textFill>
            <w14:solidFill>
              <w14:schemeClr w14:val="tx1"/>
            </w14:solidFill>
          </w14:textFill>
        </w:rPr>
        <w:t>］</w:t>
      </w:r>
      <w:r>
        <w:rPr>
          <w:rFonts w:ascii="Times New Roman" w:hAnsi="Times New Roman" w:eastAsia="宋体"/>
          <w:color w:val="000000" w:themeColor="text1"/>
          <w:sz w:val="21"/>
          <w:szCs w:val="21"/>
          <w14:textFill>
            <w14:solidFill>
              <w14:schemeClr w14:val="tx1"/>
            </w14:solidFill>
          </w14:textFill>
        </w:rPr>
        <w:t>57</w:t>
      </w:r>
      <w:r>
        <w:rPr>
          <w:rFonts w:hint="eastAsia" w:ascii="Times New Roman" w:hAnsi="Times New Roman" w:eastAsia="宋体"/>
          <w:color w:val="000000" w:themeColor="text1"/>
          <w:sz w:val="21"/>
          <w:szCs w:val="21"/>
          <w14:textFill>
            <w14:solidFill>
              <w14:schemeClr w14:val="tx1"/>
            </w14:solidFill>
          </w14:textFill>
        </w:rPr>
        <w:t>号附件广东电网有限责任公司电缆及附件防火防爆工作指导意见</w:t>
      </w:r>
    </w:p>
    <w:p>
      <w:pPr>
        <w:pStyle w:val="201"/>
        <w:adjustRightInd w:val="0"/>
        <w:snapToGrid w:val="0"/>
        <w:spacing w:line="360" w:lineRule="auto"/>
        <w:rPr>
          <w:rFonts w:ascii="Times New Roman" w:hAnsi="Times New Roman" w:eastAsia="宋体"/>
          <w:color w:val="000000" w:themeColor="text1"/>
          <w:sz w:val="21"/>
          <w:szCs w:val="21"/>
          <w14:textFill>
            <w14:solidFill>
              <w14:schemeClr w14:val="tx1"/>
            </w14:solidFill>
          </w14:textFill>
        </w:rPr>
      </w:pPr>
      <w:r>
        <w:rPr>
          <w:rFonts w:hint="eastAsia" w:ascii="Times New Roman" w:hAnsi="Times New Roman" w:eastAsia="宋体"/>
          <w:color w:val="000000" w:themeColor="text1"/>
          <w:sz w:val="21"/>
          <w:szCs w:val="21"/>
          <w14:textFill>
            <w14:solidFill>
              <w14:schemeClr w14:val="tx1"/>
            </w14:solidFill>
          </w14:textFill>
        </w:rPr>
        <w:t>南方电网办生技［</w:t>
      </w:r>
      <w:r>
        <w:rPr>
          <w:rFonts w:ascii="Times New Roman" w:hAnsi="Times New Roman" w:eastAsia="宋体"/>
          <w:color w:val="000000" w:themeColor="text1"/>
          <w:sz w:val="21"/>
          <w:szCs w:val="21"/>
          <w14:textFill>
            <w14:solidFill>
              <w14:schemeClr w14:val="tx1"/>
            </w14:solidFill>
          </w14:textFill>
        </w:rPr>
        <w:t>2019</w:t>
      </w:r>
      <w:r>
        <w:rPr>
          <w:rFonts w:hint="eastAsia" w:ascii="Times New Roman" w:hAnsi="Times New Roman" w:eastAsia="宋体"/>
          <w:color w:val="000000" w:themeColor="text1"/>
          <w:sz w:val="21"/>
          <w:szCs w:val="21"/>
          <w14:textFill>
            <w14:solidFill>
              <w14:schemeClr w14:val="tx1"/>
            </w14:solidFill>
          </w14:textFill>
        </w:rPr>
        <w:t>］</w:t>
      </w:r>
      <w:r>
        <w:rPr>
          <w:rFonts w:ascii="Times New Roman" w:hAnsi="Times New Roman" w:eastAsia="宋体"/>
          <w:color w:val="000000" w:themeColor="text1"/>
          <w:sz w:val="21"/>
          <w:szCs w:val="21"/>
          <w14:textFill>
            <w14:solidFill>
              <w14:schemeClr w14:val="tx1"/>
            </w14:solidFill>
          </w14:textFill>
        </w:rPr>
        <w:t>22</w:t>
      </w:r>
      <w:r>
        <w:rPr>
          <w:rFonts w:hint="eastAsia" w:ascii="Times New Roman" w:hAnsi="Times New Roman" w:eastAsia="宋体"/>
          <w:color w:val="000000" w:themeColor="text1"/>
          <w:sz w:val="21"/>
          <w:szCs w:val="21"/>
          <w14:textFill>
            <w14:solidFill>
              <w14:schemeClr w14:val="tx1"/>
            </w14:solidFill>
          </w14:textFill>
        </w:rPr>
        <w:t>号《变电站电气火灾防控技术要求（试行）》</w:t>
      </w:r>
    </w:p>
    <w:p>
      <w:pPr>
        <w:pStyle w:val="2"/>
        <w:snapToGrid/>
        <w:spacing w:before="0" w:beforeLines="0" w:line="480" w:lineRule="auto"/>
        <w:rPr>
          <w:rFonts w:ascii="黑体" w:eastAsia="黑体"/>
          <w:color w:val="000000" w:themeColor="text1"/>
          <w14:textFill>
            <w14:solidFill>
              <w14:schemeClr w14:val="tx1"/>
            </w14:solidFill>
          </w14:textFill>
        </w:rPr>
      </w:pPr>
      <w:bookmarkStart w:id="20" w:name="_Toc177995323"/>
      <w:r>
        <w:rPr>
          <w:rFonts w:hint="eastAsia" w:ascii="黑体" w:eastAsia="黑体"/>
          <w:color w:val="000000" w:themeColor="text1"/>
          <w14:textFill>
            <w14:solidFill>
              <w14:schemeClr w14:val="tx1"/>
            </w14:solidFill>
          </w14:textFill>
        </w:rPr>
        <w:t>★使用条件</w:t>
      </w:r>
      <w:bookmarkEnd w:id="19"/>
      <w:bookmarkEnd w:id="20"/>
    </w:p>
    <w:p>
      <w:pPr>
        <w:pStyle w:val="201"/>
        <w:adjustRightInd w:val="0"/>
        <w:snapToGrid w:val="0"/>
        <w:spacing w:line="360" w:lineRule="auto"/>
        <w:rPr>
          <w:rFonts w:ascii="Times New Roman" w:hAnsi="Times New Roman" w:eastAsia="宋体"/>
          <w:color w:val="000000" w:themeColor="text1"/>
          <w:sz w:val="21"/>
          <w:szCs w:val="21"/>
          <w14:textFill>
            <w14:solidFill>
              <w14:schemeClr w14:val="tx1"/>
            </w14:solidFill>
          </w14:textFill>
        </w:rPr>
      </w:pPr>
      <w:bookmarkStart w:id="21" w:name="_Toc279769036"/>
      <w:r>
        <w:rPr>
          <w:rFonts w:hint="eastAsia" w:ascii="Times New Roman" w:hAnsi="Times New Roman" w:eastAsia="宋体"/>
          <w:color w:val="000000" w:themeColor="text1"/>
          <w:sz w:val="21"/>
          <w:szCs w:val="21"/>
          <w14:textFill>
            <w14:solidFill>
              <w14:schemeClr w14:val="tx1"/>
            </w14:solidFill>
          </w14:textFill>
        </w:rPr>
        <w:t>本设备标书要采购的预制舱，投标方应应保证对所提供的设备不仅满足本技术协议书要求的技术条款要求，而且还应对在实际安装地点的外部条件（正常使用条件及特殊使用条件）下的相关性能参数进行校验、核对，使所供设备满足实际外部条件要求及全工况运行要求。</w:t>
      </w:r>
    </w:p>
    <w:p>
      <w:pPr>
        <w:pStyle w:val="3"/>
        <w:numPr>
          <w:ilvl w:val="1"/>
          <w:numId w:val="0"/>
        </w:numPr>
        <w:rPr>
          <w:rFonts w:ascii="黑体" w:hAnsi="黑体" w:eastAsia="黑体"/>
          <w:color w:val="000000" w:themeColor="text1"/>
          <w14:textFill>
            <w14:solidFill>
              <w14:schemeClr w14:val="tx1"/>
            </w14:solidFill>
          </w14:textFill>
        </w:rPr>
      </w:pPr>
      <w:bookmarkStart w:id="22" w:name="_Toc177995324"/>
      <w:r>
        <w:rPr>
          <w:rFonts w:ascii="黑体" w:hAnsi="黑体" w:eastAsia="黑体"/>
          <w:color w:val="000000" w:themeColor="text1"/>
          <w14:textFill>
            <w14:solidFill>
              <w14:schemeClr w14:val="tx1"/>
            </w14:solidFill>
          </w14:textFill>
        </w:rPr>
        <w:t xml:space="preserve">4.1 </w:t>
      </w:r>
      <w:r>
        <w:rPr>
          <w:rFonts w:hint="eastAsia" w:ascii="黑体" w:hAnsi="黑体" w:eastAsia="黑体"/>
          <w:color w:val="000000" w:themeColor="text1"/>
          <w14:textFill>
            <w14:solidFill>
              <w14:schemeClr w14:val="tx1"/>
            </w14:solidFill>
          </w14:textFill>
        </w:rPr>
        <w:t>环境条件</w:t>
      </w:r>
      <w:bookmarkEnd w:id="22"/>
    </w:p>
    <w:p>
      <w:pPr>
        <w:pStyle w:val="187"/>
        <w:spacing w:line="360" w:lineRule="auto"/>
        <w:ind w:firstLine="420"/>
        <w:jc w:val="center"/>
        <w:rPr>
          <w:rFonts w:hAnsi="宋体"/>
          <w:color w:val="000000" w:themeColor="text1"/>
          <w:szCs w:val="21"/>
          <w14:textFill>
            <w14:solidFill>
              <w14:schemeClr w14:val="tx1"/>
            </w14:solidFill>
          </w14:textFill>
        </w:rPr>
      </w:pPr>
      <w:r>
        <w:rPr>
          <w:rFonts w:hint="eastAsia" w:hAnsi="宋体"/>
          <w:color w:val="000000" w:themeColor="text1"/>
          <w:szCs w:val="21"/>
          <w14:textFill>
            <w14:solidFill>
              <w14:schemeClr w14:val="tx1"/>
            </w14:solidFill>
          </w14:textFill>
        </w:rPr>
        <w:t>表</w:t>
      </w:r>
      <w:r>
        <w:rPr>
          <w:rFonts w:hAnsi="宋体"/>
          <w:color w:val="000000" w:themeColor="text1"/>
          <w:szCs w:val="21"/>
          <w14:textFill>
            <w14:solidFill>
              <w14:schemeClr w14:val="tx1"/>
            </w14:solidFill>
          </w14:textFill>
        </w:rPr>
        <w:t xml:space="preserve">4.1-1  </w:t>
      </w:r>
      <w:r>
        <w:rPr>
          <w:rFonts w:hint="eastAsia" w:hAnsi="宋体"/>
          <w:color w:val="000000" w:themeColor="text1"/>
          <w:szCs w:val="21"/>
          <w14:textFill>
            <w14:solidFill>
              <w14:schemeClr w14:val="tx1"/>
            </w14:solidFill>
          </w14:textFill>
        </w:rPr>
        <w:t>设备外部条件一览表</w:t>
      </w:r>
      <w:r>
        <w:rPr>
          <w:rFonts w:hAnsi="宋体"/>
          <w:color w:val="000000" w:themeColor="text1"/>
          <w:szCs w:val="21"/>
          <w14:textFill>
            <w14:solidFill>
              <w14:schemeClr w14:val="tx1"/>
            </w14:solidFill>
          </w14:textFill>
        </w:rPr>
        <w:t xml:space="preserve"> </w:t>
      </w:r>
      <w:r>
        <w:rPr>
          <w:rFonts w:hint="eastAsia" w:hAnsi="宋体"/>
          <w:color w:val="000000" w:themeColor="text1"/>
          <w:szCs w:val="21"/>
          <w14:textFill>
            <w14:solidFill>
              <w14:schemeClr w14:val="tx1"/>
            </w14:solidFill>
          </w14:textFill>
        </w:rPr>
        <w:t>（项目单位填写）</w:t>
      </w:r>
    </w:p>
    <w:tbl>
      <w:tblPr>
        <w:tblStyle w:val="84"/>
        <w:tblW w:w="9962" w:type="dxa"/>
        <w:jc w:val="center"/>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108" w:type="dxa"/>
          <w:bottom w:w="0" w:type="dxa"/>
          <w:right w:w="108" w:type="dxa"/>
        </w:tblCellMar>
      </w:tblPr>
      <w:tblGrid>
        <w:gridCol w:w="1241"/>
        <w:gridCol w:w="701"/>
        <w:gridCol w:w="578"/>
        <w:gridCol w:w="1437"/>
        <w:gridCol w:w="1016"/>
        <w:gridCol w:w="1688"/>
        <w:gridCol w:w="3301"/>
      </w:tblGrid>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jc w:val="center"/>
        </w:trPr>
        <w:tc>
          <w:tcPr>
            <w:tcW w:w="1241" w:type="dxa"/>
            <w:vAlign w:val="center"/>
          </w:tcPr>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序号</w:t>
            </w:r>
          </w:p>
        </w:tc>
        <w:tc>
          <w:tcPr>
            <w:tcW w:w="2716" w:type="dxa"/>
            <w:gridSpan w:val="3"/>
            <w:vAlign w:val="center"/>
          </w:tcPr>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名</w:t>
            </w:r>
            <w:r>
              <w:rPr>
                <w:color w:val="000000" w:themeColor="text1"/>
                <w14:textFill>
                  <w14:solidFill>
                    <w14:schemeClr w14:val="tx1"/>
                  </w14:solidFill>
                </w14:textFill>
              </w:rPr>
              <w:t xml:space="preserve">   </w:t>
            </w:r>
            <w:r>
              <w:rPr>
                <w:rFonts w:hint="eastAsia"/>
                <w:color w:val="000000" w:themeColor="text1"/>
                <w14:textFill>
                  <w14:solidFill>
                    <w14:schemeClr w14:val="tx1"/>
                  </w14:solidFill>
                </w14:textFill>
              </w:rPr>
              <w:t>称</w:t>
            </w:r>
          </w:p>
        </w:tc>
        <w:tc>
          <w:tcPr>
            <w:tcW w:w="1016" w:type="dxa"/>
            <w:vAlign w:val="center"/>
          </w:tcPr>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单位</w:t>
            </w:r>
          </w:p>
        </w:tc>
        <w:tc>
          <w:tcPr>
            <w:tcW w:w="1688" w:type="dxa"/>
            <w:vAlign w:val="center"/>
          </w:tcPr>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数值</w:t>
            </w:r>
          </w:p>
        </w:tc>
        <w:tc>
          <w:tcPr>
            <w:tcW w:w="3301" w:type="dxa"/>
          </w:tcPr>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备注（须说明本工程适用的是正常使用条件或是特殊使用条件）</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jc w:val="center"/>
        </w:trPr>
        <w:tc>
          <w:tcPr>
            <w:tcW w:w="1241" w:type="dxa"/>
            <w:vMerge w:val="restart"/>
            <w:vAlign w:val="center"/>
          </w:tcPr>
          <w:p>
            <w:pPr>
              <w:jc w:val="center"/>
              <w:rPr>
                <w:color w:val="000000" w:themeColor="text1"/>
                <w14:textFill>
                  <w14:solidFill>
                    <w14:schemeClr w14:val="tx1"/>
                  </w14:solidFill>
                </w14:textFill>
              </w:rPr>
            </w:pPr>
            <w:r>
              <w:rPr>
                <w:color w:val="000000" w:themeColor="text1"/>
                <w14:textFill>
                  <w14:solidFill>
                    <w14:schemeClr w14:val="tx1"/>
                  </w14:solidFill>
                </w14:textFill>
              </w:rPr>
              <w:t>1</w:t>
            </w:r>
          </w:p>
        </w:tc>
        <w:tc>
          <w:tcPr>
            <w:tcW w:w="1279" w:type="dxa"/>
            <w:gridSpan w:val="2"/>
            <w:vMerge w:val="restart"/>
            <w:vAlign w:val="center"/>
          </w:tcPr>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环境温度</w:t>
            </w:r>
          </w:p>
        </w:tc>
        <w:tc>
          <w:tcPr>
            <w:tcW w:w="1437" w:type="dxa"/>
          </w:tcPr>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最高日温度</w:t>
            </w:r>
          </w:p>
        </w:tc>
        <w:tc>
          <w:tcPr>
            <w:tcW w:w="1016" w:type="dxa"/>
            <w:vMerge w:val="restart"/>
            <w:vAlign w:val="center"/>
          </w:tcPr>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w:t>
            </w:r>
          </w:p>
        </w:tc>
        <w:tc>
          <w:tcPr>
            <w:tcW w:w="1688" w:type="dxa"/>
          </w:tcPr>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正常：</w:t>
            </w:r>
            <w:r>
              <w:rPr>
                <w:color w:val="000000" w:themeColor="text1"/>
                <w14:textFill>
                  <w14:solidFill>
                    <w14:schemeClr w14:val="tx1"/>
                  </w14:solidFill>
                </w14:textFill>
              </w:rPr>
              <w:t>40</w:t>
            </w:r>
          </w:p>
        </w:tc>
        <w:tc>
          <w:tcPr>
            <w:tcW w:w="3301" w:type="dxa"/>
          </w:tcPr>
          <w:p>
            <w:pPr>
              <w:jc w:val="center"/>
              <w:rPr>
                <w:rFonts w:hAnsi="宋体"/>
                <w:color w:val="000000" w:themeColor="text1"/>
                <w14:textFill>
                  <w14:solidFill>
                    <w14:schemeClr w14:val="tx1"/>
                  </w14:solidFill>
                </w14:textFill>
              </w:rPr>
            </w:pPr>
            <w:r>
              <w:rPr>
                <w:rFonts w:hint="eastAsia"/>
                <w:color w:val="000000" w:themeColor="text1"/>
                <w14:textFill>
                  <w14:solidFill>
                    <w14:schemeClr w14:val="tx1"/>
                  </w14:solidFill>
                </w14:textFill>
              </w:rPr>
              <w:t>正常使用条件</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jc w:val="center"/>
        </w:trPr>
        <w:tc>
          <w:tcPr>
            <w:tcW w:w="1241" w:type="dxa"/>
            <w:vMerge w:val="continue"/>
          </w:tcPr>
          <w:p>
            <w:pPr>
              <w:jc w:val="center"/>
              <w:rPr>
                <w:color w:val="000000" w:themeColor="text1"/>
                <w14:textFill>
                  <w14:solidFill>
                    <w14:schemeClr w14:val="tx1"/>
                  </w14:solidFill>
                </w14:textFill>
              </w:rPr>
            </w:pPr>
          </w:p>
        </w:tc>
        <w:tc>
          <w:tcPr>
            <w:tcW w:w="1279" w:type="dxa"/>
            <w:gridSpan w:val="2"/>
            <w:vMerge w:val="continue"/>
          </w:tcPr>
          <w:p>
            <w:pPr>
              <w:jc w:val="center"/>
              <w:rPr>
                <w:color w:val="000000" w:themeColor="text1"/>
                <w14:textFill>
                  <w14:solidFill>
                    <w14:schemeClr w14:val="tx1"/>
                  </w14:solidFill>
                </w14:textFill>
              </w:rPr>
            </w:pPr>
          </w:p>
        </w:tc>
        <w:tc>
          <w:tcPr>
            <w:tcW w:w="1437" w:type="dxa"/>
          </w:tcPr>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最低日温度</w:t>
            </w:r>
          </w:p>
        </w:tc>
        <w:tc>
          <w:tcPr>
            <w:tcW w:w="1016" w:type="dxa"/>
            <w:vMerge w:val="continue"/>
          </w:tcPr>
          <w:p>
            <w:pPr>
              <w:jc w:val="center"/>
              <w:rPr>
                <w:color w:val="000000" w:themeColor="text1"/>
                <w14:textFill>
                  <w14:solidFill>
                    <w14:schemeClr w14:val="tx1"/>
                  </w14:solidFill>
                </w14:textFill>
              </w:rPr>
            </w:pPr>
          </w:p>
        </w:tc>
        <w:tc>
          <w:tcPr>
            <w:tcW w:w="1688" w:type="dxa"/>
          </w:tcPr>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正常：</w:t>
            </w:r>
            <w:r>
              <w:rPr>
                <w:snapToGrid w:val="0"/>
                <w:color w:val="000000" w:themeColor="text1"/>
                <w:kern w:val="0"/>
                <w:szCs w:val="21"/>
                <w14:textFill>
                  <w14:solidFill>
                    <w14:schemeClr w14:val="tx1"/>
                  </w14:solidFill>
                </w14:textFill>
              </w:rPr>
              <w:t>-10</w:t>
            </w:r>
          </w:p>
        </w:tc>
        <w:tc>
          <w:tcPr>
            <w:tcW w:w="3301" w:type="dxa"/>
          </w:tcPr>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正常使用条件</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jc w:val="center"/>
        </w:trPr>
        <w:tc>
          <w:tcPr>
            <w:tcW w:w="1241" w:type="dxa"/>
            <w:vMerge w:val="continue"/>
          </w:tcPr>
          <w:p>
            <w:pPr>
              <w:jc w:val="center"/>
              <w:rPr>
                <w:color w:val="000000" w:themeColor="text1"/>
                <w14:textFill>
                  <w14:solidFill>
                    <w14:schemeClr w14:val="tx1"/>
                  </w14:solidFill>
                </w14:textFill>
              </w:rPr>
            </w:pPr>
          </w:p>
        </w:tc>
        <w:tc>
          <w:tcPr>
            <w:tcW w:w="1279" w:type="dxa"/>
            <w:gridSpan w:val="2"/>
            <w:vMerge w:val="continue"/>
          </w:tcPr>
          <w:p>
            <w:pPr>
              <w:jc w:val="center"/>
              <w:rPr>
                <w:color w:val="000000" w:themeColor="text1"/>
                <w14:textFill>
                  <w14:solidFill>
                    <w14:schemeClr w14:val="tx1"/>
                  </w14:solidFill>
                </w14:textFill>
              </w:rPr>
            </w:pPr>
          </w:p>
        </w:tc>
        <w:tc>
          <w:tcPr>
            <w:tcW w:w="1437" w:type="dxa"/>
          </w:tcPr>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最大日温差</w:t>
            </w:r>
          </w:p>
        </w:tc>
        <w:tc>
          <w:tcPr>
            <w:tcW w:w="1016" w:type="dxa"/>
            <w:vMerge w:val="continue"/>
          </w:tcPr>
          <w:p>
            <w:pPr>
              <w:jc w:val="center"/>
              <w:rPr>
                <w:color w:val="000000" w:themeColor="text1"/>
                <w14:textFill>
                  <w14:solidFill>
                    <w14:schemeClr w14:val="tx1"/>
                  </w14:solidFill>
                </w14:textFill>
              </w:rPr>
            </w:pPr>
          </w:p>
        </w:tc>
        <w:tc>
          <w:tcPr>
            <w:tcW w:w="1688" w:type="dxa"/>
          </w:tcPr>
          <w:p>
            <w:pPr>
              <w:jc w:val="center"/>
              <w:rPr>
                <w:color w:val="000000" w:themeColor="text1"/>
                <w14:textFill>
                  <w14:solidFill>
                    <w14:schemeClr w14:val="tx1"/>
                  </w14:solidFill>
                </w14:textFill>
              </w:rPr>
            </w:pPr>
            <w:r>
              <w:rPr>
                <w:color w:val="000000" w:themeColor="text1"/>
                <w14:textFill>
                  <w14:solidFill>
                    <w14:schemeClr w14:val="tx1"/>
                  </w14:solidFill>
                </w14:textFill>
              </w:rPr>
              <w:t>30</w:t>
            </w:r>
          </w:p>
        </w:tc>
        <w:tc>
          <w:tcPr>
            <w:tcW w:w="3301" w:type="dxa"/>
          </w:tcPr>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正常使用条件</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jc w:val="center"/>
        </w:trPr>
        <w:tc>
          <w:tcPr>
            <w:tcW w:w="1241" w:type="dxa"/>
          </w:tcPr>
          <w:p>
            <w:pPr>
              <w:jc w:val="center"/>
              <w:rPr>
                <w:color w:val="000000" w:themeColor="text1"/>
                <w14:textFill>
                  <w14:solidFill>
                    <w14:schemeClr w14:val="tx1"/>
                  </w14:solidFill>
                </w14:textFill>
              </w:rPr>
            </w:pPr>
            <w:r>
              <w:rPr>
                <w:color w:val="000000" w:themeColor="text1"/>
                <w14:textFill>
                  <w14:solidFill>
                    <w14:schemeClr w14:val="tx1"/>
                  </w14:solidFill>
                </w14:textFill>
              </w:rPr>
              <w:t>2</w:t>
            </w:r>
          </w:p>
        </w:tc>
        <w:tc>
          <w:tcPr>
            <w:tcW w:w="2716" w:type="dxa"/>
            <w:gridSpan w:val="3"/>
          </w:tcPr>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海拔</w:t>
            </w:r>
          </w:p>
        </w:tc>
        <w:tc>
          <w:tcPr>
            <w:tcW w:w="1016" w:type="dxa"/>
          </w:tcPr>
          <w:p>
            <w:pPr>
              <w:jc w:val="center"/>
              <w:rPr>
                <w:color w:val="000000" w:themeColor="text1"/>
                <w14:textFill>
                  <w14:solidFill>
                    <w14:schemeClr w14:val="tx1"/>
                  </w14:solidFill>
                </w14:textFill>
              </w:rPr>
            </w:pPr>
            <w:r>
              <w:rPr>
                <w:color w:val="000000" w:themeColor="text1"/>
                <w14:textFill>
                  <w14:solidFill>
                    <w14:schemeClr w14:val="tx1"/>
                  </w14:solidFill>
                </w14:textFill>
              </w:rPr>
              <w:t>m</w:t>
            </w:r>
          </w:p>
        </w:tc>
        <w:tc>
          <w:tcPr>
            <w:tcW w:w="1688" w:type="dxa"/>
          </w:tcPr>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w:t>
            </w:r>
            <w:r>
              <w:rPr>
                <w:color w:val="000000" w:themeColor="text1"/>
                <w14:textFill>
                  <w14:solidFill>
                    <w14:schemeClr w14:val="tx1"/>
                  </w14:solidFill>
                </w14:textFill>
              </w:rPr>
              <w:t>1000</w:t>
            </w:r>
          </w:p>
        </w:tc>
        <w:tc>
          <w:tcPr>
            <w:tcW w:w="3301" w:type="dxa"/>
          </w:tcPr>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正常使用条件</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jc w:val="center"/>
        </w:trPr>
        <w:tc>
          <w:tcPr>
            <w:tcW w:w="1241" w:type="dxa"/>
          </w:tcPr>
          <w:p>
            <w:pPr>
              <w:jc w:val="center"/>
              <w:rPr>
                <w:color w:val="000000" w:themeColor="text1"/>
                <w14:textFill>
                  <w14:solidFill>
                    <w14:schemeClr w14:val="tx1"/>
                  </w14:solidFill>
                </w14:textFill>
              </w:rPr>
            </w:pPr>
            <w:r>
              <w:rPr>
                <w:color w:val="000000" w:themeColor="text1"/>
                <w14:textFill>
                  <w14:solidFill>
                    <w14:schemeClr w14:val="tx1"/>
                  </w14:solidFill>
                </w14:textFill>
              </w:rPr>
              <w:t>3</w:t>
            </w:r>
          </w:p>
        </w:tc>
        <w:tc>
          <w:tcPr>
            <w:tcW w:w="2716" w:type="dxa"/>
            <w:gridSpan w:val="3"/>
          </w:tcPr>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太阳辐射强度</w:t>
            </w:r>
          </w:p>
        </w:tc>
        <w:tc>
          <w:tcPr>
            <w:tcW w:w="1016" w:type="dxa"/>
          </w:tcPr>
          <w:p>
            <w:pPr>
              <w:jc w:val="center"/>
              <w:rPr>
                <w:color w:val="000000" w:themeColor="text1"/>
                <w:vertAlign w:val="superscript"/>
                <w14:textFill>
                  <w14:solidFill>
                    <w14:schemeClr w14:val="tx1"/>
                  </w14:solidFill>
                </w14:textFill>
              </w:rPr>
            </w:pPr>
            <w:r>
              <w:rPr>
                <w:color w:val="000000" w:themeColor="text1"/>
                <w14:textFill>
                  <w14:solidFill>
                    <w14:schemeClr w14:val="tx1"/>
                  </w14:solidFill>
                </w14:textFill>
              </w:rPr>
              <w:t>W/m</w:t>
            </w:r>
            <w:r>
              <w:rPr>
                <w:color w:val="000000" w:themeColor="text1"/>
                <w14:textFill>
                  <w14:solidFill>
                    <w14:schemeClr w14:val="tx1"/>
                  </w14:solidFill>
                </w14:textFill>
              </w:rPr>
              <w:softHyphen/>
            </w:r>
            <w:r>
              <w:rPr>
                <w:color w:val="000000" w:themeColor="text1"/>
                <w14:textFill>
                  <w14:solidFill>
                    <w14:schemeClr w14:val="tx1"/>
                  </w14:solidFill>
                </w14:textFill>
              </w:rPr>
              <w:softHyphen/>
            </w:r>
            <w:r>
              <w:rPr>
                <w:color w:val="000000" w:themeColor="text1"/>
                <w:vertAlign w:val="superscript"/>
                <w14:textFill>
                  <w14:solidFill>
                    <w14:schemeClr w14:val="tx1"/>
                  </w14:solidFill>
                </w14:textFill>
              </w:rPr>
              <w:t>2</w:t>
            </w:r>
          </w:p>
        </w:tc>
        <w:tc>
          <w:tcPr>
            <w:tcW w:w="1688" w:type="dxa"/>
          </w:tcPr>
          <w:p>
            <w:pPr>
              <w:jc w:val="center"/>
              <w:rPr>
                <w:color w:val="000000" w:themeColor="text1"/>
                <w14:textFill>
                  <w14:solidFill>
                    <w14:schemeClr w14:val="tx1"/>
                  </w14:solidFill>
                </w14:textFill>
              </w:rPr>
            </w:pPr>
            <w:r>
              <w:rPr>
                <w:rFonts w:ascii="宋体" w:hAnsi="宋体"/>
                <w:color w:val="000000" w:themeColor="text1"/>
                <w14:textFill>
                  <w14:solidFill>
                    <w14:schemeClr w14:val="tx1"/>
                  </w14:solidFill>
                </w14:textFill>
              </w:rPr>
              <w:t>/</w:t>
            </w:r>
          </w:p>
        </w:tc>
        <w:tc>
          <w:tcPr>
            <w:tcW w:w="3301" w:type="dxa"/>
          </w:tcPr>
          <w:p>
            <w:pPr>
              <w:jc w:val="center"/>
              <w:rPr>
                <w:color w:val="000000" w:themeColor="text1"/>
                <w14:textFill>
                  <w14:solidFill>
                    <w14:schemeClr w14:val="tx1"/>
                  </w14:solidFill>
                </w14:textFill>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jc w:val="center"/>
        </w:trPr>
        <w:tc>
          <w:tcPr>
            <w:tcW w:w="1241" w:type="dxa"/>
          </w:tcPr>
          <w:p>
            <w:pPr>
              <w:jc w:val="center"/>
              <w:rPr>
                <w:color w:val="000000" w:themeColor="text1"/>
                <w14:textFill>
                  <w14:solidFill>
                    <w14:schemeClr w14:val="tx1"/>
                  </w14:solidFill>
                </w14:textFill>
              </w:rPr>
            </w:pPr>
            <w:r>
              <w:rPr>
                <w:color w:val="000000" w:themeColor="text1"/>
                <w14:textFill>
                  <w14:solidFill>
                    <w14:schemeClr w14:val="tx1"/>
                  </w14:solidFill>
                </w14:textFill>
              </w:rPr>
              <w:t>4</w:t>
            </w:r>
          </w:p>
        </w:tc>
        <w:tc>
          <w:tcPr>
            <w:tcW w:w="2716" w:type="dxa"/>
            <w:gridSpan w:val="3"/>
          </w:tcPr>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污秽等级</w:t>
            </w:r>
          </w:p>
        </w:tc>
        <w:tc>
          <w:tcPr>
            <w:tcW w:w="1016" w:type="dxa"/>
          </w:tcPr>
          <w:p>
            <w:pPr>
              <w:jc w:val="center"/>
              <w:rPr>
                <w:color w:val="000000" w:themeColor="text1"/>
                <w14:textFill>
                  <w14:solidFill>
                    <w14:schemeClr w14:val="tx1"/>
                  </w14:solidFill>
                </w14:textFill>
              </w:rPr>
            </w:pPr>
          </w:p>
        </w:tc>
        <w:tc>
          <w:tcPr>
            <w:tcW w:w="1688" w:type="dxa"/>
          </w:tcPr>
          <w:p>
            <w:pPr>
              <w:jc w:val="center"/>
              <w:rPr>
                <w:color w:val="000000" w:themeColor="text1"/>
                <w14:textFill>
                  <w14:solidFill>
                    <w14:schemeClr w14:val="tx1"/>
                  </w14:solidFill>
                </w14:textFill>
              </w:rPr>
            </w:pPr>
            <w:r>
              <w:rPr>
                <w:snapToGrid w:val="0"/>
                <w:color w:val="000000" w:themeColor="text1"/>
                <w:kern w:val="0"/>
                <w:szCs w:val="21"/>
                <w14:textFill>
                  <w14:solidFill>
                    <w14:schemeClr w14:val="tx1"/>
                  </w14:solidFill>
                </w14:textFill>
              </w:rPr>
              <w:t>e</w:t>
            </w:r>
            <w:r>
              <w:rPr>
                <w:rFonts w:hint="eastAsia" w:hAnsi="宋体"/>
                <w:color w:val="000000" w:themeColor="text1"/>
                <w14:textFill>
                  <w14:solidFill>
                    <w14:schemeClr w14:val="tx1"/>
                  </w14:solidFill>
                </w14:textFill>
              </w:rPr>
              <w:t>级</w:t>
            </w:r>
          </w:p>
        </w:tc>
        <w:tc>
          <w:tcPr>
            <w:tcW w:w="3301" w:type="dxa"/>
          </w:tcPr>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正常使用条件</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jc w:val="center"/>
        </w:trPr>
        <w:tc>
          <w:tcPr>
            <w:tcW w:w="1241" w:type="dxa"/>
          </w:tcPr>
          <w:p>
            <w:pPr>
              <w:jc w:val="center"/>
              <w:rPr>
                <w:color w:val="000000" w:themeColor="text1"/>
                <w14:textFill>
                  <w14:solidFill>
                    <w14:schemeClr w14:val="tx1"/>
                  </w14:solidFill>
                </w14:textFill>
              </w:rPr>
            </w:pPr>
            <w:r>
              <w:rPr>
                <w:color w:val="000000" w:themeColor="text1"/>
                <w14:textFill>
                  <w14:solidFill>
                    <w14:schemeClr w14:val="tx1"/>
                  </w14:solidFill>
                </w14:textFill>
              </w:rPr>
              <w:t>5</w:t>
            </w:r>
          </w:p>
        </w:tc>
        <w:tc>
          <w:tcPr>
            <w:tcW w:w="2716" w:type="dxa"/>
            <w:gridSpan w:val="3"/>
          </w:tcPr>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覆冰厚度</w:t>
            </w:r>
          </w:p>
        </w:tc>
        <w:tc>
          <w:tcPr>
            <w:tcW w:w="1016" w:type="dxa"/>
          </w:tcPr>
          <w:p>
            <w:pPr>
              <w:jc w:val="center"/>
              <w:rPr>
                <w:color w:val="000000" w:themeColor="text1"/>
                <w14:textFill>
                  <w14:solidFill>
                    <w14:schemeClr w14:val="tx1"/>
                  </w14:solidFill>
                </w14:textFill>
              </w:rPr>
            </w:pPr>
            <w:r>
              <w:rPr>
                <w:color w:val="000000" w:themeColor="text1"/>
                <w14:textFill>
                  <w14:solidFill>
                    <w14:schemeClr w14:val="tx1"/>
                  </w14:solidFill>
                </w14:textFill>
              </w:rPr>
              <w:t>mm</w:t>
            </w:r>
          </w:p>
        </w:tc>
        <w:tc>
          <w:tcPr>
            <w:tcW w:w="1688" w:type="dxa"/>
          </w:tcPr>
          <w:p>
            <w:pPr>
              <w:jc w:val="center"/>
              <w:rPr>
                <w:color w:val="000000" w:themeColor="text1"/>
                <w14:textFill>
                  <w14:solidFill>
                    <w14:schemeClr w14:val="tx1"/>
                  </w14:solidFill>
                </w14:textFill>
              </w:rPr>
            </w:pPr>
            <w:r>
              <w:rPr>
                <w:rFonts w:ascii="宋体" w:hAnsi="宋体"/>
                <w:color w:val="000000" w:themeColor="text1"/>
                <w14:textFill>
                  <w14:solidFill>
                    <w14:schemeClr w14:val="tx1"/>
                  </w14:solidFill>
                </w14:textFill>
              </w:rPr>
              <w:t>/</w:t>
            </w:r>
          </w:p>
        </w:tc>
        <w:tc>
          <w:tcPr>
            <w:tcW w:w="3301" w:type="dxa"/>
          </w:tcPr>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正常使用条件</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jc w:val="center"/>
        </w:trPr>
        <w:tc>
          <w:tcPr>
            <w:tcW w:w="1241" w:type="dxa"/>
          </w:tcPr>
          <w:p>
            <w:pPr>
              <w:jc w:val="center"/>
              <w:rPr>
                <w:color w:val="000000" w:themeColor="text1"/>
                <w14:textFill>
                  <w14:solidFill>
                    <w14:schemeClr w14:val="tx1"/>
                  </w14:solidFill>
                </w14:textFill>
              </w:rPr>
            </w:pPr>
            <w:r>
              <w:rPr>
                <w:color w:val="000000" w:themeColor="text1"/>
                <w14:textFill>
                  <w14:solidFill>
                    <w14:schemeClr w14:val="tx1"/>
                  </w14:solidFill>
                </w14:textFill>
              </w:rPr>
              <w:t>6</w:t>
            </w:r>
          </w:p>
        </w:tc>
        <w:tc>
          <w:tcPr>
            <w:tcW w:w="2716" w:type="dxa"/>
            <w:gridSpan w:val="3"/>
          </w:tcPr>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风速</w:t>
            </w:r>
          </w:p>
        </w:tc>
        <w:tc>
          <w:tcPr>
            <w:tcW w:w="1016" w:type="dxa"/>
          </w:tcPr>
          <w:p>
            <w:pPr>
              <w:jc w:val="center"/>
              <w:rPr>
                <w:color w:val="000000" w:themeColor="text1"/>
                <w14:textFill>
                  <w14:solidFill>
                    <w14:schemeClr w14:val="tx1"/>
                  </w14:solidFill>
                </w14:textFill>
              </w:rPr>
            </w:pPr>
            <w:r>
              <w:rPr>
                <w:color w:val="000000" w:themeColor="text1"/>
                <w14:textFill>
                  <w14:solidFill>
                    <w14:schemeClr w14:val="tx1"/>
                  </w14:solidFill>
                </w14:textFill>
              </w:rPr>
              <w:t>m/s</w:t>
            </w:r>
          </w:p>
        </w:tc>
        <w:tc>
          <w:tcPr>
            <w:tcW w:w="1688" w:type="dxa"/>
          </w:tcPr>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设计风速</w:t>
            </w:r>
            <w:r>
              <w:rPr>
                <w:color w:val="000000" w:themeColor="text1"/>
                <w14:textFill>
                  <w14:solidFill>
                    <w14:schemeClr w14:val="tx1"/>
                  </w14:solidFill>
                </w14:textFill>
              </w:rPr>
              <w:t>50.9m/s</w:t>
            </w:r>
          </w:p>
        </w:tc>
        <w:tc>
          <w:tcPr>
            <w:tcW w:w="3301" w:type="dxa"/>
          </w:tcPr>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特殊使用条件</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jc w:val="center"/>
        </w:trPr>
        <w:tc>
          <w:tcPr>
            <w:tcW w:w="1241" w:type="dxa"/>
            <w:vMerge w:val="restart"/>
            <w:vAlign w:val="center"/>
          </w:tcPr>
          <w:p>
            <w:pPr>
              <w:jc w:val="center"/>
              <w:rPr>
                <w:color w:val="000000" w:themeColor="text1"/>
                <w14:textFill>
                  <w14:solidFill>
                    <w14:schemeClr w14:val="tx1"/>
                  </w14:solidFill>
                </w14:textFill>
              </w:rPr>
            </w:pPr>
            <w:r>
              <w:rPr>
                <w:color w:val="000000" w:themeColor="text1"/>
                <w14:textFill>
                  <w14:solidFill>
                    <w14:schemeClr w14:val="tx1"/>
                  </w14:solidFill>
                </w14:textFill>
              </w:rPr>
              <w:t>7</w:t>
            </w:r>
          </w:p>
        </w:tc>
        <w:tc>
          <w:tcPr>
            <w:tcW w:w="701" w:type="dxa"/>
            <w:vMerge w:val="restart"/>
            <w:vAlign w:val="center"/>
          </w:tcPr>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相对湿度</w:t>
            </w:r>
          </w:p>
        </w:tc>
        <w:tc>
          <w:tcPr>
            <w:tcW w:w="2015" w:type="dxa"/>
            <w:gridSpan w:val="2"/>
          </w:tcPr>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最大日相对湿度平均值</w:t>
            </w:r>
          </w:p>
        </w:tc>
        <w:tc>
          <w:tcPr>
            <w:tcW w:w="1016" w:type="dxa"/>
            <w:vMerge w:val="restart"/>
            <w:vAlign w:val="center"/>
          </w:tcPr>
          <w:p>
            <w:pPr>
              <w:jc w:val="center"/>
              <w:rPr>
                <w:color w:val="000000" w:themeColor="text1"/>
                <w14:textFill>
                  <w14:solidFill>
                    <w14:schemeClr w14:val="tx1"/>
                  </w14:solidFill>
                </w14:textFill>
              </w:rPr>
            </w:pPr>
            <w:r>
              <w:rPr>
                <w:color w:val="000000" w:themeColor="text1"/>
                <w14:textFill>
                  <w14:solidFill>
                    <w14:schemeClr w14:val="tx1"/>
                  </w14:solidFill>
                </w14:textFill>
              </w:rPr>
              <w:t>%</w:t>
            </w:r>
          </w:p>
        </w:tc>
        <w:tc>
          <w:tcPr>
            <w:tcW w:w="1688" w:type="dxa"/>
          </w:tcPr>
          <w:p>
            <w:pPr>
              <w:jc w:val="center"/>
              <w:rPr>
                <w:color w:val="000000" w:themeColor="text1"/>
                <w14:textFill>
                  <w14:solidFill>
                    <w14:schemeClr w14:val="tx1"/>
                  </w14:solidFill>
                </w14:textFill>
              </w:rPr>
            </w:pPr>
            <w:r>
              <w:rPr>
                <w:rFonts w:hint="eastAsia"/>
                <w:color w:val="000000" w:themeColor="text1"/>
                <w:szCs w:val="21"/>
                <w14:textFill>
                  <w14:solidFill>
                    <w14:schemeClr w14:val="tx1"/>
                  </w14:solidFill>
                </w14:textFill>
              </w:rPr>
              <w:t>正常：</w:t>
            </w:r>
            <w:r>
              <w:rPr>
                <w:rFonts w:hint="eastAsia"/>
                <w:color w:val="000000" w:themeColor="text1"/>
                <w14:textFill>
                  <w14:solidFill>
                    <w14:schemeClr w14:val="tx1"/>
                  </w14:solidFill>
                </w14:textFill>
              </w:rPr>
              <w:t>≤</w:t>
            </w:r>
            <w:r>
              <w:rPr>
                <w:color w:val="000000" w:themeColor="text1"/>
                <w14:textFill>
                  <w14:solidFill>
                    <w14:schemeClr w14:val="tx1"/>
                  </w14:solidFill>
                </w14:textFill>
              </w:rPr>
              <w:t>95</w:t>
            </w:r>
          </w:p>
          <w:p>
            <w:pPr>
              <w:jc w:val="center"/>
              <w:rPr>
                <w:color w:val="000000" w:themeColor="text1"/>
                <w14:textFill>
                  <w14:solidFill>
                    <w14:schemeClr w14:val="tx1"/>
                  </w14:solidFill>
                </w14:textFill>
              </w:rPr>
            </w:pPr>
          </w:p>
        </w:tc>
        <w:tc>
          <w:tcPr>
            <w:tcW w:w="3301" w:type="dxa"/>
          </w:tcPr>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正常使用条件</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jc w:val="center"/>
        </w:trPr>
        <w:tc>
          <w:tcPr>
            <w:tcW w:w="1241" w:type="dxa"/>
            <w:vMerge w:val="continue"/>
          </w:tcPr>
          <w:p>
            <w:pPr>
              <w:jc w:val="center"/>
              <w:rPr>
                <w:color w:val="000000" w:themeColor="text1"/>
                <w14:textFill>
                  <w14:solidFill>
                    <w14:schemeClr w14:val="tx1"/>
                  </w14:solidFill>
                </w14:textFill>
              </w:rPr>
            </w:pPr>
          </w:p>
        </w:tc>
        <w:tc>
          <w:tcPr>
            <w:tcW w:w="701" w:type="dxa"/>
            <w:vMerge w:val="continue"/>
          </w:tcPr>
          <w:p>
            <w:pPr>
              <w:jc w:val="center"/>
              <w:rPr>
                <w:color w:val="000000" w:themeColor="text1"/>
                <w14:textFill>
                  <w14:solidFill>
                    <w14:schemeClr w14:val="tx1"/>
                  </w14:solidFill>
                </w14:textFill>
              </w:rPr>
            </w:pPr>
          </w:p>
        </w:tc>
        <w:tc>
          <w:tcPr>
            <w:tcW w:w="2015" w:type="dxa"/>
            <w:gridSpan w:val="2"/>
          </w:tcPr>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最大月平均相对湿度平均值</w:t>
            </w:r>
          </w:p>
        </w:tc>
        <w:tc>
          <w:tcPr>
            <w:tcW w:w="1016" w:type="dxa"/>
            <w:vMerge w:val="continue"/>
          </w:tcPr>
          <w:p>
            <w:pPr>
              <w:jc w:val="center"/>
              <w:rPr>
                <w:color w:val="000000" w:themeColor="text1"/>
                <w14:textFill>
                  <w14:solidFill>
                    <w14:schemeClr w14:val="tx1"/>
                  </w14:solidFill>
                </w14:textFill>
              </w:rPr>
            </w:pPr>
          </w:p>
        </w:tc>
        <w:tc>
          <w:tcPr>
            <w:tcW w:w="1688" w:type="dxa"/>
          </w:tcPr>
          <w:p>
            <w:pPr>
              <w:jc w:val="center"/>
              <w:rPr>
                <w:color w:val="000000" w:themeColor="text1"/>
                <w:szCs w:val="21"/>
                <w14:textFill>
                  <w14:solidFill>
                    <w14:schemeClr w14:val="tx1"/>
                  </w14:solidFill>
                </w14:textFill>
              </w:rPr>
            </w:pPr>
            <w:r>
              <w:rPr>
                <w:rFonts w:hint="eastAsia"/>
                <w:color w:val="000000" w:themeColor="text1"/>
                <w:szCs w:val="21"/>
                <w14:textFill>
                  <w14:solidFill>
                    <w14:schemeClr w14:val="tx1"/>
                  </w14:solidFill>
                </w14:textFill>
              </w:rPr>
              <w:t>正常：</w:t>
            </w:r>
            <w:r>
              <w:rPr>
                <w:rFonts w:hint="eastAsia"/>
                <w:color w:val="000000" w:themeColor="text1"/>
                <w14:textFill>
                  <w14:solidFill>
                    <w14:schemeClr w14:val="tx1"/>
                  </w14:solidFill>
                </w14:textFill>
              </w:rPr>
              <w:t>≤</w:t>
            </w:r>
            <w:r>
              <w:rPr>
                <w:color w:val="000000" w:themeColor="text1"/>
                <w14:textFill>
                  <w14:solidFill>
                    <w14:schemeClr w14:val="tx1"/>
                  </w14:solidFill>
                </w14:textFill>
              </w:rPr>
              <w:t>90</w:t>
            </w:r>
          </w:p>
          <w:p>
            <w:pPr>
              <w:jc w:val="center"/>
              <w:rPr>
                <w:color w:val="000000" w:themeColor="text1"/>
                <w14:textFill>
                  <w14:solidFill>
                    <w14:schemeClr w14:val="tx1"/>
                  </w14:solidFill>
                </w14:textFill>
              </w:rPr>
            </w:pPr>
          </w:p>
        </w:tc>
        <w:tc>
          <w:tcPr>
            <w:tcW w:w="3301" w:type="dxa"/>
          </w:tcPr>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正常使用条件</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764" w:hRule="atLeast"/>
          <w:jc w:val="center"/>
        </w:trPr>
        <w:tc>
          <w:tcPr>
            <w:tcW w:w="1241" w:type="dxa"/>
            <w:vAlign w:val="center"/>
          </w:tcPr>
          <w:p>
            <w:pPr>
              <w:jc w:val="center"/>
              <w:rPr>
                <w:color w:val="000000" w:themeColor="text1"/>
                <w14:textFill>
                  <w14:solidFill>
                    <w14:schemeClr w14:val="tx1"/>
                  </w14:solidFill>
                </w14:textFill>
              </w:rPr>
            </w:pPr>
            <w:r>
              <w:rPr>
                <w:color w:val="000000" w:themeColor="text1"/>
                <w14:textFill>
                  <w14:solidFill>
                    <w14:schemeClr w14:val="tx1"/>
                  </w14:solidFill>
                </w14:textFill>
              </w:rPr>
              <w:t>8</w:t>
            </w:r>
          </w:p>
        </w:tc>
        <w:tc>
          <w:tcPr>
            <w:tcW w:w="2716" w:type="dxa"/>
            <w:gridSpan w:val="3"/>
          </w:tcPr>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耐受地震能力（指水平加速度，安全系数不小于</w:t>
            </w:r>
            <w:r>
              <w:rPr>
                <w:color w:val="000000" w:themeColor="text1"/>
                <w14:textFill>
                  <w14:solidFill>
                    <w14:schemeClr w14:val="tx1"/>
                  </w14:solidFill>
                </w14:textFill>
              </w:rPr>
              <w:t>1.67</w:t>
            </w:r>
            <w:r>
              <w:rPr>
                <w:rFonts w:hint="eastAsia"/>
                <w:color w:val="000000" w:themeColor="text1"/>
                <w14:textFill>
                  <w14:solidFill>
                    <w14:schemeClr w14:val="tx1"/>
                  </w14:solidFill>
                </w14:textFill>
              </w:rPr>
              <w:t>。水平加速度应计及设备支架的动力放大系数</w:t>
            </w:r>
            <w:r>
              <w:rPr>
                <w:color w:val="000000" w:themeColor="text1"/>
                <w14:textFill>
                  <w14:solidFill>
                    <w14:schemeClr w14:val="tx1"/>
                  </w14:solidFill>
                </w14:textFill>
              </w:rPr>
              <w:t>1.2</w:t>
            </w:r>
            <w:r>
              <w:rPr>
                <w:rFonts w:hint="eastAsia"/>
                <w:color w:val="000000" w:themeColor="text1"/>
                <w14:textFill>
                  <w14:solidFill>
                    <w14:schemeClr w14:val="tx1"/>
                  </w14:solidFill>
                </w14:textFill>
              </w:rPr>
              <w:t>）</w:t>
            </w:r>
          </w:p>
        </w:tc>
        <w:tc>
          <w:tcPr>
            <w:tcW w:w="1016" w:type="dxa"/>
            <w:vAlign w:val="center"/>
          </w:tcPr>
          <w:p>
            <w:pPr>
              <w:jc w:val="center"/>
              <w:rPr>
                <w:color w:val="000000" w:themeColor="text1"/>
                <w14:textFill>
                  <w14:solidFill>
                    <w14:schemeClr w14:val="tx1"/>
                  </w14:solidFill>
                </w14:textFill>
              </w:rPr>
            </w:pPr>
            <w:r>
              <w:rPr>
                <w:color w:val="000000" w:themeColor="text1"/>
                <w14:textFill>
                  <w14:solidFill>
                    <w14:schemeClr w14:val="tx1"/>
                  </w14:solidFill>
                </w14:textFill>
              </w:rPr>
              <w:t>g</w:t>
            </w:r>
          </w:p>
        </w:tc>
        <w:tc>
          <w:tcPr>
            <w:tcW w:w="1688" w:type="dxa"/>
          </w:tcPr>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水平分量：</w:t>
            </w:r>
            <w:r>
              <w:rPr>
                <w:color w:val="000000" w:themeColor="text1"/>
                <w14:textFill>
                  <w14:solidFill>
                    <w14:schemeClr w14:val="tx1"/>
                  </w14:solidFill>
                </w14:textFill>
              </w:rPr>
              <w:t>0.25</w:t>
            </w:r>
          </w:p>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垂直分量：</w:t>
            </w:r>
            <w:r>
              <w:rPr>
                <w:color w:val="000000" w:themeColor="text1"/>
                <w14:textFill>
                  <w14:solidFill>
                    <w14:schemeClr w14:val="tx1"/>
                  </w14:solidFill>
                </w14:textFill>
              </w:rPr>
              <w:t>0.125</w:t>
            </w:r>
          </w:p>
        </w:tc>
        <w:tc>
          <w:tcPr>
            <w:tcW w:w="3301" w:type="dxa"/>
          </w:tcPr>
          <w:p>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正常使用条件</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453" w:hRule="atLeast"/>
          <w:jc w:val="center"/>
        </w:trPr>
        <w:tc>
          <w:tcPr>
            <w:tcW w:w="1241" w:type="dxa"/>
            <w:vAlign w:val="center"/>
          </w:tcPr>
          <w:p>
            <w:pPr>
              <w:jc w:val="center"/>
              <w:rPr>
                <w:color w:val="000000" w:themeColor="text1"/>
                <w14:textFill>
                  <w14:solidFill>
                    <w14:schemeClr w14:val="tx1"/>
                  </w14:solidFill>
                </w14:textFill>
              </w:rPr>
            </w:pPr>
            <w:r>
              <w:rPr>
                <w:color w:val="000000" w:themeColor="text1"/>
                <w14:textFill>
                  <w14:solidFill>
                    <w14:schemeClr w14:val="tx1"/>
                  </w14:solidFill>
                </w14:textFill>
              </w:rPr>
              <w:t>9</w:t>
            </w:r>
          </w:p>
        </w:tc>
        <w:tc>
          <w:tcPr>
            <w:tcW w:w="2716" w:type="dxa"/>
            <w:gridSpan w:val="3"/>
            <w:vAlign w:val="center"/>
          </w:tcPr>
          <w:p>
            <w:pPr>
              <w:jc w:val="center"/>
              <w:rPr>
                <w:color w:val="000000" w:themeColor="text1"/>
                <w14:textFill>
                  <w14:solidFill>
                    <w14:schemeClr w14:val="tx1"/>
                  </w14:solidFill>
                </w14:textFill>
              </w:rPr>
            </w:pPr>
            <w:r>
              <w:rPr>
                <w:rFonts w:hint="eastAsia" w:ascii="宋体" w:hAnsi="宋体"/>
                <w:color w:val="000000" w:themeColor="text1"/>
                <w14:textFill>
                  <w14:solidFill>
                    <w14:schemeClr w14:val="tx1"/>
                  </w14:solidFill>
                </w14:textFill>
              </w:rPr>
              <w:t>所在风区</w:t>
            </w:r>
          </w:p>
        </w:tc>
        <w:tc>
          <w:tcPr>
            <w:tcW w:w="1016" w:type="dxa"/>
            <w:vAlign w:val="center"/>
          </w:tcPr>
          <w:p>
            <w:pPr>
              <w:jc w:val="center"/>
              <w:rPr>
                <w:color w:val="000000" w:themeColor="text1"/>
                <w14:textFill>
                  <w14:solidFill>
                    <w14:schemeClr w14:val="tx1"/>
                  </w14:solidFill>
                </w14:textFill>
              </w:rPr>
            </w:pPr>
            <w:r>
              <w:rPr>
                <w:color w:val="000000" w:themeColor="text1"/>
                <w14:textFill>
                  <w14:solidFill>
                    <w14:schemeClr w14:val="tx1"/>
                  </w14:solidFill>
                </w14:textFill>
              </w:rPr>
              <w:t>/</w:t>
            </w:r>
          </w:p>
        </w:tc>
        <w:tc>
          <w:tcPr>
            <w:tcW w:w="1688" w:type="dxa"/>
            <w:vAlign w:val="center"/>
          </w:tcPr>
          <w:p>
            <w:pPr>
              <w:adjustRightInd w:val="0"/>
              <w:snapToGrid w:val="0"/>
              <w:jc w:val="center"/>
              <w:rPr>
                <w:color w:val="000000" w:themeColor="text1"/>
                <w14:textFill>
                  <w14:solidFill>
                    <w14:schemeClr w14:val="tx1"/>
                  </w14:solidFill>
                </w14:textFill>
              </w:rPr>
            </w:pPr>
            <w:r>
              <w:rPr>
                <w:color w:val="000000" w:themeColor="text1"/>
                <w14:textFill>
                  <w14:solidFill>
                    <w14:schemeClr w14:val="tx1"/>
                  </w14:solidFill>
                </w14:textFill>
              </w:rPr>
              <w:t>I</w:t>
            </w:r>
            <w:r>
              <w:rPr>
                <w:rFonts w:hint="eastAsia"/>
                <w:color w:val="000000" w:themeColor="text1"/>
                <w14:textFill>
                  <w14:solidFill>
                    <w14:schemeClr w14:val="tx1"/>
                  </w14:solidFill>
                </w14:textFill>
              </w:rPr>
              <w:t>类（设计风速</w:t>
            </w:r>
            <w:r>
              <w:rPr>
                <w:color w:val="000000" w:themeColor="text1"/>
                <w14:textFill>
                  <w14:solidFill>
                    <w14:schemeClr w14:val="tx1"/>
                  </w14:solidFill>
                </w14:textFill>
              </w:rPr>
              <w:t>50.9m/s</w:t>
            </w:r>
            <w:r>
              <w:rPr>
                <w:rFonts w:hint="eastAsia"/>
                <w:color w:val="000000" w:themeColor="text1"/>
                <w14:textFill>
                  <w14:solidFill>
                    <w14:schemeClr w14:val="tx1"/>
                  </w14:solidFill>
                </w14:textFill>
              </w:rPr>
              <w:t>）</w:t>
            </w:r>
          </w:p>
        </w:tc>
        <w:tc>
          <w:tcPr>
            <w:tcW w:w="3301" w:type="dxa"/>
          </w:tcPr>
          <w:p>
            <w:pPr>
              <w:adjustRightInd w:val="0"/>
              <w:snapToGrid w:val="0"/>
              <w:jc w:val="center"/>
              <w:rPr>
                <w:rFonts w:ascii="宋体" w:hAnsi="宋体"/>
                <w:color w:val="000000" w:themeColor="text1"/>
                <w14:textFill>
                  <w14:solidFill>
                    <w14:schemeClr w14:val="tx1"/>
                  </w14:solidFill>
                </w14:textFill>
              </w:rPr>
            </w:pPr>
            <w:r>
              <w:rPr>
                <w:rFonts w:hint="eastAsia"/>
                <w:color w:val="000000" w:themeColor="text1"/>
                <w14:textFill>
                  <w14:solidFill>
                    <w14:schemeClr w14:val="tx1"/>
                  </w14:solidFill>
                </w14:textFill>
              </w:rPr>
              <w:t>特殊使用条件</w:t>
            </w:r>
          </w:p>
        </w:tc>
      </w:tr>
    </w:tbl>
    <w:p>
      <w:pPr>
        <w:ind w:firstLine="480"/>
        <w:rPr>
          <w:color w:val="000000" w:themeColor="text1"/>
          <w14:textFill>
            <w14:solidFill>
              <w14:schemeClr w14:val="tx1"/>
            </w14:solidFill>
          </w14:textFill>
        </w:rPr>
      </w:pPr>
    </w:p>
    <w:p>
      <w:pPr>
        <w:pStyle w:val="3"/>
        <w:numPr>
          <w:ilvl w:val="1"/>
          <w:numId w:val="0"/>
        </w:numPr>
        <w:rPr>
          <w:rFonts w:ascii="黑体" w:hAnsi="黑体" w:eastAsia="黑体"/>
          <w:color w:val="000000" w:themeColor="text1"/>
          <w14:textFill>
            <w14:solidFill>
              <w14:schemeClr w14:val="tx1"/>
            </w14:solidFill>
          </w14:textFill>
        </w:rPr>
      </w:pPr>
      <w:bookmarkStart w:id="23" w:name="_Toc177995325"/>
      <w:r>
        <w:rPr>
          <w:rFonts w:ascii="黑体" w:hAnsi="黑体" w:eastAsia="黑体"/>
          <w:color w:val="000000" w:themeColor="text1"/>
          <w14:textFill>
            <w14:solidFill>
              <w14:schemeClr w14:val="tx1"/>
            </w14:solidFill>
          </w14:textFill>
        </w:rPr>
        <w:t xml:space="preserve">4.2 </w:t>
      </w:r>
      <w:r>
        <w:rPr>
          <w:rFonts w:hint="eastAsia" w:ascii="黑体" w:hAnsi="黑体" w:eastAsia="黑体"/>
          <w:color w:val="000000" w:themeColor="text1"/>
          <w14:textFill>
            <w14:solidFill>
              <w14:schemeClr w14:val="tx1"/>
            </w14:solidFill>
          </w14:textFill>
        </w:rPr>
        <w:t>储存条件</w:t>
      </w:r>
      <w:bookmarkEnd w:id="23"/>
    </w:p>
    <w:p>
      <w:pPr>
        <w:tabs>
          <w:tab w:val="left" w:pos="1267"/>
        </w:tabs>
        <w:spacing w:line="360" w:lineRule="auto"/>
        <w:ind w:firstLine="420" w:firstLineChars="200"/>
        <w:rPr>
          <w:color w:val="000000" w:themeColor="text1"/>
          <w14:textFill>
            <w14:solidFill>
              <w14:schemeClr w14:val="tx1"/>
            </w14:solidFill>
          </w14:textFill>
        </w:rPr>
      </w:pPr>
      <w:r>
        <w:rPr>
          <w:color w:val="000000" w:themeColor="text1"/>
          <w14:textFill>
            <w14:solidFill>
              <w14:schemeClr w14:val="tx1"/>
            </w14:solidFill>
          </w14:textFill>
        </w:rPr>
        <w:t>1</w:t>
      </w:r>
      <w:r>
        <w:rPr>
          <w:rFonts w:hint="eastAsia"/>
          <w:color w:val="000000" w:themeColor="text1"/>
          <w14:textFill>
            <w14:solidFill>
              <w14:schemeClr w14:val="tx1"/>
            </w14:solidFill>
          </w14:textFill>
        </w:rPr>
        <w:t>、温度：</w:t>
      </w:r>
      <w:r>
        <w:rPr>
          <w:color w:val="000000" w:themeColor="text1"/>
          <w14:textFill>
            <w14:solidFill>
              <w14:schemeClr w14:val="tx1"/>
            </w14:solidFill>
          </w14:textFill>
        </w:rPr>
        <w:tab/>
      </w:r>
      <w:r>
        <w:rPr>
          <w:color w:val="000000" w:themeColor="text1"/>
          <w14:textFill>
            <w14:solidFill>
              <w14:schemeClr w14:val="tx1"/>
            </w14:solidFill>
          </w14:textFill>
        </w:rPr>
        <w:t>5-40°C</w:t>
      </w:r>
    </w:p>
    <w:p>
      <w:pPr>
        <w:tabs>
          <w:tab w:val="left" w:pos="1267"/>
        </w:tabs>
        <w:spacing w:line="360" w:lineRule="auto"/>
        <w:ind w:firstLine="420" w:firstLineChars="200"/>
        <w:rPr>
          <w:color w:val="000000" w:themeColor="text1"/>
          <w14:textFill>
            <w14:solidFill>
              <w14:schemeClr w14:val="tx1"/>
            </w14:solidFill>
          </w14:textFill>
        </w:rPr>
      </w:pPr>
      <w:r>
        <w:rPr>
          <w:color w:val="000000" w:themeColor="text1"/>
          <w14:textFill>
            <w14:solidFill>
              <w14:schemeClr w14:val="tx1"/>
            </w14:solidFill>
          </w14:textFill>
        </w:rPr>
        <w:t>2</w:t>
      </w:r>
      <w:r>
        <w:rPr>
          <w:rFonts w:hint="eastAsia"/>
          <w:color w:val="000000" w:themeColor="text1"/>
          <w14:textFill>
            <w14:solidFill>
              <w14:schemeClr w14:val="tx1"/>
            </w14:solidFill>
          </w14:textFill>
        </w:rPr>
        <w:t>、湿度：</w:t>
      </w:r>
      <w:r>
        <w:rPr>
          <w:color w:val="000000" w:themeColor="text1"/>
          <w14:textFill>
            <w14:solidFill>
              <w14:schemeClr w14:val="tx1"/>
            </w14:solidFill>
          </w14:textFill>
        </w:rPr>
        <w:tab/>
      </w:r>
      <w:r>
        <w:rPr>
          <w:color w:val="000000" w:themeColor="text1"/>
          <w14:textFill>
            <w14:solidFill>
              <w14:schemeClr w14:val="tx1"/>
            </w14:solidFill>
          </w14:textFill>
        </w:rPr>
        <w:t>35-70%</w:t>
      </w:r>
    </w:p>
    <w:p>
      <w:pPr>
        <w:tabs>
          <w:tab w:val="left" w:pos="1267"/>
        </w:tabs>
        <w:spacing w:line="360" w:lineRule="auto"/>
        <w:ind w:firstLine="420" w:firstLineChars="200"/>
        <w:rPr>
          <w:color w:val="000000" w:themeColor="text1"/>
          <w14:textFill>
            <w14:solidFill>
              <w14:schemeClr w14:val="tx1"/>
            </w14:solidFill>
          </w14:textFill>
        </w:rPr>
      </w:pPr>
      <w:r>
        <w:rPr>
          <w:color w:val="000000" w:themeColor="text1"/>
          <w14:textFill>
            <w14:solidFill>
              <w14:schemeClr w14:val="tx1"/>
            </w14:solidFill>
          </w14:textFill>
        </w:rPr>
        <w:t>3</w:t>
      </w:r>
      <w:r>
        <w:rPr>
          <w:rFonts w:hint="eastAsia"/>
          <w:color w:val="000000" w:themeColor="text1"/>
          <w14:textFill>
            <w14:solidFill>
              <w14:schemeClr w14:val="tx1"/>
            </w14:solidFill>
          </w14:textFill>
        </w:rPr>
        <w:t>、空气压力：</w:t>
      </w:r>
      <w:r>
        <w:rPr>
          <w:color w:val="000000" w:themeColor="text1"/>
          <w14:textFill>
            <w14:solidFill>
              <w14:schemeClr w14:val="tx1"/>
            </w14:solidFill>
          </w14:textFill>
        </w:rPr>
        <w:t>70-106 kPa</w:t>
      </w:r>
    </w:p>
    <w:p>
      <w:pPr>
        <w:pStyle w:val="3"/>
        <w:numPr>
          <w:ilvl w:val="1"/>
          <w:numId w:val="0"/>
        </w:numPr>
        <w:rPr>
          <w:rFonts w:ascii="黑体" w:hAnsi="黑体" w:eastAsia="黑体"/>
          <w:color w:val="000000" w:themeColor="text1"/>
          <w14:textFill>
            <w14:solidFill>
              <w14:schemeClr w14:val="tx1"/>
            </w14:solidFill>
          </w14:textFill>
        </w:rPr>
      </w:pPr>
      <w:bookmarkStart w:id="24" w:name="_Toc177995326"/>
      <w:bookmarkStart w:id="25" w:name="_Toc166483044"/>
      <w:r>
        <w:rPr>
          <w:rFonts w:ascii="黑体" w:hAnsi="黑体" w:eastAsia="黑体"/>
          <w:color w:val="000000" w:themeColor="text1"/>
          <w14:textFill>
            <w14:solidFill>
              <w14:schemeClr w14:val="tx1"/>
            </w14:solidFill>
          </w14:textFill>
        </w:rPr>
        <w:t xml:space="preserve">4.3 </w:t>
      </w:r>
      <w:r>
        <w:rPr>
          <w:rFonts w:hint="eastAsia" w:ascii="黑体" w:hAnsi="黑体" w:eastAsia="黑体"/>
          <w:color w:val="000000" w:themeColor="text1"/>
          <w14:textFill>
            <w14:solidFill>
              <w14:schemeClr w14:val="tx1"/>
            </w14:solidFill>
          </w14:textFill>
        </w:rPr>
        <w:t>运输条件</w:t>
      </w:r>
      <w:bookmarkEnd w:id="24"/>
      <w:bookmarkEnd w:id="25"/>
    </w:p>
    <w:p>
      <w:pPr>
        <w:tabs>
          <w:tab w:val="left" w:pos="1267"/>
        </w:tabs>
        <w:spacing w:line="360" w:lineRule="auto"/>
        <w:ind w:firstLine="420" w:firstLineChars="200"/>
        <w:rPr>
          <w:color w:val="000000" w:themeColor="text1"/>
          <w14:textFill>
            <w14:solidFill>
              <w14:schemeClr w14:val="tx1"/>
            </w14:solidFill>
          </w14:textFill>
        </w:rPr>
      </w:pPr>
      <w:r>
        <w:rPr>
          <w:color w:val="000000" w:themeColor="text1"/>
          <w14:textFill>
            <w14:solidFill>
              <w14:schemeClr w14:val="tx1"/>
            </w14:solidFill>
          </w14:textFill>
        </w:rPr>
        <w:t>1</w:t>
      </w:r>
      <w:r>
        <w:rPr>
          <w:rFonts w:hint="eastAsia"/>
          <w:color w:val="000000" w:themeColor="text1"/>
          <w14:textFill>
            <w14:solidFill>
              <w14:schemeClr w14:val="tx1"/>
            </w14:solidFill>
          </w14:textFill>
        </w:rPr>
        <w:t>、温度：</w:t>
      </w:r>
      <w:r>
        <w:rPr>
          <w:color w:val="000000" w:themeColor="text1"/>
          <w14:textFill>
            <w14:solidFill>
              <w14:schemeClr w14:val="tx1"/>
            </w14:solidFill>
          </w14:textFill>
        </w:rPr>
        <w:tab/>
      </w:r>
      <w:r>
        <w:rPr>
          <w:color w:val="000000" w:themeColor="text1"/>
          <w14:textFill>
            <w14:solidFill>
              <w14:schemeClr w14:val="tx1"/>
            </w14:solidFill>
          </w14:textFill>
        </w:rPr>
        <w:t>-40 - +70°C</w:t>
      </w:r>
    </w:p>
    <w:p>
      <w:pPr>
        <w:tabs>
          <w:tab w:val="left" w:pos="1267"/>
        </w:tabs>
        <w:spacing w:line="360" w:lineRule="auto"/>
        <w:ind w:firstLine="420" w:firstLineChars="200"/>
        <w:rPr>
          <w:color w:val="000000" w:themeColor="text1"/>
          <w14:textFill>
            <w14:solidFill>
              <w14:schemeClr w14:val="tx1"/>
            </w14:solidFill>
          </w14:textFill>
        </w:rPr>
      </w:pPr>
      <w:r>
        <w:rPr>
          <w:color w:val="000000" w:themeColor="text1"/>
          <w14:textFill>
            <w14:solidFill>
              <w14:schemeClr w14:val="tx1"/>
            </w14:solidFill>
          </w14:textFill>
        </w:rPr>
        <w:t>2</w:t>
      </w:r>
      <w:r>
        <w:rPr>
          <w:rFonts w:hint="eastAsia"/>
          <w:color w:val="000000" w:themeColor="text1"/>
          <w14:textFill>
            <w14:solidFill>
              <w14:schemeClr w14:val="tx1"/>
            </w14:solidFill>
          </w14:textFill>
        </w:rPr>
        <w:t>、湿度：</w:t>
      </w:r>
      <w:r>
        <w:rPr>
          <w:color w:val="000000" w:themeColor="text1"/>
          <w14:textFill>
            <w14:solidFill>
              <w14:schemeClr w14:val="tx1"/>
            </w14:solidFill>
          </w14:textFill>
        </w:rPr>
        <w:tab/>
      </w:r>
      <w:r>
        <w:rPr>
          <w:color w:val="000000" w:themeColor="text1"/>
          <w14:textFill>
            <w14:solidFill>
              <w14:schemeClr w14:val="tx1"/>
            </w14:solidFill>
          </w14:textFill>
        </w:rPr>
        <w:t>&lt; 90%</w:t>
      </w:r>
    </w:p>
    <w:p>
      <w:pPr>
        <w:tabs>
          <w:tab w:val="left" w:pos="1267"/>
        </w:tabs>
        <w:spacing w:line="360" w:lineRule="auto"/>
        <w:ind w:firstLine="420" w:firstLineChars="200"/>
        <w:rPr>
          <w:color w:val="000000" w:themeColor="text1"/>
          <w14:textFill>
            <w14:solidFill>
              <w14:schemeClr w14:val="tx1"/>
            </w14:solidFill>
          </w14:textFill>
        </w:rPr>
      </w:pPr>
      <w:r>
        <w:rPr>
          <w:color w:val="000000" w:themeColor="text1"/>
          <w14:textFill>
            <w14:solidFill>
              <w14:schemeClr w14:val="tx1"/>
            </w14:solidFill>
          </w14:textFill>
        </w:rPr>
        <w:t>3</w:t>
      </w:r>
      <w:r>
        <w:rPr>
          <w:rFonts w:hint="eastAsia"/>
          <w:color w:val="000000" w:themeColor="text1"/>
          <w14:textFill>
            <w14:solidFill>
              <w14:schemeClr w14:val="tx1"/>
            </w14:solidFill>
          </w14:textFill>
        </w:rPr>
        <w:t>、空气压力：</w:t>
      </w:r>
      <w:r>
        <w:rPr>
          <w:color w:val="000000" w:themeColor="text1"/>
          <w14:textFill>
            <w14:solidFill>
              <w14:schemeClr w14:val="tx1"/>
            </w14:solidFill>
          </w14:textFill>
        </w:rPr>
        <w:t>&gt; 70 kPa</w:t>
      </w:r>
    </w:p>
    <w:p>
      <w:pPr>
        <w:tabs>
          <w:tab w:val="left" w:pos="1267"/>
        </w:tabs>
        <w:spacing w:line="360" w:lineRule="auto"/>
        <w:ind w:firstLine="420" w:firstLineChars="200"/>
        <w:rPr>
          <w:color w:val="000000" w:themeColor="text1"/>
          <w14:textFill>
            <w14:solidFill>
              <w14:schemeClr w14:val="tx1"/>
            </w14:solidFill>
          </w14:textFill>
        </w:rPr>
      </w:pPr>
      <w:r>
        <w:rPr>
          <w:color w:val="000000" w:themeColor="text1"/>
          <w14:textFill>
            <w14:solidFill>
              <w14:schemeClr w14:val="tx1"/>
            </w14:solidFill>
          </w14:textFill>
        </w:rPr>
        <w:t>4</w:t>
      </w:r>
      <w:r>
        <w:rPr>
          <w:rFonts w:hint="eastAsia"/>
          <w:color w:val="000000" w:themeColor="text1"/>
          <w14:textFill>
            <w14:solidFill>
              <w14:schemeClr w14:val="tx1"/>
            </w14:solidFill>
          </w14:textFill>
        </w:rPr>
        <w:t>、振动：在使用合适的包装后，变压器设计须适应运输的要求。</w:t>
      </w:r>
    </w:p>
    <w:p>
      <w:pPr>
        <w:pStyle w:val="3"/>
        <w:numPr>
          <w:ilvl w:val="1"/>
          <w:numId w:val="0"/>
        </w:numPr>
        <w:rPr>
          <w:rFonts w:ascii="黑体" w:hAnsi="黑体" w:eastAsia="黑体"/>
          <w:color w:val="000000" w:themeColor="text1"/>
          <w14:textFill>
            <w14:solidFill>
              <w14:schemeClr w14:val="tx1"/>
            </w14:solidFill>
          </w14:textFill>
        </w:rPr>
      </w:pPr>
      <w:bookmarkStart w:id="26" w:name="_Toc177995327"/>
      <w:bookmarkStart w:id="27" w:name="_Toc510097173"/>
      <w:r>
        <w:rPr>
          <w:rFonts w:ascii="黑体" w:hAnsi="黑体" w:eastAsia="黑体"/>
          <w:color w:val="000000" w:themeColor="text1"/>
          <w14:textFill>
            <w14:solidFill>
              <w14:schemeClr w14:val="tx1"/>
            </w14:solidFill>
          </w14:textFill>
        </w:rPr>
        <w:t>4.4 机械要求</w:t>
      </w:r>
      <w:bookmarkEnd w:id="26"/>
      <w:bookmarkEnd w:id="27"/>
    </w:p>
    <w:p>
      <w:pPr>
        <w:tabs>
          <w:tab w:val="left" w:pos="1267"/>
        </w:tabs>
        <w:spacing w:line="360" w:lineRule="auto"/>
        <w:ind w:firstLine="420" w:firstLineChars="200"/>
        <w:rPr>
          <w:color w:val="000000" w:themeColor="text1"/>
          <w14:textFill>
            <w14:solidFill>
              <w14:schemeClr w14:val="tx1"/>
            </w14:solidFill>
          </w14:textFill>
        </w:rPr>
      </w:pPr>
      <w:bookmarkStart w:id="28" w:name="_Toc510097174"/>
      <w:r>
        <w:rPr>
          <w:color w:val="000000" w:themeColor="text1"/>
          <w14:textFill>
            <w14:solidFill>
              <w14:schemeClr w14:val="tx1"/>
            </w14:solidFill>
          </w14:textFill>
        </w:rPr>
        <w:t>1</w:t>
      </w:r>
      <w:r>
        <w:rPr>
          <w:rFonts w:hint="eastAsia"/>
          <w:color w:val="000000" w:themeColor="text1"/>
          <w14:textFill>
            <w14:solidFill>
              <w14:schemeClr w14:val="tx1"/>
            </w14:solidFill>
          </w14:textFill>
        </w:rPr>
        <w:t>、地震要求</w:t>
      </w:r>
      <w:bookmarkEnd w:id="28"/>
    </w:p>
    <w:p>
      <w:pPr>
        <w:tabs>
          <w:tab w:val="left" w:pos="1267"/>
        </w:tabs>
        <w:spacing w:line="360" w:lineRule="auto"/>
        <w:ind w:firstLine="420" w:firstLineChars="200"/>
        <w:rPr>
          <w:color w:val="000000" w:themeColor="text1"/>
          <w14:textFill>
            <w14:solidFill>
              <w14:schemeClr w14:val="tx1"/>
            </w14:solidFill>
          </w14:textFill>
        </w:rPr>
      </w:pPr>
      <w:bookmarkStart w:id="29" w:name="_Toc166483039"/>
      <w:r>
        <w:rPr>
          <w:rFonts w:hint="eastAsia"/>
          <w:color w:val="000000" w:themeColor="text1"/>
          <w14:textFill>
            <w14:solidFill>
              <w14:schemeClr w14:val="tx1"/>
            </w14:solidFill>
          </w14:textFill>
        </w:rPr>
        <w:t>设备应能够承受地震烈度的应力，以及由于各种故障或控制</w:t>
      </w:r>
      <w:r>
        <w:rPr>
          <w:color w:val="000000" w:themeColor="text1"/>
          <w14:textFill>
            <w14:solidFill>
              <w14:schemeClr w14:val="tx1"/>
            </w14:solidFill>
          </w14:textFill>
        </w:rPr>
        <w:t>/</w:t>
      </w:r>
      <w:r>
        <w:rPr>
          <w:rFonts w:hint="eastAsia"/>
          <w:color w:val="000000" w:themeColor="text1"/>
          <w14:textFill>
            <w14:solidFill>
              <w14:schemeClr w14:val="tx1"/>
            </w14:solidFill>
          </w14:textFill>
        </w:rPr>
        <w:t>保护系统动作或误动作产生的电动力。以下地震要求必须在设计中遵守：</w:t>
      </w:r>
    </w:p>
    <w:tbl>
      <w:tblPr>
        <w:tblStyle w:val="84"/>
        <w:tblW w:w="5334"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720"/>
        <w:gridCol w:w="3202"/>
        <w:gridCol w:w="1412"/>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884" w:hRule="atLeast"/>
          <w:jc w:val="center"/>
        </w:trPr>
        <w:tc>
          <w:tcPr>
            <w:tcW w:w="0" w:type="auto"/>
            <w:vAlign w:val="center"/>
          </w:tcPr>
          <w:p>
            <w:pPr>
              <w:spacing w:line="360" w:lineRule="auto"/>
              <w:jc w:val="center"/>
              <w:rPr>
                <w:color w:val="000000" w:themeColor="text1"/>
                <w:sz w:val="20"/>
                <w:szCs w:val="20"/>
                <w14:textFill>
                  <w14:solidFill>
                    <w14:schemeClr w14:val="tx1"/>
                  </w14:solidFill>
                </w14:textFill>
              </w:rPr>
            </w:pPr>
            <w:r>
              <w:rPr>
                <w:rFonts w:hint="eastAsia"/>
                <w:color w:val="000000" w:themeColor="text1"/>
                <w:sz w:val="20"/>
                <w:szCs w:val="20"/>
                <w14:textFill>
                  <w14:solidFill>
                    <w14:schemeClr w14:val="tx1"/>
                  </w14:solidFill>
                </w14:textFill>
              </w:rPr>
              <w:t>序</w:t>
            </w:r>
          </w:p>
          <w:p>
            <w:pPr>
              <w:spacing w:line="360" w:lineRule="auto"/>
              <w:jc w:val="center"/>
              <w:rPr>
                <w:color w:val="000000" w:themeColor="text1"/>
                <w:sz w:val="20"/>
                <w:szCs w:val="20"/>
                <w14:textFill>
                  <w14:solidFill>
                    <w14:schemeClr w14:val="tx1"/>
                  </w14:solidFill>
                </w14:textFill>
              </w:rPr>
            </w:pPr>
            <w:r>
              <w:rPr>
                <w:rFonts w:hint="eastAsia"/>
                <w:color w:val="000000" w:themeColor="text1"/>
                <w:sz w:val="20"/>
                <w:szCs w:val="20"/>
                <w14:textFill>
                  <w14:solidFill>
                    <w14:schemeClr w14:val="tx1"/>
                  </w14:solidFill>
                </w14:textFill>
              </w:rPr>
              <w:t>号</w:t>
            </w:r>
          </w:p>
        </w:tc>
        <w:tc>
          <w:tcPr>
            <w:tcW w:w="0" w:type="auto"/>
            <w:vAlign w:val="center"/>
          </w:tcPr>
          <w:p>
            <w:pPr>
              <w:spacing w:line="360" w:lineRule="auto"/>
              <w:jc w:val="center"/>
              <w:rPr>
                <w:color w:val="000000" w:themeColor="text1"/>
                <w:sz w:val="20"/>
                <w:szCs w:val="20"/>
                <w14:textFill>
                  <w14:solidFill>
                    <w14:schemeClr w14:val="tx1"/>
                  </w14:solidFill>
                </w14:textFill>
              </w:rPr>
            </w:pPr>
            <w:r>
              <w:rPr>
                <w:rFonts w:hint="eastAsia"/>
                <w:color w:val="000000" w:themeColor="text1"/>
                <w:sz w:val="20"/>
                <w:szCs w:val="20"/>
                <w14:textFill>
                  <w14:solidFill>
                    <w14:schemeClr w14:val="tx1"/>
                  </w14:solidFill>
                </w14:textFill>
              </w:rPr>
              <w:t>名称</w:t>
            </w:r>
          </w:p>
        </w:tc>
        <w:tc>
          <w:tcPr>
            <w:tcW w:w="0" w:type="auto"/>
            <w:vAlign w:val="center"/>
          </w:tcPr>
          <w:p>
            <w:pPr>
              <w:spacing w:line="360" w:lineRule="auto"/>
              <w:jc w:val="center"/>
              <w:rPr>
                <w:color w:val="000000" w:themeColor="text1"/>
                <w:sz w:val="20"/>
                <w:szCs w:val="20"/>
                <w14:textFill>
                  <w14:solidFill>
                    <w14:schemeClr w14:val="tx1"/>
                  </w14:solidFill>
                </w14:textFill>
              </w:rPr>
            </w:pPr>
            <w:r>
              <w:rPr>
                <w:rFonts w:hint="eastAsia"/>
                <w:color w:val="000000" w:themeColor="text1"/>
                <w:sz w:val="20"/>
                <w:szCs w:val="20"/>
                <w14:textFill>
                  <w14:solidFill>
                    <w14:schemeClr w14:val="tx1"/>
                  </w14:solidFill>
                </w14:textFill>
              </w:rPr>
              <w:t>要求值</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21" w:hRule="atLeast"/>
          <w:jc w:val="center"/>
        </w:trPr>
        <w:tc>
          <w:tcPr>
            <w:tcW w:w="0" w:type="auto"/>
          </w:tcPr>
          <w:p>
            <w:pPr>
              <w:spacing w:line="360" w:lineRule="auto"/>
              <w:jc w:val="center"/>
              <w:rPr>
                <w:color w:val="000000" w:themeColor="text1"/>
                <w:sz w:val="20"/>
                <w:szCs w:val="20"/>
                <w14:textFill>
                  <w14:solidFill>
                    <w14:schemeClr w14:val="tx1"/>
                  </w14:solidFill>
                </w14:textFill>
              </w:rPr>
            </w:pPr>
            <w:r>
              <w:rPr>
                <w:color w:val="000000" w:themeColor="text1"/>
                <w:sz w:val="20"/>
                <w:szCs w:val="20"/>
                <w14:textFill>
                  <w14:solidFill>
                    <w14:schemeClr w14:val="tx1"/>
                  </w14:solidFill>
                </w14:textFill>
              </w:rPr>
              <w:t>1</w:t>
            </w:r>
          </w:p>
        </w:tc>
        <w:tc>
          <w:tcPr>
            <w:tcW w:w="0" w:type="auto"/>
          </w:tcPr>
          <w:p>
            <w:pPr>
              <w:spacing w:line="360" w:lineRule="auto"/>
              <w:jc w:val="center"/>
              <w:rPr>
                <w:color w:val="000000" w:themeColor="text1"/>
                <w:sz w:val="20"/>
                <w:szCs w:val="20"/>
                <w14:textFill>
                  <w14:solidFill>
                    <w14:schemeClr w14:val="tx1"/>
                  </w14:solidFill>
                </w14:textFill>
              </w:rPr>
            </w:pPr>
            <w:r>
              <w:rPr>
                <w:rFonts w:hint="eastAsia"/>
                <w:color w:val="000000" w:themeColor="text1"/>
                <w:sz w:val="20"/>
                <w:szCs w:val="20"/>
                <w14:textFill>
                  <w14:solidFill>
                    <w14:schemeClr w14:val="tx1"/>
                  </w14:solidFill>
                </w14:textFill>
              </w:rPr>
              <w:t>设计水平加速度</w:t>
            </w:r>
            <w:r>
              <w:rPr>
                <w:color w:val="000000" w:themeColor="text1"/>
                <w:sz w:val="20"/>
                <w:szCs w:val="20"/>
                <w14:textFill>
                  <w14:solidFill>
                    <w14:schemeClr w14:val="tx1"/>
                  </w14:solidFill>
                </w14:textFill>
              </w:rPr>
              <w:t>(g)</w:t>
            </w:r>
          </w:p>
        </w:tc>
        <w:tc>
          <w:tcPr>
            <w:tcW w:w="0" w:type="auto"/>
            <w:vAlign w:val="center"/>
          </w:tcPr>
          <w:p>
            <w:pPr>
              <w:spacing w:line="360" w:lineRule="auto"/>
              <w:jc w:val="center"/>
              <w:rPr>
                <w:color w:val="000000" w:themeColor="text1"/>
                <w:sz w:val="20"/>
                <w:szCs w:val="20"/>
                <w14:textFill>
                  <w14:solidFill>
                    <w14:schemeClr w14:val="tx1"/>
                  </w14:solidFill>
                </w14:textFill>
              </w:rPr>
            </w:pPr>
            <w:r>
              <w:rPr>
                <w:color w:val="000000" w:themeColor="text1"/>
                <w:sz w:val="20"/>
                <w:szCs w:val="20"/>
                <w14:textFill>
                  <w14:solidFill>
                    <w14:schemeClr w14:val="tx1"/>
                  </w14:solidFill>
                </w14:textFill>
              </w:rPr>
              <w:t>0.25</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49" w:hRule="atLeast"/>
          <w:jc w:val="center"/>
        </w:trPr>
        <w:tc>
          <w:tcPr>
            <w:tcW w:w="0" w:type="auto"/>
          </w:tcPr>
          <w:p>
            <w:pPr>
              <w:spacing w:line="360" w:lineRule="auto"/>
              <w:jc w:val="center"/>
              <w:rPr>
                <w:color w:val="000000" w:themeColor="text1"/>
                <w:sz w:val="20"/>
                <w:szCs w:val="20"/>
                <w14:textFill>
                  <w14:solidFill>
                    <w14:schemeClr w14:val="tx1"/>
                  </w14:solidFill>
                </w14:textFill>
              </w:rPr>
            </w:pPr>
            <w:r>
              <w:rPr>
                <w:color w:val="000000" w:themeColor="text1"/>
                <w:sz w:val="20"/>
                <w:szCs w:val="20"/>
                <w14:textFill>
                  <w14:solidFill>
                    <w14:schemeClr w14:val="tx1"/>
                  </w14:solidFill>
                </w14:textFill>
              </w:rPr>
              <w:t>2</w:t>
            </w:r>
          </w:p>
        </w:tc>
        <w:tc>
          <w:tcPr>
            <w:tcW w:w="0" w:type="auto"/>
          </w:tcPr>
          <w:p>
            <w:pPr>
              <w:spacing w:line="360" w:lineRule="auto"/>
              <w:jc w:val="center"/>
              <w:rPr>
                <w:color w:val="000000" w:themeColor="text1"/>
                <w:sz w:val="20"/>
                <w:szCs w:val="20"/>
                <w14:textFill>
                  <w14:solidFill>
                    <w14:schemeClr w14:val="tx1"/>
                  </w14:solidFill>
                </w14:textFill>
              </w:rPr>
            </w:pPr>
            <w:r>
              <w:rPr>
                <w:rFonts w:hint="eastAsia"/>
                <w:color w:val="000000" w:themeColor="text1"/>
                <w:sz w:val="20"/>
                <w:szCs w:val="20"/>
                <w14:textFill>
                  <w14:solidFill>
                    <w14:schemeClr w14:val="tx1"/>
                  </w14:solidFill>
                </w14:textFill>
              </w:rPr>
              <w:t>设计垂直加速度</w:t>
            </w:r>
            <w:r>
              <w:rPr>
                <w:color w:val="000000" w:themeColor="text1"/>
                <w:sz w:val="20"/>
                <w:szCs w:val="20"/>
                <w14:textFill>
                  <w14:solidFill>
                    <w14:schemeClr w14:val="tx1"/>
                  </w14:solidFill>
                </w14:textFill>
              </w:rPr>
              <w:t>(g)</w:t>
            </w:r>
          </w:p>
        </w:tc>
        <w:tc>
          <w:tcPr>
            <w:tcW w:w="0" w:type="auto"/>
            <w:vAlign w:val="center"/>
          </w:tcPr>
          <w:p>
            <w:pPr>
              <w:spacing w:line="360" w:lineRule="auto"/>
              <w:jc w:val="center"/>
              <w:rPr>
                <w:color w:val="000000" w:themeColor="text1"/>
                <w:sz w:val="20"/>
                <w:szCs w:val="20"/>
                <w14:textFill>
                  <w14:solidFill>
                    <w14:schemeClr w14:val="tx1"/>
                  </w14:solidFill>
                </w14:textFill>
              </w:rPr>
            </w:pPr>
            <w:r>
              <w:rPr>
                <w:color w:val="000000" w:themeColor="text1"/>
                <w:sz w:val="20"/>
                <w:szCs w:val="20"/>
                <w14:textFill>
                  <w14:solidFill>
                    <w14:schemeClr w14:val="tx1"/>
                  </w14:solidFill>
                </w14:textFill>
              </w:rPr>
              <w:t>0.125</w:t>
            </w:r>
          </w:p>
        </w:tc>
      </w:tr>
      <w:bookmarkEnd w:id="29"/>
    </w:tbl>
    <w:p>
      <w:pPr>
        <w:tabs>
          <w:tab w:val="left" w:pos="1267"/>
        </w:tabs>
        <w:spacing w:line="360" w:lineRule="auto"/>
        <w:ind w:firstLine="420" w:firstLineChars="200"/>
        <w:rPr>
          <w:color w:val="000000" w:themeColor="text1"/>
          <w14:textFill>
            <w14:solidFill>
              <w14:schemeClr w14:val="tx1"/>
            </w14:solidFill>
          </w14:textFill>
        </w:rPr>
      </w:pPr>
      <w:bookmarkStart w:id="30" w:name="_Toc510097175"/>
      <w:r>
        <w:rPr>
          <w:color w:val="000000" w:themeColor="text1"/>
          <w14:textFill>
            <w14:solidFill>
              <w14:schemeClr w14:val="tx1"/>
            </w14:solidFill>
          </w14:textFill>
        </w:rPr>
        <w:t>2</w:t>
      </w:r>
      <w:r>
        <w:rPr>
          <w:rFonts w:hint="eastAsia"/>
          <w:color w:val="000000" w:themeColor="text1"/>
          <w14:textFill>
            <w14:solidFill>
              <w14:schemeClr w14:val="tx1"/>
            </w14:solidFill>
          </w14:textFill>
        </w:rPr>
        <w:t>、防风要求</w:t>
      </w:r>
    </w:p>
    <w:p>
      <w:pPr>
        <w:tabs>
          <w:tab w:val="left" w:pos="1267"/>
        </w:tabs>
        <w:spacing w:line="360" w:lineRule="auto"/>
        <w:ind w:firstLine="420" w:firstLineChars="200"/>
        <w:rPr>
          <w:color w:val="000000" w:themeColor="text1"/>
          <w14:textFill>
            <w14:solidFill>
              <w14:schemeClr w14:val="tx1"/>
            </w14:solidFill>
          </w14:textFill>
        </w:rPr>
      </w:pPr>
      <w:r>
        <w:rPr>
          <w:rFonts w:hint="eastAsia"/>
          <w:color w:val="000000" w:themeColor="text1"/>
          <w14:textFill>
            <w14:solidFill>
              <w14:schemeClr w14:val="tx1"/>
            </w14:solidFill>
          </w14:textFill>
        </w:rPr>
        <w:t>设备应能适应</w:t>
      </w:r>
      <w:r>
        <w:rPr>
          <w:color w:val="000000" w:themeColor="text1"/>
          <w14:textFill>
            <w14:solidFill>
              <w14:schemeClr w14:val="tx1"/>
            </w14:solidFill>
          </w14:textFill>
        </w:rPr>
        <w:t>I</w:t>
      </w:r>
      <w:r>
        <w:rPr>
          <w:rFonts w:hint="eastAsia"/>
          <w:color w:val="000000" w:themeColor="text1"/>
          <w14:textFill>
            <w14:solidFill>
              <w14:schemeClr w14:val="tx1"/>
            </w14:solidFill>
          </w14:textFill>
        </w:rPr>
        <w:t>类风区的防风要求</w:t>
      </w:r>
    </w:p>
    <w:p>
      <w:pPr>
        <w:tabs>
          <w:tab w:val="left" w:pos="1267"/>
        </w:tabs>
        <w:spacing w:line="360" w:lineRule="auto"/>
        <w:ind w:firstLine="420" w:firstLineChars="200"/>
        <w:rPr>
          <w:color w:val="000000" w:themeColor="text1"/>
          <w14:textFill>
            <w14:solidFill>
              <w14:schemeClr w14:val="tx1"/>
            </w14:solidFill>
          </w14:textFill>
        </w:rPr>
      </w:pPr>
      <w:r>
        <w:rPr>
          <w:color w:val="000000" w:themeColor="text1"/>
          <w14:textFill>
            <w14:solidFill>
              <w14:schemeClr w14:val="tx1"/>
            </w14:solidFill>
          </w14:textFill>
        </w:rPr>
        <w:t>3</w:t>
      </w:r>
      <w:r>
        <w:rPr>
          <w:rFonts w:hint="eastAsia"/>
          <w:color w:val="000000" w:themeColor="text1"/>
          <w14:textFill>
            <w14:solidFill>
              <w14:schemeClr w14:val="tx1"/>
            </w14:solidFill>
          </w14:textFill>
        </w:rPr>
        <w:t>、其他要求</w:t>
      </w:r>
      <w:bookmarkEnd w:id="30"/>
    </w:p>
    <w:bookmarkEnd w:id="21"/>
    <w:p>
      <w:pPr>
        <w:tabs>
          <w:tab w:val="left" w:pos="1267"/>
        </w:tabs>
        <w:spacing w:line="360" w:lineRule="auto"/>
        <w:ind w:firstLine="420" w:firstLineChars="200"/>
        <w:rPr>
          <w:color w:val="000000" w:themeColor="text1"/>
          <w14:textFill>
            <w14:solidFill>
              <w14:schemeClr w14:val="tx1"/>
            </w14:solidFill>
          </w14:textFill>
        </w:rPr>
      </w:pPr>
      <w:bookmarkStart w:id="31" w:name="_Toc296004684"/>
      <w:bookmarkStart w:id="32" w:name="_Toc276492375"/>
      <w:bookmarkStart w:id="33" w:name="_Toc276490903"/>
      <w:r>
        <w:rPr>
          <w:rFonts w:hint="eastAsia"/>
          <w:color w:val="000000" w:themeColor="text1"/>
          <w14:textFill>
            <w14:solidFill>
              <w14:schemeClr w14:val="tx1"/>
            </w14:solidFill>
          </w14:textFill>
        </w:rPr>
        <w:t>场地符合</w:t>
      </w:r>
      <w:r>
        <w:rPr>
          <w:color w:val="000000" w:themeColor="text1"/>
          <w14:textFill>
            <w14:solidFill>
              <w14:schemeClr w14:val="tx1"/>
            </w14:solidFill>
          </w14:textFill>
        </w:rPr>
        <w:t>GB/T 9361-2011</w:t>
      </w:r>
      <w:r>
        <w:rPr>
          <w:rFonts w:hint="eastAsia"/>
          <w:color w:val="000000" w:themeColor="text1"/>
          <w14:textFill>
            <w14:solidFill>
              <w14:schemeClr w14:val="tx1"/>
            </w14:solidFill>
          </w14:textFill>
        </w:rPr>
        <w:t>中</w:t>
      </w:r>
      <w:r>
        <w:rPr>
          <w:color w:val="000000" w:themeColor="text1"/>
          <w14:textFill>
            <w14:solidFill>
              <w14:schemeClr w14:val="tx1"/>
            </w14:solidFill>
          </w14:textFill>
        </w:rPr>
        <w:t>B</w:t>
      </w:r>
      <w:r>
        <w:rPr>
          <w:rFonts w:hint="eastAsia"/>
          <w:color w:val="000000" w:themeColor="text1"/>
          <w14:textFill>
            <w14:solidFill>
              <w14:schemeClr w14:val="tx1"/>
            </w14:solidFill>
          </w14:textFill>
        </w:rPr>
        <w:t>类安全要求；</w:t>
      </w:r>
    </w:p>
    <w:p>
      <w:pPr>
        <w:tabs>
          <w:tab w:val="left" w:pos="1267"/>
        </w:tabs>
        <w:spacing w:line="360" w:lineRule="auto"/>
        <w:ind w:firstLine="420" w:firstLineChars="200"/>
        <w:rPr>
          <w:color w:val="000000" w:themeColor="text1"/>
          <w14:textFill>
            <w14:solidFill>
              <w14:schemeClr w14:val="tx1"/>
            </w14:solidFill>
          </w14:textFill>
        </w:rPr>
      </w:pPr>
      <w:r>
        <w:rPr>
          <w:rFonts w:hint="eastAsia"/>
          <w:color w:val="000000" w:themeColor="text1"/>
          <w14:textFill>
            <w14:solidFill>
              <w14:schemeClr w14:val="tx1"/>
            </w14:solidFill>
          </w14:textFill>
        </w:rPr>
        <w:t>使用地点不出现超过</w:t>
      </w:r>
      <w:r>
        <w:rPr>
          <w:color w:val="000000" w:themeColor="text1"/>
          <w14:textFill>
            <w14:solidFill>
              <w14:schemeClr w14:val="tx1"/>
            </w14:solidFill>
          </w14:textFill>
        </w:rPr>
        <w:t>GB/T 11287</w:t>
      </w:r>
      <w:r>
        <w:rPr>
          <w:rFonts w:hint="eastAsia"/>
          <w:color w:val="000000" w:themeColor="text1"/>
          <w14:textFill>
            <w14:solidFill>
              <w14:schemeClr w14:val="tx1"/>
            </w14:solidFill>
          </w14:textFill>
        </w:rPr>
        <w:t>规定的严酷等级为</w:t>
      </w:r>
      <w:r>
        <w:rPr>
          <w:color w:val="000000" w:themeColor="text1"/>
          <w14:textFill>
            <w14:solidFill>
              <w14:schemeClr w14:val="tx1"/>
            </w14:solidFill>
          </w14:textFill>
        </w:rPr>
        <w:t>I</w:t>
      </w:r>
      <w:r>
        <w:rPr>
          <w:rFonts w:hint="eastAsia"/>
          <w:color w:val="000000" w:themeColor="text1"/>
          <w14:textFill>
            <w14:solidFill>
              <w14:schemeClr w14:val="tx1"/>
            </w14:solidFill>
          </w14:textFill>
        </w:rPr>
        <w:t>级的振动；不发生</w:t>
      </w:r>
      <w:r>
        <w:rPr>
          <w:color w:val="000000" w:themeColor="text1"/>
          <w14:textFill>
            <w14:solidFill>
              <w14:schemeClr w14:val="tx1"/>
            </w14:solidFill>
          </w14:textFill>
        </w:rPr>
        <w:t>GB/T 17742</w:t>
      </w:r>
      <w:r>
        <w:rPr>
          <w:rFonts w:hint="eastAsia"/>
          <w:color w:val="000000" w:themeColor="text1"/>
          <w14:textFill>
            <w14:solidFill>
              <w14:schemeClr w14:val="tx1"/>
            </w14:solidFill>
          </w14:textFill>
        </w:rPr>
        <w:t>－</w:t>
      </w:r>
      <w:r>
        <w:rPr>
          <w:color w:val="000000" w:themeColor="text1"/>
          <w14:textFill>
            <w14:solidFill>
              <w14:schemeClr w14:val="tx1"/>
            </w14:solidFill>
          </w14:textFill>
        </w:rPr>
        <w:t>2020</w:t>
      </w:r>
      <w:r>
        <w:rPr>
          <w:rFonts w:hint="eastAsia"/>
          <w:color w:val="000000" w:themeColor="text1"/>
          <w14:textFill>
            <w14:solidFill>
              <w14:schemeClr w14:val="tx1"/>
            </w14:solidFill>
          </w14:textFill>
        </w:rPr>
        <w:t>规定的烈度为Ⅶ度的地震；</w:t>
      </w:r>
    </w:p>
    <w:p>
      <w:pPr>
        <w:tabs>
          <w:tab w:val="left" w:pos="1267"/>
        </w:tabs>
        <w:spacing w:line="360" w:lineRule="auto"/>
        <w:ind w:firstLine="420" w:firstLineChars="200"/>
        <w:rPr>
          <w:color w:val="000000" w:themeColor="text1"/>
          <w14:textFill>
            <w14:solidFill>
              <w14:schemeClr w14:val="tx1"/>
            </w14:solidFill>
          </w14:textFill>
        </w:rPr>
      </w:pPr>
      <w:r>
        <w:rPr>
          <w:rFonts w:hint="eastAsia"/>
          <w:color w:val="000000" w:themeColor="text1"/>
          <w14:textFill>
            <w14:solidFill>
              <w14:schemeClr w14:val="tx1"/>
            </w14:solidFill>
          </w14:textFill>
        </w:rPr>
        <w:t>使用地点无爆炸危险的物质，周围介质中不含有能腐蚀金属、破坏绝缘和表面敷层的介质及导电介质，没有严重的霉菌存在。</w:t>
      </w:r>
    </w:p>
    <w:p>
      <w:pPr>
        <w:pStyle w:val="2"/>
        <w:numPr>
          <w:ilvl w:val="0"/>
          <w:numId w:val="0"/>
        </w:numPr>
        <w:snapToGrid/>
        <w:spacing w:before="0" w:beforeLines="0" w:line="480" w:lineRule="auto"/>
        <w:rPr>
          <w:rFonts w:ascii="黑体" w:eastAsia="黑体"/>
          <w:color w:val="000000" w:themeColor="text1"/>
          <w14:textFill>
            <w14:solidFill>
              <w14:schemeClr w14:val="tx1"/>
            </w14:solidFill>
          </w14:textFill>
        </w:rPr>
      </w:pPr>
      <w:bookmarkStart w:id="34" w:name="_Toc177995328"/>
      <w:r>
        <w:rPr>
          <w:rFonts w:ascii="黑体" w:eastAsia="黑体"/>
          <w:color w:val="000000" w:themeColor="text1"/>
          <w14:textFill>
            <w14:solidFill>
              <w14:schemeClr w14:val="tx1"/>
            </w14:solidFill>
          </w14:textFill>
        </w:rPr>
        <w:t xml:space="preserve">5 </w:t>
      </w:r>
      <w:r>
        <w:rPr>
          <w:rFonts w:hint="eastAsia" w:ascii="黑体" w:eastAsia="黑体"/>
          <w:color w:val="000000" w:themeColor="text1"/>
          <w14:textFill>
            <w14:solidFill>
              <w14:schemeClr w14:val="tx1"/>
            </w14:solidFill>
          </w14:textFill>
        </w:rPr>
        <w:t>★</w:t>
      </w:r>
      <w:bookmarkEnd w:id="31"/>
      <w:bookmarkStart w:id="35" w:name="_Toc296423554"/>
      <w:bookmarkEnd w:id="35"/>
      <w:bookmarkStart w:id="36" w:name="_Toc296431488"/>
      <w:bookmarkEnd w:id="36"/>
      <w:bookmarkStart w:id="37" w:name="_Toc296004685"/>
      <w:bookmarkEnd w:id="37"/>
      <w:r>
        <w:rPr>
          <w:rFonts w:hint="eastAsia" w:ascii="黑体" w:eastAsia="黑体"/>
          <w:color w:val="000000" w:themeColor="text1"/>
          <w14:textFill>
            <w14:solidFill>
              <w14:schemeClr w14:val="tx1"/>
            </w14:solidFill>
          </w14:textFill>
        </w:rPr>
        <w:t>舱体通用部分技术</w:t>
      </w:r>
      <w:bookmarkEnd w:id="32"/>
      <w:bookmarkEnd w:id="33"/>
      <w:r>
        <w:rPr>
          <w:rFonts w:hint="eastAsia" w:ascii="黑体" w:eastAsia="黑体"/>
          <w:color w:val="000000" w:themeColor="text1"/>
          <w14:textFill>
            <w14:solidFill>
              <w14:schemeClr w14:val="tx1"/>
            </w14:solidFill>
          </w14:textFill>
        </w:rPr>
        <w:t>要求</w:t>
      </w:r>
      <w:bookmarkEnd w:id="34"/>
    </w:p>
    <w:bookmarkEnd w:id="0"/>
    <w:p>
      <w:pPr>
        <w:pStyle w:val="3"/>
        <w:numPr>
          <w:ilvl w:val="1"/>
          <w:numId w:val="0"/>
        </w:numPr>
        <w:rPr>
          <w:rFonts w:ascii="黑体" w:hAnsi="黑体" w:eastAsia="黑体"/>
          <w:color w:val="000000" w:themeColor="text1"/>
          <w14:textFill>
            <w14:solidFill>
              <w14:schemeClr w14:val="tx1"/>
            </w14:solidFill>
          </w14:textFill>
        </w:rPr>
      </w:pPr>
      <w:bookmarkStart w:id="38" w:name="_Toc119049800"/>
      <w:bookmarkStart w:id="39" w:name="_Toc177995329"/>
      <w:bookmarkStart w:id="40" w:name="_Toc389407318"/>
      <w:bookmarkStart w:id="41" w:name="_Toc111620759"/>
      <w:bookmarkStart w:id="42" w:name="_Toc276492417"/>
      <w:bookmarkStart w:id="43" w:name="_Toc276490905"/>
      <w:bookmarkStart w:id="44" w:name="_Toc271281212"/>
      <w:r>
        <w:rPr>
          <w:rFonts w:ascii="黑体" w:hAnsi="黑体" w:eastAsia="黑体"/>
          <w:color w:val="000000" w:themeColor="text1"/>
          <w14:textFill>
            <w14:solidFill>
              <w14:schemeClr w14:val="tx1"/>
            </w14:solidFill>
          </w14:textFill>
        </w:rPr>
        <w:t>5.1 预制舱总体要求</w:t>
      </w:r>
      <w:bookmarkEnd w:id="38"/>
      <w:bookmarkEnd w:id="39"/>
      <w:bookmarkEnd w:id="40"/>
    </w:p>
    <w:p>
      <w:pPr>
        <w:tabs>
          <w:tab w:val="left" w:pos="1267"/>
        </w:tabs>
        <w:spacing w:line="360" w:lineRule="auto"/>
        <w:ind w:firstLine="420" w:firstLineChars="200"/>
        <w:rPr>
          <w:color w:val="000000" w:themeColor="text1"/>
          <w14:textFill>
            <w14:solidFill>
              <w14:schemeClr w14:val="tx1"/>
            </w14:solidFill>
          </w14:textFill>
        </w:rPr>
      </w:pPr>
      <w:r>
        <w:rPr>
          <w:color w:val="000000" w:themeColor="text1"/>
          <w14:textFill>
            <w14:solidFill>
              <w14:schemeClr w14:val="tx1"/>
            </w14:solidFill>
          </w14:textFill>
        </w:rPr>
        <w:t>1</w:t>
      </w:r>
      <w:r>
        <w:rPr>
          <w:rFonts w:hint="eastAsia"/>
          <w:color w:val="000000" w:themeColor="text1"/>
          <w14:textFill>
            <w14:solidFill>
              <w14:schemeClr w14:val="tx1"/>
            </w14:solidFill>
          </w14:textFill>
        </w:rPr>
        <w:t>、户外运行，要求抗冲击能力强，防盗、防破坏能力强；</w:t>
      </w:r>
    </w:p>
    <w:p>
      <w:pPr>
        <w:tabs>
          <w:tab w:val="left" w:pos="1267"/>
        </w:tabs>
        <w:spacing w:line="360" w:lineRule="auto"/>
        <w:ind w:firstLine="420" w:firstLineChars="200"/>
        <w:rPr>
          <w:color w:val="000000" w:themeColor="text1"/>
          <w14:textFill>
            <w14:solidFill>
              <w14:schemeClr w14:val="tx1"/>
            </w14:solidFill>
          </w14:textFill>
        </w:rPr>
      </w:pPr>
      <w:r>
        <w:rPr>
          <w:color w:val="000000" w:themeColor="text1"/>
          <w14:textFill>
            <w14:solidFill>
              <w14:schemeClr w14:val="tx1"/>
            </w14:solidFill>
          </w14:textFill>
        </w:rPr>
        <w:t>2</w:t>
      </w:r>
      <w:r>
        <w:rPr>
          <w:rFonts w:hint="eastAsia"/>
          <w:color w:val="000000" w:themeColor="text1"/>
          <w14:textFill>
            <w14:solidFill>
              <w14:schemeClr w14:val="tx1"/>
            </w14:solidFill>
          </w14:textFill>
        </w:rPr>
        <w:t>、舱体在</w:t>
      </w:r>
      <w:r>
        <w:rPr>
          <w:color w:val="000000" w:themeColor="text1"/>
          <w14:textFill>
            <w14:solidFill>
              <w14:schemeClr w14:val="tx1"/>
            </w14:solidFill>
          </w14:textFill>
        </w:rPr>
        <w:t>C5</w:t>
      </w:r>
      <w:r>
        <w:rPr>
          <w:rFonts w:hint="eastAsia"/>
          <w:color w:val="000000" w:themeColor="text1"/>
          <w14:textFill>
            <w14:solidFill>
              <w14:schemeClr w14:val="tx1"/>
            </w14:solidFill>
          </w14:textFill>
        </w:rPr>
        <w:t>环境下</w:t>
      </w:r>
      <w:r>
        <w:rPr>
          <w:color w:val="000000" w:themeColor="text1"/>
          <w14:textFill>
            <w14:solidFill>
              <w14:schemeClr w14:val="tx1"/>
            </w14:solidFill>
          </w14:textFill>
        </w:rPr>
        <w:t>15</w:t>
      </w:r>
      <w:r>
        <w:rPr>
          <w:rFonts w:hint="eastAsia"/>
          <w:color w:val="000000" w:themeColor="text1"/>
          <w14:textFill>
            <w14:solidFill>
              <w14:schemeClr w14:val="tx1"/>
            </w14:solidFill>
          </w14:textFill>
        </w:rPr>
        <w:t>年不锈蚀，定期维护的情况下</w:t>
      </w:r>
      <w:r>
        <w:rPr>
          <w:color w:val="000000" w:themeColor="text1"/>
          <w14:textFill>
            <w14:solidFill>
              <w14:schemeClr w14:val="tx1"/>
            </w14:solidFill>
          </w14:textFill>
        </w:rPr>
        <w:t>40</w:t>
      </w:r>
      <w:r>
        <w:rPr>
          <w:rFonts w:hint="eastAsia"/>
          <w:color w:val="000000" w:themeColor="text1"/>
          <w14:textFill>
            <w14:solidFill>
              <w14:schemeClr w14:val="tx1"/>
            </w14:solidFill>
          </w14:textFill>
        </w:rPr>
        <w:t>年不锈蚀。；</w:t>
      </w:r>
    </w:p>
    <w:p>
      <w:pPr>
        <w:tabs>
          <w:tab w:val="left" w:pos="1267"/>
        </w:tabs>
        <w:spacing w:line="360" w:lineRule="auto"/>
        <w:ind w:firstLine="420" w:firstLineChars="200"/>
        <w:rPr>
          <w:b w:val="0"/>
          <w:bCs/>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3</w:t>
      </w:r>
      <w:r>
        <w:rPr>
          <w:rFonts w:hint="eastAsia"/>
          <w:color w:val="000000" w:themeColor="text1"/>
          <w:highlight w:val="none"/>
          <w14:textFill>
            <w14:solidFill>
              <w14:schemeClr w14:val="tx1"/>
            </w14:solidFill>
          </w14:textFill>
        </w:rPr>
        <w:t>、舱体外形美观、大方、协调。</w:t>
      </w:r>
      <w:r>
        <w:rPr>
          <w:rFonts w:hint="eastAsia"/>
          <w:b w:val="0"/>
          <w:bCs/>
          <w:color w:val="000000" w:themeColor="text1"/>
          <w:highlight w:val="none"/>
          <w14:textFill>
            <w14:solidFill>
              <w14:schemeClr w14:val="tx1"/>
            </w14:solidFill>
          </w14:textFill>
        </w:rPr>
        <w:t>外立面材料为仿石材面层彩钢板+</w:t>
      </w:r>
      <w:r>
        <w:rPr>
          <w:b w:val="0"/>
          <w:bCs/>
          <w:color w:val="000000" w:themeColor="text1"/>
          <w:highlight w:val="none"/>
          <w14:textFill>
            <w14:solidFill>
              <w14:schemeClr w14:val="tx1"/>
            </w14:solidFill>
          </w14:textFill>
        </w:rPr>
        <w:t>节能玻璃幕墙，</w:t>
      </w:r>
      <w:r>
        <w:rPr>
          <w:rFonts w:hint="eastAsia"/>
          <w:b w:val="0"/>
          <w:bCs/>
          <w:color w:val="000000" w:themeColor="text1"/>
          <w:highlight w:val="none"/>
          <w:lang w:val="en-US" w:eastAsia="zh-CN"/>
          <w14:textFill>
            <w14:solidFill>
              <w14:schemeClr w14:val="tx1"/>
            </w14:solidFill>
          </w14:textFill>
        </w:rPr>
        <w:t>材质及材质强度应满足《预制舱式10kV~35kV一二次组合设备技术规范》</w:t>
      </w:r>
      <w:r>
        <w:rPr>
          <w:rFonts w:hint="eastAsia"/>
          <w:b w:val="0"/>
          <w:bCs/>
          <w:color w:val="000000" w:themeColor="text1"/>
          <w:highlight w:val="none"/>
          <w:lang w:val="en-US" w:eastAsia="zh-CN"/>
          <w14:textFill>
            <w14:solidFill>
              <w14:schemeClr w14:val="tx1"/>
            </w14:solidFill>
          </w14:textFill>
        </w:rPr>
        <w:t>（Q/GDW 11882—2018）</w:t>
      </w:r>
      <w:r>
        <w:rPr>
          <w:rFonts w:hint="eastAsia"/>
          <w:b w:val="0"/>
          <w:bCs/>
          <w:color w:val="000000" w:themeColor="text1"/>
          <w:highlight w:val="none"/>
          <w:lang w:val="en-US" w:eastAsia="zh-CN"/>
          <w14:textFill>
            <w14:solidFill>
              <w14:schemeClr w14:val="tx1"/>
            </w14:solidFill>
          </w14:textFill>
        </w:rPr>
        <w:t>和《预制舱式二次组合设备技术规范》</w:t>
      </w:r>
      <w:r>
        <w:rPr>
          <w:rFonts w:hint="eastAsia"/>
          <w:b w:val="0"/>
          <w:bCs/>
          <w:color w:val="000000" w:themeColor="text1"/>
          <w:highlight w:val="none"/>
          <w:lang w:val="en-US" w:eastAsia="zh-CN"/>
          <w14:textFill>
            <w14:solidFill>
              <w14:schemeClr w14:val="tx1"/>
            </w14:solidFill>
          </w14:textFill>
        </w:rPr>
        <w:t>（Q/GDW 11157—2017）</w:t>
      </w:r>
      <w:r>
        <w:rPr>
          <w:rFonts w:hint="eastAsia"/>
          <w:b w:val="0"/>
          <w:bCs/>
          <w:color w:val="000000" w:themeColor="text1"/>
          <w:highlight w:val="none"/>
          <w:lang w:val="en-US" w:eastAsia="zh-CN"/>
          <w14:textFill>
            <w14:solidFill>
              <w14:schemeClr w14:val="tx1"/>
            </w14:solidFill>
          </w14:textFill>
        </w:rPr>
        <w:t>，</w:t>
      </w:r>
      <w:r>
        <w:rPr>
          <w:rFonts w:hint="eastAsia"/>
          <w:b w:val="0"/>
          <w:bCs/>
          <w:color w:val="000000" w:themeColor="text1"/>
          <w:highlight w:val="none"/>
          <w14:textFill>
            <w14:solidFill>
              <w14:schemeClr w14:val="tx1"/>
            </w14:solidFill>
          </w14:textFill>
        </w:rPr>
        <w:t>色彩采用南网灰及白色搭配，效果如图所示（最终方案以业主审定的方案为准）：</w:t>
      </w:r>
      <w:bookmarkStart w:id="249" w:name="_GoBack"/>
      <w:bookmarkEnd w:id="249"/>
    </w:p>
    <w:p>
      <w:pPr>
        <w:widowControl/>
        <w:spacing w:before="100" w:beforeAutospacing="1" w:after="100" w:afterAutospacing="1"/>
        <w:jc w:val="left"/>
        <w:rPr>
          <w:color w:val="000000" w:themeColor="text1"/>
          <w14:textFill>
            <w14:solidFill>
              <w14:schemeClr w14:val="tx1"/>
            </w14:solidFill>
          </w14:textFill>
        </w:rPr>
      </w:pPr>
      <w:r>
        <w:rPr>
          <w:rFonts w:ascii="宋体" w:hAnsi="宋体" w:cs="宋体"/>
          <w:kern w:val="0"/>
          <w:sz w:val="24"/>
        </w:rPr>
        <w:drawing>
          <wp:inline distT="0" distB="0" distL="0" distR="0">
            <wp:extent cx="5278755" cy="3035935"/>
            <wp:effectExtent l="0" t="0" r="0" b="0"/>
            <wp:docPr id="13" name="图片 13" descr="E:\220421高性能高温超导材料及磁储能应用项目示范工程\20240906施工图\方案汇报_业主向网公司\效果图\微信图片_20250117095011a.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图片 13" descr="E:\220421高性能高温超导材料及磁储能应用项目示范工程\20240906施工图\方案汇报_业主向网公司\效果图\微信图片_20250117095011a.jpg"/>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a:xfrm>
                      <a:off x="0" y="0"/>
                      <a:ext cx="5295661" cy="3046224"/>
                    </a:xfrm>
                    <a:prstGeom prst="rect">
                      <a:avLst/>
                    </a:prstGeom>
                    <a:noFill/>
                    <a:ln>
                      <a:noFill/>
                    </a:ln>
                  </pic:spPr>
                </pic:pic>
              </a:graphicData>
            </a:graphic>
          </wp:inline>
        </w:drawing>
      </w:r>
    </w:p>
    <w:p>
      <w:pPr>
        <w:tabs>
          <w:tab w:val="left" w:pos="1267"/>
        </w:tabs>
        <w:spacing w:line="360" w:lineRule="auto"/>
        <w:ind w:firstLine="420" w:firstLineChars="200"/>
        <w:rPr>
          <w:color w:val="000000" w:themeColor="text1"/>
          <w14:textFill>
            <w14:solidFill>
              <w14:schemeClr w14:val="tx1"/>
            </w14:solidFill>
          </w14:textFill>
        </w:rPr>
      </w:pPr>
      <w:r>
        <w:rPr>
          <w:color w:val="000000" w:themeColor="text1"/>
          <w14:textFill>
            <w14:solidFill>
              <w14:schemeClr w14:val="tx1"/>
            </w14:solidFill>
          </w14:textFill>
        </w:rPr>
        <w:t>4</w:t>
      </w:r>
      <w:r>
        <w:rPr>
          <w:rFonts w:hint="eastAsia"/>
          <w:color w:val="000000" w:themeColor="text1"/>
          <w14:textFill>
            <w14:solidFill>
              <w14:schemeClr w14:val="tx1"/>
            </w14:solidFill>
          </w14:textFill>
        </w:rPr>
        <w:t>、密封舱体，防尘、防潮、防凝露；对于六面体的舱体，</w:t>
      </w:r>
      <w:bookmarkStart w:id="45" w:name="_Hlk189852526"/>
      <w:r>
        <w:rPr>
          <w:rFonts w:hint="eastAsia"/>
          <w:color w:val="000000" w:themeColor="text1"/>
          <w14:textFill>
            <w14:solidFill>
              <w14:schemeClr w14:val="tx1"/>
            </w14:solidFill>
          </w14:textFill>
        </w:rPr>
        <w:t>舱体底部需有保温隔气层，确保室外水气不进入舱体内，导致舱内设备产生凝露。</w:t>
      </w:r>
      <w:bookmarkEnd w:id="45"/>
    </w:p>
    <w:p>
      <w:pPr>
        <w:tabs>
          <w:tab w:val="left" w:pos="1267"/>
        </w:tabs>
        <w:spacing w:line="360" w:lineRule="auto"/>
        <w:ind w:firstLine="420" w:firstLineChars="200"/>
        <w:rPr>
          <w:color w:val="000000" w:themeColor="text1"/>
          <w14:textFill>
            <w14:solidFill>
              <w14:schemeClr w14:val="tx1"/>
            </w14:solidFill>
          </w14:textFill>
        </w:rPr>
      </w:pPr>
      <w:r>
        <w:rPr>
          <w:color w:val="000000" w:themeColor="text1"/>
          <w14:textFill>
            <w14:solidFill>
              <w14:schemeClr w14:val="tx1"/>
            </w14:solidFill>
          </w14:textFill>
        </w:rPr>
        <w:t>5</w:t>
      </w:r>
      <w:r>
        <w:rPr>
          <w:rFonts w:hint="eastAsia"/>
          <w:color w:val="000000" w:themeColor="text1"/>
          <w14:textFill>
            <w14:solidFill>
              <w14:schemeClr w14:val="tx1"/>
            </w14:solidFill>
          </w14:textFill>
        </w:rPr>
        <w:t>、体积小巧，结构紧凑；</w:t>
      </w:r>
    </w:p>
    <w:p>
      <w:pPr>
        <w:tabs>
          <w:tab w:val="left" w:pos="1267"/>
        </w:tabs>
        <w:spacing w:line="360" w:lineRule="auto"/>
        <w:ind w:firstLine="420" w:firstLineChars="200"/>
        <w:rPr>
          <w:color w:val="000000" w:themeColor="text1"/>
          <w14:textFill>
            <w14:solidFill>
              <w14:schemeClr w14:val="tx1"/>
            </w14:solidFill>
          </w14:textFill>
        </w:rPr>
      </w:pPr>
      <w:r>
        <w:rPr>
          <w:color w:val="000000" w:themeColor="text1"/>
          <w14:textFill>
            <w14:solidFill>
              <w14:schemeClr w14:val="tx1"/>
            </w14:solidFill>
          </w14:textFill>
        </w:rPr>
        <w:t>6</w:t>
      </w:r>
      <w:r>
        <w:rPr>
          <w:rFonts w:hint="eastAsia"/>
          <w:color w:val="000000" w:themeColor="text1"/>
          <w14:textFill>
            <w14:solidFill>
              <w14:schemeClr w14:val="tx1"/>
            </w14:solidFill>
          </w14:textFill>
        </w:rPr>
        <w:t>、舱壳可以按业主要求喷绘不同的图案。喷绘颜色经久耐用，应能保证至少</w:t>
      </w:r>
      <w:r>
        <w:rPr>
          <w:color w:val="000000" w:themeColor="text1"/>
          <w14:textFill>
            <w14:solidFill>
              <w14:schemeClr w14:val="tx1"/>
            </w14:solidFill>
          </w14:textFill>
        </w:rPr>
        <w:t>8</w:t>
      </w:r>
      <w:r>
        <w:rPr>
          <w:rFonts w:hint="eastAsia"/>
          <w:color w:val="000000" w:themeColor="text1"/>
          <w14:textFill>
            <w14:solidFill>
              <w14:schemeClr w14:val="tx1"/>
            </w14:solidFill>
          </w14:textFill>
        </w:rPr>
        <w:t>年不掉色。</w:t>
      </w:r>
    </w:p>
    <w:p>
      <w:pPr>
        <w:tabs>
          <w:tab w:val="left" w:pos="1267"/>
        </w:tabs>
        <w:spacing w:line="360" w:lineRule="auto"/>
        <w:ind w:firstLine="420" w:firstLineChars="200"/>
        <w:rPr>
          <w:color w:val="000000" w:themeColor="text1"/>
          <w14:textFill>
            <w14:solidFill>
              <w14:schemeClr w14:val="tx1"/>
            </w14:solidFill>
          </w14:textFill>
        </w:rPr>
      </w:pPr>
      <w:r>
        <w:rPr>
          <w:rFonts w:hint="eastAsia"/>
          <w:color w:val="000000" w:themeColor="text1"/>
          <w14:textFill>
            <w14:solidFill>
              <w14:schemeClr w14:val="tx1"/>
            </w14:solidFill>
          </w14:textFill>
        </w:rPr>
        <w:t>7、对于有爆炸危险的设备间，如蓄电池室、储能设备间，应增加泄压措施，且泄压管道不应设置在检修通道范围内。</w:t>
      </w:r>
    </w:p>
    <w:p>
      <w:pPr>
        <w:tabs>
          <w:tab w:val="left" w:pos="1267"/>
        </w:tabs>
        <w:spacing w:line="360" w:lineRule="auto"/>
        <w:ind w:firstLine="420" w:firstLineChars="200"/>
        <w:rPr>
          <w:color w:val="000000" w:themeColor="text1"/>
          <w14:textFill>
            <w14:solidFill>
              <w14:schemeClr w14:val="tx1"/>
            </w14:solidFill>
          </w14:textFill>
        </w:rPr>
      </w:pPr>
      <w:r>
        <w:rPr>
          <w:rFonts w:hint="eastAsia"/>
          <w:color w:val="000000" w:themeColor="text1"/>
          <w14:textFill>
            <w14:solidFill>
              <w14:schemeClr w14:val="tx1"/>
            </w14:solidFill>
          </w14:textFill>
        </w:rPr>
        <w:t>8、本工程需进行消防备案，投标方需提供消防报建相关图纸及相关检验检测报告，配合招标方完成消防验收。</w:t>
      </w:r>
    </w:p>
    <w:p>
      <w:pPr>
        <w:pStyle w:val="3"/>
        <w:numPr>
          <w:ilvl w:val="1"/>
          <w:numId w:val="0"/>
        </w:numPr>
        <w:rPr>
          <w:rFonts w:ascii="黑体" w:hAnsi="黑体" w:eastAsia="黑体"/>
          <w:color w:val="000000" w:themeColor="text1"/>
          <w14:textFill>
            <w14:solidFill>
              <w14:schemeClr w14:val="tx1"/>
            </w14:solidFill>
          </w14:textFill>
        </w:rPr>
      </w:pPr>
      <w:bookmarkStart w:id="46" w:name="_Toc389594626"/>
      <w:bookmarkStart w:id="47" w:name="_Toc161135748"/>
      <w:bookmarkStart w:id="48" w:name="_Toc389597644"/>
      <w:bookmarkStart w:id="49" w:name="_Toc160685603"/>
      <w:bookmarkStart w:id="50" w:name="_Toc179692006"/>
      <w:bookmarkStart w:id="51" w:name="_Toc389407320"/>
      <w:bookmarkStart w:id="52" w:name="_Toc177995330"/>
      <w:bookmarkStart w:id="53" w:name="_Toc119049801"/>
      <w:r>
        <w:rPr>
          <w:rFonts w:ascii="黑体" w:hAnsi="黑体" w:eastAsia="黑体"/>
          <w:color w:val="000000" w:themeColor="text1"/>
          <w14:textFill>
            <w14:solidFill>
              <w14:schemeClr w14:val="tx1"/>
            </w14:solidFill>
          </w14:textFill>
        </w:rPr>
        <w:t xml:space="preserve">5.2 </w:t>
      </w:r>
      <w:bookmarkEnd w:id="46"/>
      <w:bookmarkEnd w:id="47"/>
      <w:bookmarkEnd w:id="48"/>
      <w:bookmarkEnd w:id="49"/>
      <w:bookmarkEnd w:id="50"/>
      <w:bookmarkEnd w:id="51"/>
      <w:r>
        <w:rPr>
          <w:rFonts w:hint="eastAsia" w:ascii="黑体" w:hAnsi="黑体" w:eastAsia="黑体"/>
          <w:color w:val="000000" w:themeColor="text1"/>
          <w14:textFill>
            <w14:solidFill>
              <w14:schemeClr w14:val="tx1"/>
            </w14:solidFill>
          </w14:textFill>
        </w:rPr>
        <w:t>预制舱性能要求</w:t>
      </w:r>
      <w:bookmarkEnd w:id="52"/>
      <w:bookmarkEnd w:id="53"/>
    </w:p>
    <w:p>
      <w:pPr>
        <w:tabs>
          <w:tab w:val="left" w:pos="1267"/>
        </w:tabs>
        <w:spacing w:line="360" w:lineRule="auto"/>
        <w:ind w:firstLine="420" w:firstLineChars="200"/>
        <w:rPr>
          <w:color w:val="000000" w:themeColor="text1"/>
          <w14:textFill>
            <w14:solidFill>
              <w14:schemeClr w14:val="tx1"/>
            </w14:solidFill>
          </w14:textFill>
        </w:rPr>
      </w:pPr>
      <w:bookmarkStart w:id="54" w:name="_Toc119049802"/>
      <w:r>
        <w:rPr>
          <w:color w:val="000000" w:themeColor="text1"/>
          <w14:textFill>
            <w14:solidFill>
              <w14:schemeClr w14:val="tx1"/>
            </w14:solidFill>
          </w14:textFill>
        </w:rPr>
        <w:t>1</w:t>
      </w:r>
      <w:r>
        <w:rPr>
          <w:rFonts w:hint="eastAsia"/>
          <w:color w:val="000000" w:themeColor="text1"/>
          <w14:textFill>
            <w14:solidFill>
              <w14:schemeClr w14:val="tx1"/>
            </w14:solidFill>
          </w14:textFill>
        </w:rPr>
        <w:t>、整体要求</w:t>
      </w:r>
      <w:bookmarkEnd w:id="54"/>
    </w:p>
    <w:p>
      <w:pPr>
        <w:tabs>
          <w:tab w:val="left" w:pos="1267"/>
        </w:tabs>
        <w:spacing w:line="360" w:lineRule="auto"/>
        <w:ind w:firstLine="420" w:firstLineChars="200"/>
        <w:rPr>
          <w:color w:val="000000" w:themeColor="text1"/>
          <w14:textFill>
            <w14:solidFill>
              <w14:schemeClr w14:val="tx1"/>
            </w14:solidFill>
          </w14:textFill>
        </w:rPr>
      </w:pPr>
      <w:bookmarkStart w:id="55" w:name="_Toc389407321"/>
      <w:bookmarkStart w:id="56" w:name="_Toc389594627"/>
      <w:bookmarkStart w:id="57" w:name="_Toc389597645"/>
      <w:r>
        <w:rPr>
          <w:rFonts w:hint="eastAsia"/>
          <w:color w:val="000000" w:themeColor="text1"/>
          <w14:textFill>
            <w14:solidFill>
              <w14:schemeClr w14:val="tx1"/>
            </w14:solidFill>
          </w14:textFill>
        </w:rPr>
        <w:t>（</w:t>
      </w:r>
      <w:r>
        <w:rPr>
          <w:color w:val="000000" w:themeColor="text1"/>
          <w14:textFill>
            <w14:solidFill>
              <w14:schemeClr w14:val="tx1"/>
            </w14:solidFill>
          </w14:textFill>
        </w:rPr>
        <w:t>1</w:t>
      </w:r>
      <w:r>
        <w:rPr>
          <w:rFonts w:hint="eastAsia"/>
          <w:color w:val="000000" w:themeColor="text1"/>
          <w14:textFill>
            <w14:solidFill>
              <w14:schemeClr w14:val="tx1"/>
            </w14:solidFill>
          </w14:textFill>
        </w:rPr>
        <w:t>）预制舱舱体应保证足够的机械强度和刚度。在起吊、运输和安装时不会变形或损伤，不会因起吊运输对舱体内设备造成的影响；具备良好的抗震性能和抗风性能。</w:t>
      </w:r>
    </w:p>
    <w:p>
      <w:pPr>
        <w:tabs>
          <w:tab w:val="left" w:pos="1267"/>
        </w:tabs>
        <w:spacing w:line="360" w:lineRule="auto"/>
        <w:ind w:firstLine="420" w:firstLineChars="200"/>
        <w:rPr>
          <w:color w:val="000000" w:themeColor="text1"/>
          <w14:textFill>
            <w14:solidFill>
              <w14:schemeClr w14:val="tx1"/>
            </w14:solidFill>
          </w14:textFill>
        </w:rPr>
      </w:pPr>
      <w:r>
        <w:rPr>
          <w:rFonts w:hint="eastAsia"/>
          <w:color w:val="000000" w:themeColor="text1"/>
          <w14:textFill>
            <w14:solidFill>
              <w14:schemeClr w14:val="tx1"/>
            </w14:solidFill>
          </w14:textFill>
        </w:rPr>
        <w:t>（</w:t>
      </w:r>
      <w:r>
        <w:rPr>
          <w:color w:val="000000" w:themeColor="text1"/>
          <w14:textFill>
            <w14:solidFill>
              <w14:schemeClr w14:val="tx1"/>
            </w14:solidFill>
          </w14:textFill>
        </w:rPr>
        <w:t>2</w:t>
      </w:r>
      <w:r>
        <w:rPr>
          <w:rFonts w:hint="eastAsia"/>
          <w:color w:val="000000" w:themeColor="text1"/>
          <w14:textFill>
            <w14:solidFill>
              <w14:schemeClr w14:val="tx1"/>
            </w14:solidFill>
          </w14:textFill>
        </w:rPr>
        <w:t>）☆预制舱整体防护等级不低于</w:t>
      </w:r>
      <w:r>
        <w:rPr>
          <w:color w:val="000000" w:themeColor="text1"/>
          <w14:textFill>
            <w14:solidFill>
              <w14:schemeClr w14:val="tx1"/>
            </w14:solidFill>
          </w14:textFill>
        </w:rPr>
        <w:t>IP55</w:t>
      </w:r>
      <w:r>
        <w:rPr>
          <w:rFonts w:hint="eastAsia"/>
          <w:color w:val="000000" w:themeColor="text1"/>
          <w14:textFill>
            <w14:solidFill>
              <w14:schemeClr w14:val="tx1"/>
            </w14:solidFill>
          </w14:textFill>
        </w:rPr>
        <w:t>（通风结构处</w:t>
      </w:r>
      <w:r>
        <w:rPr>
          <w:color w:val="000000" w:themeColor="text1"/>
          <w14:textFill>
            <w14:solidFill>
              <w14:schemeClr w14:val="tx1"/>
            </w14:solidFill>
          </w14:textFill>
        </w:rPr>
        <w:t>IP44</w:t>
      </w:r>
      <w:r>
        <w:rPr>
          <w:rFonts w:hint="eastAsia"/>
          <w:color w:val="000000" w:themeColor="text1"/>
          <w14:textFill>
            <w14:solidFill>
              <w14:schemeClr w14:val="tx1"/>
            </w14:solidFill>
          </w14:textFill>
        </w:rPr>
        <w:t>以上），具备防尘、防潮、防凝露的效果；舱体内部采用钢板及阻燃绝缘隔板严格分成各个隔室</w:t>
      </w:r>
      <w:r>
        <w:rPr>
          <w:color w:val="000000" w:themeColor="text1"/>
          <w14:textFill>
            <w14:solidFill>
              <w14:schemeClr w14:val="tx1"/>
            </w14:solidFill>
          </w14:textFill>
        </w:rPr>
        <w:t xml:space="preserve">, </w:t>
      </w:r>
      <w:r>
        <w:rPr>
          <w:rFonts w:hint="eastAsia"/>
          <w:color w:val="000000" w:themeColor="text1"/>
          <w14:textFill>
            <w14:solidFill>
              <w14:schemeClr w14:val="tx1"/>
            </w14:solidFill>
          </w14:textFill>
        </w:rPr>
        <w:t>各个隔室之间的防护等级为</w:t>
      </w:r>
      <w:r>
        <w:rPr>
          <w:color w:val="000000" w:themeColor="text1"/>
          <w14:textFill>
            <w14:solidFill>
              <w14:schemeClr w14:val="tx1"/>
            </w14:solidFill>
          </w14:textFill>
        </w:rPr>
        <w:t>IP44</w:t>
      </w:r>
      <w:r>
        <w:rPr>
          <w:rFonts w:hint="eastAsia"/>
          <w:color w:val="000000" w:themeColor="text1"/>
          <w14:textFill>
            <w14:solidFill>
              <w14:schemeClr w14:val="tx1"/>
            </w14:solidFill>
          </w14:textFill>
        </w:rPr>
        <w:t>，并提供相应的检测试验报告。</w:t>
      </w:r>
    </w:p>
    <w:p>
      <w:pPr>
        <w:tabs>
          <w:tab w:val="left" w:pos="1267"/>
        </w:tabs>
        <w:spacing w:line="360" w:lineRule="auto"/>
        <w:ind w:firstLine="420" w:firstLineChars="200"/>
        <w:rPr>
          <w:color w:val="000000" w:themeColor="text1"/>
          <w14:textFill>
            <w14:solidFill>
              <w14:schemeClr w14:val="tx1"/>
            </w14:solidFill>
          </w14:textFill>
        </w:rPr>
      </w:pPr>
      <w:r>
        <w:rPr>
          <w:rFonts w:hint="eastAsia"/>
          <w:color w:val="000000" w:themeColor="text1"/>
          <w14:textFill>
            <w14:solidFill>
              <w14:schemeClr w14:val="tx1"/>
            </w14:solidFill>
          </w14:textFill>
        </w:rPr>
        <w:t>（</w:t>
      </w:r>
      <w:r>
        <w:rPr>
          <w:color w:val="000000" w:themeColor="text1"/>
          <w14:textFill>
            <w14:solidFill>
              <w14:schemeClr w14:val="tx1"/>
            </w14:solidFill>
          </w14:textFill>
        </w:rPr>
        <w:t>3</w:t>
      </w:r>
      <w:r>
        <w:rPr>
          <w:rFonts w:hint="eastAsia"/>
          <w:color w:val="000000" w:themeColor="text1"/>
          <w14:textFill>
            <w14:solidFill>
              <w14:schemeClr w14:val="tx1"/>
            </w14:solidFill>
          </w14:textFill>
        </w:rPr>
        <w:t>）预制舱应具有良好的防腐性能，保证舱体定期维护的情况下</w:t>
      </w:r>
      <w:r>
        <w:rPr>
          <w:color w:val="000000" w:themeColor="text1"/>
          <w14:textFill>
            <w14:solidFill>
              <w14:schemeClr w14:val="tx1"/>
            </w14:solidFill>
          </w14:textFill>
        </w:rPr>
        <w:t>40</w:t>
      </w:r>
      <w:r>
        <w:rPr>
          <w:rFonts w:hint="eastAsia"/>
          <w:color w:val="000000" w:themeColor="text1"/>
          <w14:textFill>
            <w14:solidFill>
              <w14:schemeClr w14:val="tx1"/>
            </w14:solidFill>
          </w14:textFill>
        </w:rPr>
        <w:t>年不锈蚀，其他舱体附件应达到同等的使用寿命水平。</w:t>
      </w:r>
    </w:p>
    <w:p>
      <w:pPr>
        <w:tabs>
          <w:tab w:val="left" w:pos="1267"/>
        </w:tabs>
        <w:spacing w:line="360" w:lineRule="auto"/>
        <w:ind w:firstLine="420" w:firstLineChars="200"/>
        <w:rPr>
          <w:color w:val="000000" w:themeColor="text1"/>
          <w14:textFill>
            <w14:solidFill>
              <w14:schemeClr w14:val="tx1"/>
            </w14:solidFill>
          </w14:textFill>
        </w:rPr>
      </w:pPr>
      <w:r>
        <w:rPr>
          <w:rFonts w:hint="eastAsia"/>
          <w:color w:val="000000" w:themeColor="text1"/>
          <w14:textFill>
            <w14:solidFill>
              <w14:schemeClr w14:val="tx1"/>
            </w14:solidFill>
          </w14:textFill>
        </w:rPr>
        <w:t>（</w:t>
      </w:r>
      <w:r>
        <w:rPr>
          <w:color w:val="000000" w:themeColor="text1"/>
          <w14:textFill>
            <w14:solidFill>
              <w14:schemeClr w14:val="tx1"/>
            </w14:solidFill>
          </w14:textFill>
        </w:rPr>
        <w:t>4</w:t>
      </w:r>
      <w:r>
        <w:rPr>
          <w:rFonts w:hint="eastAsia"/>
          <w:color w:val="000000" w:themeColor="text1"/>
          <w14:textFill>
            <w14:solidFill>
              <w14:schemeClr w14:val="tx1"/>
            </w14:solidFill>
          </w14:textFill>
        </w:rPr>
        <w:t>）预制舱应具备良好的隔热保温性能，保证舱体内温差不因外界环境温度变化大范围浮动，保证“生活舱及控制室：冬季温度不低于</w:t>
      </w:r>
      <w:r>
        <w:rPr>
          <w:color w:val="000000" w:themeColor="text1"/>
          <w14:textFill>
            <w14:solidFill>
              <w14:schemeClr w14:val="tx1"/>
            </w14:solidFill>
          </w14:textFill>
        </w:rPr>
        <w:t>18</w:t>
      </w:r>
      <w:r>
        <w:rPr>
          <w:rFonts w:hint="eastAsia"/>
          <w:color w:val="000000" w:themeColor="text1"/>
          <w14:textFill>
            <w14:solidFill>
              <w14:schemeClr w14:val="tx1"/>
            </w14:solidFill>
          </w14:textFill>
        </w:rPr>
        <w:t>℃，夏季温度不超过</w:t>
      </w:r>
      <w:r>
        <w:rPr>
          <w:color w:val="000000" w:themeColor="text1"/>
          <w14:textFill>
            <w14:solidFill>
              <w14:schemeClr w14:val="tx1"/>
            </w14:solidFill>
          </w14:textFill>
        </w:rPr>
        <w:t>35</w:t>
      </w:r>
      <w:r>
        <w:rPr>
          <w:rFonts w:hint="eastAsia"/>
          <w:color w:val="000000" w:themeColor="text1"/>
          <w14:textFill>
            <w14:solidFill>
              <w14:schemeClr w14:val="tx1"/>
            </w14:solidFill>
          </w14:textFill>
        </w:rPr>
        <w:t>℃。设备舱室：冬季温度不低于</w:t>
      </w:r>
      <w:r>
        <w:rPr>
          <w:color w:val="000000" w:themeColor="text1"/>
          <w14:textFill>
            <w14:solidFill>
              <w14:schemeClr w14:val="tx1"/>
            </w14:solidFill>
          </w14:textFill>
        </w:rPr>
        <w:t>0</w:t>
      </w:r>
      <w:r>
        <w:rPr>
          <w:rFonts w:hint="eastAsia"/>
          <w:color w:val="000000" w:themeColor="text1"/>
          <w14:textFill>
            <w14:solidFill>
              <w14:schemeClr w14:val="tx1"/>
            </w14:solidFill>
          </w14:textFill>
        </w:rPr>
        <w:t>℃，夏季温度不超过</w:t>
      </w:r>
      <w:r>
        <w:rPr>
          <w:color w:val="000000" w:themeColor="text1"/>
          <w14:textFill>
            <w14:solidFill>
              <w14:schemeClr w14:val="tx1"/>
            </w14:solidFill>
          </w14:textFill>
        </w:rPr>
        <w:t>35</w:t>
      </w:r>
      <w:r>
        <w:rPr>
          <w:rFonts w:hint="eastAsia"/>
          <w:color w:val="000000" w:themeColor="text1"/>
          <w14:textFill>
            <w14:solidFill>
              <w14:schemeClr w14:val="tx1"/>
            </w14:solidFill>
          </w14:textFill>
        </w:rPr>
        <w:t>℃。”</w:t>
      </w:r>
    </w:p>
    <w:p>
      <w:pPr>
        <w:tabs>
          <w:tab w:val="left" w:pos="1267"/>
        </w:tabs>
        <w:spacing w:line="360" w:lineRule="auto"/>
        <w:ind w:firstLine="420" w:firstLineChars="200"/>
        <w:rPr>
          <w:color w:val="000000" w:themeColor="text1"/>
          <w14:textFill>
            <w14:solidFill>
              <w14:schemeClr w14:val="tx1"/>
            </w14:solidFill>
          </w14:textFill>
        </w:rPr>
      </w:pPr>
      <w:r>
        <w:rPr>
          <w:rFonts w:hint="eastAsia"/>
          <w:color w:val="000000" w:themeColor="text1"/>
          <w14:textFill>
            <w14:solidFill>
              <w14:schemeClr w14:val="tx1"/>
            </w14:solidFill>
          </w14:textFill>
        </w:rPr>
        <w:t>（</w:t>
      </w:r>
      <w:r>
        <w:rPr>
          <w:color w:val="000000" w:themeColor="text1"/>
          <w14:textFill>
            <w14:solidFill>
              <w14:schemeClr w14:val="tx1"/>
            </w14:solidFill>
          </w14:textFill>
        </w:rPr>
        <w:t>5</w:t>
      </w:r>
      <w:r>
        <w:rPr>
          <w:rFonts w:hint="eastAsia"/>
          <w:color w:val="000000" w:themeColor="text1"/>
          <w14:textFill>
            <w14:solidFill>
              <w14:schemeClr w14:val="tx1"/>
            </w14:solidFill>
          </w14:textFill>
        </w:rPr>
        <w:t>）预制舱设计应不易积尘、积水，舱体顶盖有明显散水坡度，不应小于</w:t>
      </w:r>
      <w:r>
        <w:rPr>
          <w:color w:val="000000" w:themeColor="text1"/>
          <w14:textFill>
            <w14:solidFill>
              <w14:schemeClr w14:val="tx1"/>
            </w14:solidFill>
          </w14:textFill>
        </w:rPr>
        <w:t>5%</w:t>
      </w:r>
      <w:r>
        <w:rPr>
          <w:rFonts w:hint="eastAsia"/>
          <w:color w:val="000000" w:themeColor="text1"/>
          <w14:textFill>
            <w14:solidFill>
              <w14:schemeClr w14:val="tx1"/>
            </w14:solidFill>
          </w14:textFill>
        </w:rPr>
        <w:t>，顶盖边沿应设有滴水沿，防止雨水回流进入舱体。</w:t>
      </w:r>
    </w:p>
    <w:p>
      <w:pPr>
        <w:tabs>
          <w:tab w:val="left" w:pos="1267"/>
        </w:tabs>
        <w:spacing w:line="360" w:lineRule="auto"/>
        <w:ind w:firstLine="420" w:firstLineChars="200"/>
        <w:rPr>
          <w:color w:val="000000" w:themeColor="text1"/>
          <w14:textFill>
            <w14:solidFill>
              <w14:schemeClr w14:val="tx1"/>
            </w14:solidFill>
          </w14:textFill>
        </w:rPr>
      </w:pPr>
      <w:r>
        <w:rPr>
          <w:rFonts w:hint="eastAsia"/>
          <w:color w:val="000000" w:themeColor="text1"/>
          <w14:textFill>
            <w14:solidFill>
              <w14:schemeClr w14:val="tx1"/>
            </w14:solidFill>
          </w14:textFill>
        </w:rPr>
        <w:t>（</w:t>
      </w:r>
      <w:r>
        <w:rPr>
          <w:color w:val="000000" w:themeColor="text1"/>
          <w14:textFill>
            <w14:solidFill>
              <w14:schemeClr w14:val="tx1"/>
            </w14:solidFill>
          </w14:textFill>
        </w:rPr>
        <w:t>6</w:t>
      </w:r>
      <w:r>
        <w:rPr>
          <w:rFonts w:hint="eastAsia"/>
          <w:color w:val="000000" w:themeColor="text1"/>
          <w14:textFill>
            <w14:solidFill>
              <w14:schemeClr w14:val="tx1"/>
            </w14:solidFill>
          </w14:textFill>
        </w:rPr>
        <w:t>）预制舱内火灾探测及报警系统的设计和消防控制设备及其功能符合现行国家标准</w:t>
      </w:r>
      <w:r>
        <w:rPr>
          <w:color w:val="000000" w:themeColor="text1"/>
          <w14:textFill>
            <w14:solidFill>
              <w14:schemeClr w14:val="tx1"/>
            </w14:solidFill>
          </w14:textFill>
        </w:rPr>
        <w:t>GB 50116-2014</w:t>
      </w:r>
      <w:r>
        <w:rPr>
          <w:rFonts w:hint="eastAsia"/>
          <w:color w:val="000000" w:themeColor="text1"/>
          <w14:textFill>
            <w14:solidFill>
              <w14:schemeClr w14:val="tx1"/>
            </w14:solidFill>
          </w14:textFill>
        </w:rPr>
        <w:t>《火灾自动报警系统设计规范》等相关标准的要求。</w:t>
      </w:r>
    </w:p>
    <w:p>
      <w:pPr>
        <w:tabs>
          <w:tab w:val="left" w:pos="1267"/>
        </w:tabs>
        <w:spacing w:line="360" w:lineRule="auto"/>
        <w:ind w:firstLine="420" w:firstLineChars="200"/>
        <w:rPr>
          <w:color w:val="000000" w:themeColor="text1"/>
          <w14:textFill>
            <w14:solidFill>
              <w14:schemeClr w14:val="tx1"/>
            </w14:solidFill>
          </w14:textFill>
        </w:rPr>
      </w:pPr>
      <w:r>
        <w:rPr>
          <w:rFonts w:hint="eastAsia"/>
          <w:color w:val="000000" w:themeColor="text1"/>
          <w14:textFill>
            <w14:solidFill>
              <w14:schemeClr w14:val="tx1"/>
            </w14:solidFill>
          </w14:textFill>
        </w:rPr>
        <w:t>（</w:t>
      </w:r>
      <w:r>
        <w:rPr>
          <w:color w:val="000000" w:themeColor="text1"/>
          <w14:textFill>
            <w14:solidFill>
              <w14:schemeClr w14:val="tx1"/>
            </w14:solidFill>
          </w14:textFill>
        </w:rPr>
        <w:t>7</w:t>
      </w:r>
      <w:r>
        <w:rPr>
          <w:rFonts w:hint="eastAsia"/>
          <w:color w:val="000000" w:themeColor="text1"/>
          <w14:textFill>
            <w14:solidFill>
              <w14:schemeClr w14:val="tx1"/>
            </w14:solidFill>
          </w14:textFill>
        </w:rPr>
        <w:t>）预制舱的接地系统符合</w:t>
      </w:r>
      <w:r>
        <w:rPr>
          <w:color w:val="000000" w:themeColor="text1"/>
          <w14:textFill>
            <w14:solidFill>
              <w14:schemeClr w14:val="tx1"/>
            </w14:solidFill>
          </w14:textFill>
        </w:rPr>
        <w:t xml:space="preserve"> GB/T 50065-2011</w:t>
      </w:r>
      <w:r>
        <w:rPr>
          <w:rFonts w:hint="eastAsia"/>
          <w:color w:val="000000" w:themeColor="text1"/>
          <w14:textFill>
            <w14:solidFill>
              <w14:schemeClr w14:val="tx1"/>
            </w14:solidFill>
          </w14:textFill>
        </w:rPr>
        <w:t>《交流电气装置的接地设计规范》等相关标准的要求。</w:t>
      </w:r>
    </w:p>
    <w:p>
      <w:pPr>
        <w:tabs>
          <w:tab w:val="left" w:pos="1267"/>
        </w:tabs>
        <w:spacing w:line="360" w:lineRule="auto"/>
        <w:ind w:firstLine="420" w:firstLineChars="200"/>
        <w:rPr>
          <w:color w:val="000000" w:themeColor="text1"/>
          <w14:textFill>
            <w14:solidFill>
              <w14:schemeClr w14:val="tx1"/>
            </w14:solidFill>
          </w14:textFill>
        </w:rPr>
      </w:pPr>
      <w:r>
        <w:rPr>
          <w:rFonts w:hint="eastAsia"/>
          <w:color w:val="000000" w:themeColor="text1"/>
          <w14:textFill>
            <w14:solidFill>
              <w14:schemeClr w14:val="tx1"/>
            </w14:solidFill>
          </w14:textFill>
        </w:rPr>
        <w:t>（</w:t>
      </w:r>
      <w:r>
        <w:rPr>
          <w:color w:val="000000" w:themeColor="text1"/>
          <w14:textFill>
            <w14:solidFill>
              <w14:schemeClr w14:val="tx1"/>
            </w14:solidFill>
          </w14:textFill>
        </w:rPr>
        <w:t>8</w:t>
      </w:r>
      <w:r>
        <w:rPr>
          <w:rFonts w:hint="eastAsia"/>
          <w:color w:val="000000" w:themeColor="text1"/>
          <w14:textFill>
            <w14:solidFill>
              <w14:schemeClr w14:val="tx1"/>
            </w14:solidFill>
          </w14:textFill>
        </w:rPr>
        <w:t>）预制舱内的照明设计应符合</w:t>
      </w:r>
      <w:r>
        <w:rPr>
          <w:color w:val="000000" w:themeColor="text1"/>
          <w14:textFill>
            <w14:solidFill>
              <w14:schemeClr w14:val="tx1"/>
            </w14:solidFill>
          </w14:textFill>
        </w:rPr>
        <w:t xml:space="preserve">DL/T 5390-2014 </w:t>
      </w:r>
      <w:r>
        <w:rPr>
          <w:rFonts w:hint="eastAsia"/>
          <w:color w:val="000000" w:themeColor="text1"/>
          <w14:textFill>
            <w14:solidFill>
              <w14:schemeClr w14:val="tx1"/>
            </w14:solidFill>
          </w14:textFill>
        </w:rPr>
        <w:t>《发电厂和变电站照明设计技术规定》等相关标准的要求。</w:t>
      </w:r>
    </w:p>
    <w:p>
      <w:pPr>
        <w:tabs>
          <w:tab w:val="left" w:pos="1267"/>
        </w:tabs>
        <w:spacing w:line="360" w:lineRule="auto"/>
        <w:ind w:firstLine="420" w:firstLineChars="200"/>
        <w:rPr>
          <w:color w:val="000000" w:themeColor="text1"/>
          <w14:textFill>
            <w14:solidFill>
              <w14:schemeClr w14:val="tx1"/>
            </w14:solidFill>
          </w14:textFill>
        </w:rPr>
      </w:pPr>
      <w:r>
        <w:rPr>
          <w:rFonts w:hint="eastAsia"/>
          <w:color w:val="000000" w:themeColor="text1"/>
          <w14:textFill>
            <w14:solidFill>
              <w14:schemeClr w14:val="tx1"/>
            </w14:solidFill>
          </w14:textFill>
        </w:rPr>
        <w:t>（</w:t>
      </w:r>
      <w:r>
        <w:rPr>
          <w:color w:val="000000" w:themeColor="text1"/>
          <w14:textFill>
            <w14:solidFill>
              <w14:schemeClr w14:val="tx1"/>
            </w14:solidFill>
          </w14:textFill>
        </w:rPr>
        <w:t>9</w:t>
      </w:r>
      <w:r>
        <w:rPr>
          <w:rFonts w:hint="eastAsia"/>
          <w:color w:val="000000" w:themeColor="text1"/>
          <w14:textFill>
            <w14:solidFill>
              <w14:schemeClr w14:val="tx1"/>
            </w14:solidFill>
          </w14:textFill>
        </w:rPr>
        <w:t>）预制舱内的通风设计应符合</w:t>
      </w:r>
      <w:r>
        <w:rPr>
          <w:color w:val="000000" w:themeColor="text1"/>
          <w14:textFill>
            <w14:solidFill>
              <w14:schemeClr w14:val="tx1"/>
            </w14:solidFill>
          </w14:textFill>
        </w:rPr>
        <w:t xml:space="preserve">DL/T 5035-2019 </w:t>
      </w:r>
      <w:r>
        <w:rPr>
          <w:rFonts w:hint="eastAsia"/>
          <w:color w:val="000000" w:themeColor="text1"/>
          <w14:textFill>
            <w14:solidFill>
              <w14:schemeClr w14:val="tx1"/>
            </w14:solidFill>
          </w14:textFill>
        </w:rPr>
        <w:t>《火力发电厂采暖通风与空气调节设计技术规程》、</w:t>
      </w:r>
      <w:r>
        <w:rPr>
          <w:color w:val="000000" w:themeColor="text1"/>
          <w14:textFill>
            <w14:solidFill>
              <w14:schemeClr w14:val="tx1"/>
            </w14:solidFill>
          </w14:textFill>
        </w:rPr>
        <w:t>GB 50229-2019</w:t>
      </w:r>
      <w:r>
        <w:rPr>
          <w:rFonts w:hint="eastAsia"/>
          <w:color w:val="000000" w:themeColor="text1"/>
          <w14:textFill>
            <w14:solidFill>
              <w14:schemeClr w14:val="tx1"/>
            </w14:solidFill>
          </w14:textFill>
        </w:rPr>
        <w:t>《火力发电厂与变电站设计防火标准》等相关标准的要求。</w:t>
      </w:r>
    </w:p>
    <w:p>
      <w:pPr>
        <w:tabs>
          <w:tab w:val="left" w:pos="1267"/>
        </w:tabs>
        <w:spacing w:line="360" w:lineRule="auto"/>
        <w:ind w:firstLine="420" w:firstLineChars="200"/>
        <w:rPr>
          <w:color w:val="000000" w:themeColor="text1"/>
          <w14:textFill>
            <w14:solidFill>
              <w14:schemeClr w14:val="tx1"/>
            </w14:solidFill>
          </w14:textFill>
        </w:rPr>
      </w:pPr>
      <w:r>
        <w:rPr>
          <w:rFonts w:hint="eastAsia"/>
          <w:color w:val="000000" w:themeColor="text1"/>
          <w14:textFill>
            <w14:solidFill>
              <w14:schemeClr w14:val="tx1"/>
            </w14:solidFill>
          </w14:textFill>
        </w:rPr>
        <w:t>（</w:t>
      </w:r>
      <w:r>
        <w:rPr>
          <w:color w:val="000000" w:themeColor="text1"/>
          <w14:textFill>
            <w14:solidFill>
              <w14:schemeClr w14:val="tx1"/>
            </w14:solidFill>
          </w14:textFill>
        </w:rPr>
        <w:t>10</w:t>
      </w:r>
      <w:r>
        <w:rPr>
          <w:rFonts w:hint="eastAsia"/>
          <w:color w:val="000000" w:themeColor="text1"/>
          <w14:textFill>
            <w14:solidFill>
              <w14:schemeClr w14:val="tx1"/>
            </w14:solidFill>
          </w14:textFill>
        </w:rPr>
        <w:t>）为了方便二次线缆敷设，设备舱的架空电缆层净高不应小于</w:t>
      </w:r>
      <w:r>
        <w:rPr>
          <w:color w:val="000000" w:themeColor="text1"/>
          <w14:textFill>
            <w14:solidFill>
              <w14:schemeClr w14:val="tx1"/>
            </w14:solidFill>
          </w14:textFill>
        </w:rPr>
        <w:t>300mm</w:t>
      </w:r>
      <w:r>
        <w:rPr>
          <w:rFonts w:hint="eastAsia"/>
          <w:color w:val="000000" w:themeColor="text1"/>
          <w14:textFill>
            <w14:solidFill>
              <w14:schemeClr w14:val="tx1"/>
            </w14:solidFill>
          </w14:textFill>
        </w:rPr>
        <w:t>。</w:t>
      </w:r>
    </w:p>
    <w:p>
      <w:pPr>
        <w:tabs>
          <w:tab w:val="left" w:pos="1267"/>
        </w:tabs>
        <w:spacing w:line="360" w:lineRule="auto"/>
        <w:ind w:firstLine="420" w:firstLineChars="200"/>
        <w:rPr>
          <w:color w:val="000000" w:themeColor="text1"/>
          <w14:textFill>
            <w14:solidFill>
              <w14:schemeClr w14:val="tx1"/>
            </w14:solidFill>
          </w14:textFill>
        </w:rPr>
      </w:pPr>
      <w:r>
        <w:rPr>
          <w:rFonts w:hint="eastAsia"/>
          <w:color w:val="000000" w:themeColor="text1"/>
          <w14:textFill>
            <w14:solidFill>
              <w14:schemeClr w14:val="tx1"/>
            </w14:solidFill>
          </w14:textFill>
        </w:rPr>
        <w:t>（</w:t>
      </w:r>
      <w:r>
        <w:rPr>
          <w:color w:val="000000" w:themeColor="text1"/>
          <w14:textFill>
            <w14:solidFill>
              <w14:schemeClr w14:val="tx1"/>
            </w14:solidFill>
          </w14:textFill>
        </w:rPr>
        <w:t>11</w:t>
      </w:r>
      <w:r>
        <w:rPr>
          <w:rFonts w:hint="eastAsia"/>
          <w:color w:val="000000" w:themeColor="text1"/>
          <w14:textFill>
            <w14:solidFill>
              <w14:schemeClr w14:val="tx1"/>
            </w14:solidFill>
          </w14:textFill>
        </w:rPr>
        <w:t>）预制舱外观满足项目方需求，舱体表面不应有裂缝、结疤、分层、毛刺。</w:t>
      </w:r>
    </w:p>
    <w:p>
      <w:pPr>
        <w:tabs>
          <w:tab w:val="left" w:pos="1267"/>
        </w:tabs>
        <w:spacing w:line="360" w:lineRule="auto"/>
        <w:ind w:firstLine="420" w:firstLineChars="200"/>
        <w:rPr>
          <w:color w:val="000000" w:themeColor="text1"/>
          <w14:textFill>
            <w14:solidFill>
              <w14:schemeClr w14:val="tx1"/>
            </w14:solidFill>
          </w14:textFill>
        </w:rPr>
      </w:pPr>
      <w:r>
        <w:rPr>
          <w:rFonts w:hint="eastAsia"/>
          <w:color w:val="000000" w:themeColor="text1"/>
          <w14:textFill>
            <w14:solidFill>
              <w14:schemeClr w14:val="tx1"/>
            </w14:solidFill>
          </w14:textFill>
        </w:rPr>
        <w:t>（</w:t>
      </w:r>
      <w:r>
        <w:rPr>
          <w:color w:val="000000" w:themeColor="text1"/>
          <w14:textFill>
            <w14:solidFill>
              <w14:schemeClr w14:val="tx1"/>
            </w14:solidFill>
          </w14:textFill>
        </w:rPr>
        <w:t>12</w:t>
      </w:r>
      <w:r>
        <w:rPr>
          <w:rFonts w:hint="eastAsia"/>
          <w:color w:val="000000" w:themeColor="text1"/>
          <w14:textFill>
            <w14:solidFill>
              <w14:schemeClr w14:val="tx1"/>
            </w14:solidFill>
          </w14:textFill>
        </w:rPr>
        <w:t>）舱体在起吊、运输和安装时不应产生永久变形、开裂或覆盖件脱落。</w:t>
      </w:r>
    </w:p>
    <w:p>
      <w:pPr>
        <w:tabs>
          <w:tab w:val="left" w:pos="1267"/>
        </w:tabs>
        <w:spacing w:line="360" w:lineRule="auto"/>
        <w:ind w:firstLine="420" w:firstLineChars="200"/>
        <w:rPr>
          <w:color w:val="000000" w:themeColor="text1"/>
          <w14:textFill>
            <w14:solidFill>
              <w14:schemeClr w14:val="tx1"/>
            </w14:solidFill>
          </w14:textFill>
        </w:rPr>
      </w:pPr>
      <w:r>
        <w:rPr>
          <w:rFonts w:hint="eastAsia"/>
          <w:color w:val="000000" w:themeColor="text1"/>
          <w14:textFill>
            <w14:solidFill>
              <w14:schemeClr w14:val="tx1"/>
            </w14:solidFill>
          </w14:textFill>
        </w:rPr>
        <w:t>（</w:t>
      </w:r>
      <w:r>
        <w:rPr>
          <w:color w:val="000000" w:themeColor="text1"/>
          <w14:textFill>
            <w14:solidFill>
              <w14:schemeClr w14:val="tx1"/>
            </w14:solidFill>
          </w14:textFill>
        </w:rPr>
        <w:t>13</w:t>
      </w:r>
      <w:r>
        <w:rPr>
          <w:rFonts w:hint="eastAsia"/>
          <w:color w:val="000000" w:themeColor="text1"/>
          <w14:textFill>
            <w14:solidFill>
              <w14:schemeClr w14:val="tx1"/>
            </w14:solidFill>
          </w14:textFill>
        </w:rPr>
        <w:t>）舱体屋面宜采用有组织排水，排水槽及落水管应明敷，与舱体配套供货，现场安装。</w:t>
      </w:r>
    </w:p>
    <w:p>
      <w:pPr>
        <w:tabs>
          <w:tab w:val="left" w:pos="1267"/>
        </w:tabs>
        <w:spacing w:line="360" w:lineRule="auto"/>
        <w:ind w:firstLine="420" w:firstLineChars="200"/>
        <w:rPr>
          <w:color w:val="000000" w:themeColor="text1"/>
          <w14:textFill>
            <w14:solidFill>
              <w14:schemeClr w14:val="tx1"/>
            </w14:solidFill>
          </w14:textFill>
        </w:rPr>
      </w:pPr>
      <w:r>
        <w:rPr>
          <w:rFonts w:hint="eastAsia"/>
          <w:color w:val="000000" w:themeColor="text1"/>
          <w14:textFill>
            <w14:solidFill>
              <w14:schemeClr w14:val="tx1"/>
            </w14:solidFill>
          </w14:textFill>
        </w:rPr>
        <w:t>（</w:t>
      </w:r>
      <w:r>
        <w:rPr>
          <w:color w:val="000000" w:themeColor="text1"/>
          <w14:textFill>
            <w14:solidFill>
              <w14:schemeClr w14:val="tx1"/>
            </w14:solidFill>
          </w14:textFill>
        </w:rPr>
        <w:t>14</w:t>
      </w:r>
      <w:r>
        <w:rPr>
          <w:rFonts w:hint="eastAsia"/>
          <w:color w:val="000000" w:themeColor="text1"/>
          <w14:textFill>
            <w14:solidFill>
              <w14:schemeClr w14:val="tx1"/>
            </w14:solidFill>
          </w14:textFill>
        </w:rPr>
        <w:t>）预制舱防范小动物措施满足项目方需求。</w:t>
      </w:r>
    </w:p>
    <w:p>
      <w:pPr>
        <w:tabs>
          <w:tab w:val="left" w:pos="1267"/>
        </w:tabs>
        <w:spacing w:line="360" w:lineRule="auto"/>
        <w:ind w:firstLine="420" w:firstLineChars="200"/>
        <w:rPr>
          <w:color w:val="000000" w:themeColor="text1"/>
          <w14:textFill>
            <w14:solidFill>
              <w14:schemeClr w14:val="tx1"/>
            </w14:solidFill>
          </w14:textFill>
        </w:rPr>
      </w:pPr>
      <w:r>
        <w:rPr>
          <w:rFonts w:hint="eastAsia"/>
          <w:color w:val="000000" w:themeColor="text1"/>
          <w14:textFill>
            <w14:solidFill>
              <w14:schemeClr w14:val="tx1"/>
            </w14:solidFill>
          </w14:textFill>
        </w:rPr>
        <w:t>（</w:t>
      </w:r>
      <w:r>
        <w:rPr>
          <w:color w:val="000000" w:themeColor="text1"/>
          <w14:textFill>
            <w14:solidFill>
              <w14:schemeClr w14:val="tx1"/>
            </w14:solidFill>
          </w14:textFill>
        </w:rPr>
        <w:t>15</w:t>
      </w:r>
      <w:r>
        <w:rPr>
          <w:rFonts w:hint="eastAsia"/>
          <w:color w:val="000000" w:themeColor="text1"/>
          <w14:textFill>
            <w14:solidFill>
              <w14:schemeClr w14:val="tx1"/>
            </w14:solidFill>
          </w14:textFill>
        </w:rPr>
        <w:t>）预制舱质保期</w:t>
      </w:r>
      <w:r>
        <w:rPr>
          <w:color w:val="000000" w:themeColor="text1"/>
          <w14:textFill>
            <w14:solidFill>
              <w14:schemeClr w14:val="tx1"/>
            </w14:solidFill>
          </w14:textFill>
        </w:rPr>
        <w:t>2</w:t>
      </w:r>
      <w:r>
        <w:rPr>
          <w:rFonts w:hint="eastAsia"/>
          <w:color w:val="000000" w:themeColor="text1"/>
          <w14:textFill>
            <w14:solidFill>
              <w14:schemeClr w14:val="tx1"/>
            </w14:solidFill>
          </w14:textFill>
        </w:rPr>
        <w:t>年。</w:t>
      </w:r>
    </w:p>
    <w:p>
      <w:pPr>
        <w:tabs>
          <w:tab w:val="left" w:pos="1267"/>
        </w:tabs>
        <w:spacing w:line="360" w:lineRule="auto"/>
        <w:ind w:firstLine="420" w:firstLineChars="200"/>
        <w:rPr>
          <w:color w:val="000000" w:themeColor="text1"/>
          <w14:textFill>
            <w14:solidFill>
              <w14:schemeClr w14:val="tx1"/>
            </w14:solidFill>
          </w14:textFill>
        </w:rPr>
      </w:pPr>
      <w:r>
        <w:rPr>
          <w:rFonts w:hint="eastAsia"/>
          <w:color w:val="000000" w:themeColor="text1"/>
          <w14:textFill>
            <w14:solidFill>
              <w14:schemeClr w14:val="tx1"/>
            </w14:solidFill>
          </w14:textFill>
        </w:rPr>
        <w:t>（</w:t>
      </w:r>
      <w:r>
        <w:rPr>
          <w:color w:val="000000" w:themeColor="text1"/>
          <w14:textFill>
            <w14:solidFill>
              <w14:schemeClr w14:val="tx1"/>
            </w14:solidFill>
          </w14:textFill>
        </w:rPr>
        <w:t>16</w:t>
      </w:r>
      <w:r>
        <w:rPr>
          <w:rFonts w:hint="eastAsia"/>
          <w:color w:val="000000" w:themeColor="text1"/>
          <w14:textFill>
            <w14:solidFill>
              <w14:schemeClr w14:val="tx1"/>
            </w14:solidFill>
          </w14:textFill>
        </w:rPr>
        <w:t>）厂家在接到需方反映的质量问题信息后，立即作出答复，需派人员处理时，</w:t>
      </w:r>
      <w:r>
        <w:rPr>
          <w:color w:val="000000" w:themeColor="text1"/>
          <w14:textFill>
            <w14:solidFill>
              <w14:schemeClr w14:val="tx1"/>
            </w14:solidFill>
          </w14:textFill>
        </w:rPr>
        <w:t>12</w:t>
      </w:r>
      <w:r>
        <w:rPr>
          <w:rFonts w:hint="eastAsia"/>
          <w:color w:val="000000" w:themeColor="text1"/>
          <w14:textFill>
            <w14:solidFill>
              <w14:schemeClr w14:val="tx1"/>
            </w14:solidFill>
          </w14:textFill>
        </w:rPr>
        <w:t>小时内到达，把“</w:t>
      </w:r>
      <w:r>
        <w:rPr>
          <w:color w:val="000000" w:themeColor="text1"/>
          <w14:textFill>
            <w14:solidFill>
              <w14:schemeClr w14:val="tx1"/>
            </w14:solidFill>
          </w14:textFill>
        </w:rPr>
        <w:t>24</w:t>
      </w:r>
      <w:r>
        <w:rPr>
          <w:rFonts w:hint="eastAsia"/>
          <w:color w:val="000000" w:themeColor="text1"/>
          <w14:textFill>
            <w14:solidFill>
              <w14:schemeClr w14:val="tx1"/>
            </w14:solidFill>
          </w14:textFill>
        </w:rPr>
        <w:t>小时服务”、“超前服务”、“全过程服务”、“终身服务”贯彻在产品制造安装、调试、修理的全过程。用户在使用时出现故障，厂家先处理问题，后分清责任，质保期内免费更换部件和提供服务，质保期后，厂家仅收取部件的成本费，免费提供维修服务。</w:t>
      </w:r>
    </w:p>
    <w:p>
      <w:pPr>
        <w:tabs>
          <w:tab w:val="left" w:pos="1267"/>
        </w:tabs>
        <w:spacing w:line="360" w:lineRule="auto"/>
        <w:ind w:firstLine="420" w:firstLineChars="200"/>
        <w:rPr>
          <w:color w:val="000000" w:themeColor="text1"/>
          <w14:textFill>
            <w14:solidFill>
              <w14:schemeClr w14:val="tx1"/>
            </w14:solidFill>
          </w14:textFill>
        </w:rPr>
      </w:pPr>
      <w:r>
        <w:rPr>
          <w:rFonts w:hint="eastAsia"/>
          <w:color w:val="000000" w:themeColor="text1"/>
          <w14:textFill>
            <w14:solidFill>
              <w14:schemeClr w14:val="tx1"/>
            </w14:solidFill>
          </w14:textFill>
        </w:rPr>
        <w:t>同时，厂家需每五年定期到现场提供免费维修和技术服务</w:t>
      </w:r>
      <w:r>
        <w:rPr>
          <w:color w:val="000000" w:themeColor="text1"/>
          <w14:textFill>
            <w14:solidFill>
              <w14:schemeClr w14:val="tx1"/>
            </w14:solidFill>
          </w14:textFill>
        </w:rPr>
        <w:t>(</w:t>
      </w:r>
      <w:r>
        <w:rPr>
          <w:rFonts w:hint="eastAsia"/>
          <w:color w:val="000000" w:themeColor="text1"/>
          <w14:textFill>
            <w14:solidFill>
              <w14:schemeClr w14:val="tx1"/>
            </w14:solidFill>
          </w14:textFill>
        </w:rPr>
        <w:t>密封胶条等常用易耗品每</w:t>
      </w:r>
      <w:r>
        <w:rPr>
          <w:color w:val="000000" w:themeColor="text1"/>
          <w14:textFill>
            <w14:solidFill>
              <w14:schemeClr w14:val="tx1"/>
            </w14:solidFill>
          </w14:textFill>
        </w:rPr>
        <w:t>5</w:t>
      </w:r>
      <w:r>
        <w:rPr>
          <w:rFonts w:hint="eastAsia"/>
          <w:color w:val="000000" w:themeColor="text1"/>
          <w14:textFill>
            <w14:solidFill>
              <w14:schemeClr w14:val="tx1"/>
            </w14:solidFill>
          </w14:textFill>
        </w:rPr>
        <w:t>年进行一次免费更换</w:t>
      </w:r>
      <w:r>
        <w:rPr>
          <w:color w:val="000000" w:themeColor="text1"/>
          <w14:textFill>
            <w14:solidFill>
              <w14:schemeClr w14:val="tx1"/>
            </w14:solidFill>
          </w14:textFill>
        </w:rPr>
        <w:t>)</w:t>
      </w:r>
      <w:r>
        <w:rPr>
          <w:rFonts w:hint="eastAsia"/>
          <w:color w:val="000000" w:themeColor="text1"/>
          <w14:textFill>
            <w14:solidFill>
              <w14:schemeClr w14:val="tx1"/>
            </w14:solidFill>
          </w14:textFill>
        </w:rPr>
        <w:t>，若在设备保修期内，为设备自身出现问题，提供免费更换服务。</w:t>
      </w:r>
    </w:p>
    <w:p>
      <w:pPr>
        <w:tabs>
          <w:tab w:val="left" w:pos="1267"/>
        </w:tabs>
        <w:spacing w:line="360" w:lineRule="auto"/>
        <w:ind w:firstLine="420" w:firstLineChars="200"/>
        <w:rPr>
          <w:color w:val="000000" w:themeColor="text1"/>
          <w14:textFill>
            <w14:solidFill>
              <w14:schemeClr w14:val="tx1"/>
            </w14:solidFill>
          </w14:textFill>
        </w:rPr>
      </w:pPr>
      <w:r>
        <w:rPr>
          <w:rFonts w:hint="eastAsia"/>
          <w:color w:val="000000" w:themeColor="text1"/>
          <w14:textFill>
            <w14:solidFill>
              <w14:schemeClr w14:val="tx1"/>
            </w14:solidFill>
          </w14:textFill>
        </w:rPr>
        <w:t>用户在使用时出现故障，如为设备本身原因，厂家提供免费更换和免费维修费用，如果是用户操作不当所致，厂家仅可以收取部件成本费用，但是需提供免费维修服务</w:t>
      </w:r>
    </w:p>
    <w:p>
      <w:pPr>
        <w:tabs>
          <w:tab w:val="left" w:pos="1267"/>
        </w:tabs>
        <w:spacing w:line="360" w:lineRule="auto"/>
        <w:ind w:firstLine="420" w:firstLineChars="200"/>
        <w:rPr>
          <w:color w:val="000000" w:themeColor="text1"/>
          <w14:textFill>
            <w14:solidFill>
              <w14:schemeClr w14:val="tx1"/>
            </w14:solidFill>
          </w14:textFill>
        </w:rPr>
      </w:pPr>
      <w:r>
        <w:rPr>
          <w:rFonts w:hint="eastAsia"/>
          <w:color w:val="000000" w:themeColor="text1"/>
          <w14:textFill>
            <w14:solidFill>
              <w14:schemeClr w14:val="tx1"/>
            </w14:solidFill>
          </w14:textFill>
        </w:rPr>
        <w:t>（</w:t>
      </w:r>
      <w:r>
        <w:rPr>
          <w:color w:val="000000" w:themeColor="text1"/>
          <w14:textFill>
            <w14:solidFill>
              <w14:schemeClr w14:val="tx1"/>
            </w14:solidFill>
          </w14:textFill>
        </w:rPr>
        <w:t>17</w:t>
      </w:r>
      <w:r>
        <w:rPr>
          <w:rFonts w:hint="eastAsia"/>
          <w:color w:val="000000" w:themeColor="text1"/>
          <w14:textFill>
            <w14:solidFill>
              <w14:schemeClr w14:val="tx1"/>
            </w14:solidFill>
          </w14:textFill>
        </w:rPr>
        <w:t>）通风窗采用非燃材料制作，可防止雨、雪和小动物等进入。”</w:t>
      </w:r>
      <w:r>
        <w:rPr>
          <w:color w:val="000000" w:themeColor="text1"/>
          <w14:textFill>
            <w14:solidFill>
              <w14:schemeClr w14:val="tx1"/>
            </w14:solidFill>
          </w14:textFill>
        </w:rPr>
        <w:t xml:space="preserve"> </w:t>
      </w:r>
    </w:p>
    <w:p>
      <w:pPr>
        <w:tabs>
          <w:tab w:val="left" w:pos="1267"/>
        </w:tabs>
        <w:spacing w:line="360" w:lineRule="auto"/>
        <w:ind w:firstLine="420" w:firstLineChars="200"/>
        <w:rPr>
          <w:color w:val="000000" w:themeColor="text1"/>
          <w14:textFill>
            <w14:solidFill>
              <w14:schemeClr w14:val="tx1"/>
            </w14:solidFill>
          </w14:textFill>
        </w:rPr>
      </w:pPr>
      <w:r>
        <w:rPr>
          <w:rFonts w:hint="eastAsia"/>
          <w:color w:val="000000" w:themeColor="text1"/>
          <w14:textFill>
            <w14:solidFill>
              <w14:schemeClr w14:val="tx1"/>
            </w14:solidFill>
          </w14:textFill>
        </w:rPr>
        <w:t>（</w:t>
      </w:r>
      <w:r>
        <w:rPr>
          <w:color w:val="000000" w:themeColor="text1"/>
          <w14:textFill>
            <w14:solidFill>
              <w14:schemeClr w14:val="tx1"/>
            </w14:solidFill>
          </w14:textFill>
        </w:rPr>
        <w:t>18</w:t>
      </w:r>
      <w:r>
        <w:rPr>
          <w:rFonts w:hint="eastAsia"/>
          <w:color w:val="000000" w:themeColor="text1"/>
          <w14:textFill>
            <w14:solidFill>
              <w14:schemeClr w14:val="tx1"/>
            </w14:solidFill>
          </w14:textFill>
        </w:rPr>
        <w:t>）设备检修试验通道满足相关规范要求。</w:t>
      </w:r>
    </w:p>
    <w:p>
      <w:pPr>
        <w:tabs>
          <w:tab w:val="left" w:pos="1267"/>
        </w:tabs>
        <w:spacing w:line="360" w:lineRule="auto"/>
        <w:ind w:firstLine="420" w:firstLineChars="200"/>
        <w:rPr>
          <w:color w:val="000000" w:themeColor="text1"/>
          <w14:textFill>
            <w14:solidFill>
              <w14:schemeClr w14:val="tx1"/>
            </w14:solidFill>
          </w14:textFill>
        </w:rPr>
      </w:pPr>
      <w:bookmarkStart w:id="58" w:name="_Toc119049803"/>
      <w:r>
        <w:rPr>
          <w:color w:val="000000" w:themeColor="text1"/>
          <w14:textFill>
            <w14:solidFill>
              <w14:schemeClr w14:val="tx1"/>
            </w14:solidFill>
          </w14:textFill>
        </w:rPr>
        <w:t>2</w:t>
      </w:r>
      <w:r>
        <w:rPr>
          <w:rFonts w:hint="eastAsia"/>
          <w:color w:val="000000" w:themeColor="text1"/>
          <w14:textFill>
            <w14:solidFill>
              <w14:schemeClr w14:val="tx1"/>
            </w14:solidFill>
          </w14:textFill>
        </w:rPr>
        <w:t>、预制舱集成要求</w:t>
      </w:r>
      <w:bookmarkEnd w:id="58"/>
    </w:p>
    <w:p>
      <w:pPr>
        <w:tabs>
          <w:tab w:val="left" w:pos="1267"/>
        </w:tabs>
        <w:spacing w:line="360" w:lineRule="auto"/>
        <w:ind w:firstLine="420" w:firstLineChars="200"/>
        <w:rPr>
          <w:color w:val="000000" w:themeColor="text1"/>
          <w14:textFill>
            <w14:solidFill>
              <w14:schemeClr w14:val="tx1"/>
            </w14:solidFill>
          </w14:textFill>
        </w:rPr>
      </w:pPr>
      <w:bookmarkStart w:id="59" w:name="_Toc654"/>
      <w:r>
        <w:rPr>
          <w:rFonts w:hint="eastAsia"/>
          <w:color w:val="000000" w:themeColor="text1"/>
          <w14:textFill>
            <w14:solidFill>
              <w14:schemeClr w14:val="tx1"/>
            </w14:solidFill>
          </w14:textFill>
        </w:rPr>
        <w:t>（</w:t>
      </w:r>
      <w:r>
        <w:rPr>
          <w:color w:val="000000" w:themeColor="text1"/>
          <w14:textFill>
            <w14:solidFill>
              <w14:schemeClr w14:val="tx1"/>
            </w14:solidFill>
          </w14:textFill>
        </w:rPr>
        <w:t>1</w:t>
      </w:r>
      <w:r>
        <w:rPr>
          <w:rFonts w:hint="eastAsia"/>
          <w:color w:val="000000" w:themeColor="text1"/>
          <w14:textFill>
            <w14:solidFill>
              <w14:schemeClr w14:val="tx1"/>
            </w14:solidFill>
          </w14:textFill>
        </w:rPr>
        <w:t>）预制舱集成除做好设备的安装，满足设备的安装、运行和维护要求，确保设备运行安全可靠外，还需做好人机工程学设计和内部的观处理，确保舱内整洁、美观。舱内应设置集成吊顶，无顶部骨架、横梁外露；壁板洁净、平整，无外露骨架。舱体拼接缝须避开主要设备的正上方</w:t>
      </w:r>
    </w:p>
    <w:p>
      <w:pPr>
        <w:tabs>
          <w:tab w:val="left" w:pos="1267"/>
        </w:tabs>
        <w:spacing w:line="360" w:lineRule="auto"/>
        <w:ind w:firstLine="420" w:firstLineChars="200"/>
        <w:rPr>
          <w:color w:val="000000" w:themeColor="text1"/>
          <w14:textFill>
            <w14:solidFill>
              <w14:schemeClr w14:val="tx1"/>
            </w14:solidFill>
          </w14:textFill>
        </w:rPr>
      </w:pPr>
      <w:r>
        <w:rPr>
          <w:rFonts w:hint="eastAsia"/>
          <w:color w:val="000000" w:themeColor="text1"/>
          <w14:textFill>
            <w14:solidFill>
              <w14:schemeClr w14:val="tx1"/>
            </w14:solidFill>
          </w14:textFill>
        </w:rPr>
        <w:t>（</w:t>
      </w:r>
      <w:r>
        <w:rPr>
          <w:color w:val="000000" w:themeColor="text1"/>
          <w14:textFill>
            <w14:solidFill>
              <w14:schemeClr w14:val="tx1"/>
            </w14:solidFill>
          </w14:textFill>
        </w:rPr>
        <w:t>2</w:t>
      </w:r>
      <w:r>
        <w:rPr>
          <w:rFonts w:hint="eastAsia"/>
          <w:color w:val="000000" w:themeColor="text1"/>
          <w14:textFill>
            <w14:solidFill>
              <w14:schemeClr w14:val="tx1"/>
            </w14:solidFill>
          </w14:textFill>
        </w:rPr>
        <w:t>）预制舱内不得走明线，需采用暗敷方式，如无法采用暗敷方式，需采用金属管走线，管线走线路径应美观、排列整齐。</w:t>
      </w:r>
    </w:p>
    <w:p>
      <w:pPr>
        <w:tabs>
          <w:tab w:val="left" w:pos="1267"/>
        </w:tabs>
        <w:spacing w:line="360" w:lineRule="auto"/>
        <w:ind w:firstLine="420" w:firstLineChars="200"/>
        <w:rPr>
          <w:color w:val="000000" w:themeColor="text1"/>
          <w14:textFill>
            <w14:solidFill>
              <w14:schemeClr w14:val="tx1"/>
            </w14:solidFill>
          </w14:textFill>
        </w:rPr>
      </w:pPr>
      <w:r>
        <w:rPr>
          <w:rFonts w:hint="eastAsia"/>
          <w:color w:val="000000" w:themeColor="text1"/>
          <w14:textFill>
            <w14:solidFill>
              <w14:schemeClr w14:val="tx1"/>
            </w14:solidFill>
          </w14:textFill>
        </w:rPr>
        <w:t>（</w:t>
      </w:r>
      <w:r>
        <w:rPr>
          <w:color w:val="000000" w:themeColor="text1"/>
          <w14:textFill>
            <w14:solidFill>
              <w14:schemeClr w14:val="tx1"/>
            </w14:solidFill>
          </w14:textFill>
        </w:rPr>
        <w:t>3</w:t>
      </w:r>
      <w:r>
        <w:rPr>
          <w:rFonts w:hint="eastAsia"/>
          <w:color w:val="000000" w:themeColor="text1"/>
          <w14:textFill>
            <w14:solidFill>
              <w14:schemeClr w14:val="tx1"/>
            </w14:solidFill>
          </w14:textFill>
        </w:rPr>
        <w:t>）开关、插座应采用暗装形式，面板应紧贴墙面，四周无缝隙，安装牢固，表面光滑整洁，无碎裂、划伤，装饰帽齐全。同一部位开关面板高度、色泽应一致，间隔均匀，开关通断位置一致，操作灵活，接触可靠。</w:t>
      </w:r>
    </w:p>
    <w:p>
      <w:pPr>
        <w:tabs>
          <w:tab w:val="left" w:pos="1267"/>
        </w:tabs>
        <w:spacing w:line="360" w:lineRule="auto"/>
        <w:ind w:firstLine="420" w:firstLineChars="200"/>
        <w:rPr>
          <w:color w:val="000000" w:themeColor="text1"/>
          <w14:textFill>
            <w14:solidFill>
              <w14:schemeClr w14:val="tx1"/>
            </w14:solidFill>
          </w14:textFill>
        </w:rPr>
      </w:pPr>
      <w:r>
        <w:rPr>
          <w:rFonts w:hint="eastAsia"/>
          <w:color w:val="000000" w:themeColor="text1"/>
          <w14:textFill>
            <w14:solidFill>
              <w14:schemeClr w14:val="tx1"/>
            </w14:solidFill>
          </w14:textFill>
        </w:rPr>
        <w:t>（</w:t>
      </w:r>
      <w:r>
        <w:rPr>
          <w:color w:val="000000" w:themeColor="text1"/>
          <w14:textFill>
            <w14:solidFill>
              <w14:schemeClr w14:val="tx1"/>
            </w14:solidFill>
          </w14:textFill>
        </w:rPr>
        <w:t>4</w:t>
      </w:r>
      <w:r>
        <w:rPr>
          <w:rFonts w:hint="eastAsia"/>
          <w:color w:val="000000" w:themeColor="text1"/>
          <w14:textFill>
            <w14:solidFill>
              <w14:schemeClr w14:val="tx1"/>
            </w14:solidFill>
          </w14:textFill>
        </w:rPr>
        <w:t>）预制舱内配电箱应型号统一，安装高度统一，配电箱宜设置在预制舱出入口附近，方便人员操作，紧凑布置，安装高度为配电箱下沿距地</w:t>
      </w:r>
      <w:r>
        <w:rPr>
          <w:color w:val="000000" w:themeColor="text1"/>
          <w14:textFill>
            <w14:solidFill>
              <w14:schemeClr w14:val="tx1"/>
            </w14:solidFill>
          </w14:textFill>
        </w:rPr>
        <w:t>1.3m</w:t>
      </w:r>
      <w:r>
        <w:rPr>
          <w:rFonts w:hint="eastAsia"/>
          <w:color w:val="000000" w:themeColor="text1"/>
          <w14:textFill>
            <w14:solidFill>
              <w14:schemeClr w14:val="tx1"/>
            </w14:solidFill>
          </w14:textFill>
        </w:rPr>
        <w:t>。配电箱舱体周边平整无损伤，漆面无脱落，入箱的管线长短合适、间距均匀、排列整齐。</w:t>
      </w:r>
    </w:p>
    <w:p>
      <w:pPr>
        <w:tabs>
          <w:tab w:val="left" w:pos="1267"/>
        </w:tabs>
        <w:spacing w:line="360" w:lineRule="auto"/>
        <w:ind w:firstLine="420" w:firstLineChars="200"/>
        <w:rPr>
          <w:color w:val="000000" w:themeColor="text1"/>
          <w14:textFill>
            <w14:solidFill>
              <w14:schemeClr w14:val="tx1"/>
            </w14:solidFill>
          </w14:textFill>
        </w:rPr>
      </w:pPr>
      <w:r>
        <w:rPr>
          <w:rFonts w:hint="eastAsia"/>
          <w:color w:val="000000" w:themeColor="text1"/>
          <w14:textFill>
            <w14:solidFill>
              <w14:schemeClr w14:val="tx1"/>
            </w14:solidFill>
          </w14:textFill>
        </w:rPr>
        <w:t>（</w:t>
      </w:r>
      <w:r>
        <w:rPr>
          <w:color w:val="000000" w:themeColor="text1"/>
          <w14:textFill>
            <w14:solidFill>
              <w14:schemeClr w14:val="tx1"/>
            </w14:solidFill>
          </w14:textFill>
        </w:rPr>
        <w:t>5</w:t>
      </w:r>
      <w:r>
        <w:rPr>
          <w:rFonts w:hint="eastAsia"/>
          <w:color w:val="000000" w:themeColor="text1"/>
          <w14:textFill>
            <w14:solidFill>
              <w14:schemeClr w14:val="tx1"/>
            </w14:solidFill>
          </w14:textFill>
        </w:rPr>
        <w:t>）预制舱底板发货前上方需覆盖地板革，一二次舱敷设绝缘垫。</w:t>
      </w:r>
    </w:p>
    <w:p>
      <w:pPr>
        <w:tabs>
          <w:tab w:val="left" w:pos="1267"/>
        </w:tabs>
        <w:spacing w:line="360" w:lineRule="auto"/>
        <w:ind w:firstLine="420" w:firstLineChars="200"/>
        <w:rPr>
          <w:color w:val="000000" w:themeColor="text1"/>
          <w14:textFill>
            <w14:solidFill>
              <w14:schemeClr w14:val="tx1"/>
            </w14:solidFill>
          </w14:textFill>
        </w:rPr>
      </w:pPr>
      <w:r>
        <w:rPr>
          <w:rFonts w:hint="eastAsia"/>
          <w:color w:val="000000" w:themeColor="text1"/>
          <w14:textFill>
            <w14:solidFill>
              <w14:schemeClr w14:val="tx1"/>
            </w14:solidFill>
          </w14:textFill>
        </w:rPr>
        <w:t>（</w:t>
      </w:r>
      <w:r>
        <w:rPr>
          <w:color w:val="000000" w:themeColor="text1"/>
          <w14:textFill>
            <w14:solidFill>
              <w14:schemeClr w14:val="tx1"/>
            </w14:solidFill>
          </w14:textFill>
        </w:rPr>
        <w:t>6</w:t>
      </w:r>
      <w:r>
        <w:rPr>
          <w:rFonts w:hint="eastAsia"/>
          <w:color w:val="000000" w:themeColor="text1"/>
          <w14:textFill>
            <w14:solidFill>
              <w14:schemeClr w14:val="tx1"/>
            </w14:solidFill>
          </w14:textFill>
        </w:rPr>
        <w:t>）预制舱内需设置工厂内预制完成的金属结构集成吊顶，确保长途运输时不会变形、脱落，集成式吊顶结构简单、安装方便、将照明、检修以及风道结构进行集成，充分做好与预制舱内设备的配合，实现舱柜一体化。吊顶采用模块化设计，采用卡扣固定，轻便可拆卸，不允许采用螺栓固定连接，方便柜顶及吊顶上方线路的检修。</w:t>
      </w:r>
    </w:p>
    <w:p>
      <w:pPr>
        <w:tabs>
          <w:tab w:val="left" w:pos="1267"/>
        </w:tabs>
        <w:spacing w:line="360" w:lineRule="auto"/>
        <w:ind w:firstLine="420" w:firstLineChars="200"/>
        <w:rPr>
          <w:color w:val="000000" w:themeColor="text1"/>
          <w14:textFill>
            <w14:solidFill>
              <w14:schemeClr w14:val="tx1"/>
            </w14:solidFill>
          </w14:textFill>
        </w:rPr>
      </w:pPr>
      <w:r>
        <w:rPr>
          <w:rFonts w:hint="eastAsia"/>
          <w:color w:val="000000" w:themeColor="text1"/>
          <w14:textFill>
            <w14:solidFill>
              <w14:schemeClr w14:val="tx1"/>
            </w14:solidFill>
          </w14:textFill>
        </w:rPr>
        <w:t>集成吊顶应采用嵌入式灯具，灯具安装应牢固端正，位置正确，与吊顶面平齐美观，高低压配电设备及裸母线的正上方不应安装灯具。</w:t>
      </w:r>
    </w:p>
    <w:p>
      <w:pPr>
        <w:tabs>
          <w:tab w:val="left" w:pos="1267"/>
        </w:tabs>
        <w:spacing w:line="360" w:lineRule="auto"/>
        <w:ind w:firstLine="420" w:firstLineChars="200"/>
        <w:rPr>
          <w:color w:val="000000" w:themeColor="text1"/>
          <w14:textFill>
            <w14:solidFill>
              <w14:schemeClr w14:val="tx1"/>
            </w14:solidFill>
          </w14:textFill>
        </w:rPr>
      </w:pPr>
      <w:r>
        <w:rPr>
          <w:rFonts w:hint="eastAsia"/>
          <w:color w:val="000000" w:themeColor="text1"/>
          <w14:textFill>
            <w14:solidFill>
              <w14:schemeClr w14:val="tx1"/>
            </w14:solidFill>
          </w14:textFill>
        </w:rPr>
        <w:t>（</w:t>
      </w:r>
      <w:r>
        <w:rPr>
          <w:color w:val="000000" w:themeColor="text1"/>
          <w14:textFill>
            <w14:solidFill>
              <w14:schemeClr w14:val="tx1"/>
            </w14:solidFill>
          </w14:textFill>
        </w:rPr>
        <w:t>7</w:t>
      </w:r>
      <w:r>
        <w:rPr>
          <w:rFonts w:hint="eastAsia"/>
          <w:color w:val="000000" w:themeColor="text1"/>
          <w14:textFill>
            <w14:solidFill>
              <w14:schemeClr w14:val="tx1"/>
            </w14:solidFill>
          </w14:textFill>
        </w:rPr>
        <w:t>）夏季空调房间室内设计温度要求</w:t>
      </w:r>
      <w:r>
        <w:rPr>
          <w:color w:val="000000" w:themeColor="text1"/>
          <w14:textFill>
            <w14:solidFill>
              <w14:schemeClr w14:val="tx1"/>
            </w14:solidFill>
          </w14:textFill>
        </w:rPr>
        <w:t>18~28</w:t>
      </w:r>
      <w:r>
        <w:rPr>
          <w:rFonts w:hint="eastAsia"/>
          <w:color w:val="000000" w:themeColor="text1"/>
          <w14:textFill>
            <w14:solidFill>
              <w14:schemeClr w14:val="tx1"/>
            </w14:solidFill>
          </w14:textFill>
        </w:rPr>
        <w:t>℃，相对湿度要求≤</w:t>
      </w:r>
      <w:r>
        <w:rPr>
          <w:color w:val="000000" w:themeColor="text1"/>
          <w14:textFill>
            <w14:solidFill>
              <w14:schemeClr w14:val="tx1"/>
            </w14:solidFill>
          </w14:textFill>
        </w:rPr>
        <w:t>70%</w:t>
      </w:r>
      <w:r>
        <w:rPr>
          <w:rFonts w:hint="eastAsia"/>
          <w:color w:val="000000" w:themeColor="text1"/>
          <w14:textFill>
            <w14:solidFill>
              <w14:schemeClr w14:val="tx1"/>
            </w14:solidFill>
          </w14:textFill>
        </w:rPr>
        <w:t>。此外，根据运行要求电气设备间空调均带来电自启及停电记忆功能，不低于二级能效。空调均具备远程故障报警功能，且报警信号接入后台，且在舱内空调同时开启的情况下二次舱里噪音不应超过</w:t>
      </w:r>
      <w:r>
        <w:rPr>
          <w:color w:val="000000" w:themeColor="text1"/>
          <w14:textFill>
            <w14:solidFill>
              <w14:schemeClr w14:val="tx1"/>
            </w14:solidFill>
          </w14:textFill>
        </w:rPr>
        <w:t>60</w:t>
      </w:r>
      <w:r>
        <w:rPr>
          <w:rFonts w:hint="eastAsia"/>
          <w:color w:val="000000" w:themeColor="text1"/>
          <w14:textFill>
            <w14:solidFill>
              <w14:schemeClr w14:val="tx1"/>
            </w14:solidFill>
          </w14:textFill>
        </w:rPr>
        <w:t>分贝。通风、空调设计应符合现行国家标准《工业建筑供暖通风与空气调节设计规范》</w:t>
      </w:r>
      <w:r>
        <w:rPr>
          <w:color w:val="000000" w:themeColor="text1"/>
          <w14:textFill>
            <w14:solidFill>
              <w14:schemeClr w14:val="tx1"/>
            </w14:solidFill>
          </w14:textFill>
        </w:rPr>
        <w:t>GB50019-2015</w:t>
      </w:r>
      <w:r>
        <w:rPr>
          <w:rFonts w:hint="eastAsia"/>
          <w:color w:val="000000" w:themeColor="text1"/>
          <w14:textFill>
            <w14:solidFill>
              <w14:schemeClr w14:val="tx1"/>
            </w14:solidFill>
          </w14:textFill>
        </w:rPr>
        <w:t>、《火力发电厂与变电站设计防火标准》</w:t>
      </w:r>
      <w:r>
        <w:rPr>
          <w:color w:val="000000" w:themeColor="text1"/>
          <w14:textFill>
            <w14:solidFill>
              <w14:schemeClr w14:val="tx1"/>
            </w14:solidFill>
          </w14:textFill>
        </w:rPr>
        <w:t>GB50229-2019</w:t>
      </w:r>
      <w:r>
        <w:rPr>
          <w:rFonts w:hint="eastAsia"/>
          <w:color w:val="000000" w:themeColor="text1"/>
          <w14:textFill>
            <w14:solidFill>
              <w14:schemeClr w14:val="tx1"/>
            </w14:solidFill>
          </w14:textFill>
        </w:rPr>
        <w:t>要求。</w:t>
      </w:r>
    </w:p>
    <w:p>
      <w:pPr>
        <w:tabs>
          <w:tab w:val="left" w:pos="1267"/>
        </w:tabs>
        <w:spacing w:line="360" w:lineRule="auto"/>
        <w:ind w:firstLine="420" w:firstLineChars="200"/>
        <w:rPr>
          <w:color w:val="000000" w:themeColor="text1"/>
          <w14:textFill>
            <w14:solidFill>
              <w14:schemeClr w14:val="tx1"/>
            </w14:solidFill>
          </w14:textFill>
        </w:rPr>
      </w:pPr>
      <w:r>
        <w:rPr>
          <w:rFonts w:hint="eastAsia"/>
          <w:color w:val="000000" w:themeColor="text1"/>
          <w14:textFill>
            <w14:solidFill>
              <w14:schemeClr w14:val="tx1"/>
            </w14:solidFill>
          </w14:textFill>
        </w:rPr>
        <w:t>（</w:t>
      </w:r>
      <w:r>
        <w:rPr>
          <w:color w:val="000000" w:themeColor="text1"/>
          <w14:textFill>
            <w14:solidFill>
              <w14:schemeClr w14:val="tx1"/>
            </w14:solidFill>
          </w14:textFill>
        </w:rPr>
        <w:t>8</w:t>
      </w:r>
      <w:r>
        <w:rPr>
          <w:rFonts w:hint="eastAsia"/>
          <w:color w:val="000000" w:themeColor="text1"/>
          <w14:textFill>
            <w14:solidFill>
              <w14:schemeClr w14:val="tx1"/>
            </w14:solidFill>
          </w14:textFill>
        </w:rPr>
        <w:t>）选用壁挂式空调机组时，室内机安装于侧墙底标高≥</w:t>
      </w:r>
      <w:r>
        <w:rPr>
          <w:color w:val="000000" w:themeColor="text1"/>
          <w14:textFill>
            <w14:solidFill>
              <w14:schemeClr w14:val="tx1"/>
            </w14:solidFill>
          </w14:textFill>
        </w:rPr>
        <w:t>2.60m</w:t>
      </w:r>
      <w:r>
        <w:rPr>
          <w:rFonts w:hint="eastAsia"/>
          <w:color w:val="000000" w:themeColor="text1"/>
          <w14:textFill>
            <w14:solidFill>
              <w14:schemeClr w14:val="tx1"/>
            </w14:solidFill>
          </w14:textFill>
        </w:rPr>
        <w:t>。选用立柜式空调时室内机应靠墙柱安装，并避免出风口正对电气设备直吹。空调室内机安装牢固，并保持持水平，满足冷却风循环空间要求。管道穿墙处密封，布管整齐美观，外露的冷媒管采用成品槽盒包覆。分体式空调机组室外机安装牢固、可，室外机的托架与墙体用螺栓连接牢固，高低一致，室外机应有可靠接地。安装于舱顶的室外机，应根据设备重量核算舱体结构。</w:t>
      </w:r>
    </w:p>
    <w:p>
      <w:pPr>
        <w:tabs>
          <w:tab w:val="left" w:pos="1267"/>
        </w:tabs>
        <w:spacing w:line="360" w:lineRule="auto"/>
        <w:ind w:firstLine="420" w:firstLineChars="200"/>
        <w:rPr>
          <w:color w:val="000000" w:themeColor="text1"/>
          <w14:textFill>
            <w14:solidFill>
              <w14:schemeClr w14:val="tx1"/>
            </w14:solidFill>
          </w14:textFill>
        </w:rPr>
      </w:pPr>
      <w:r>
        <w:rPr>
          <w:rFonts w:hint="eastAsia"/>
          <w:color w:val="000000" w:themeColor="text1"/>
          <w14:textFill>
            <w14:solidFill>
              <w14:schemeClr w14:val="tx1"/>
            </w14:solidFill>
          </w14:textFill>
        </w:rPr>
        <w:t>（</w:t>
      </w:r>
      <w:r>
        <w:rPr>
          <w:color w:val="000000" w:themeColor="text1"/>
          <w14:textFill>
            <w14:solidFill>
              <w14:schemeClr w14:val="tx1"/>
            </w14:solidFill>
          </w14:textFill>
        </w:rPr>
        <w:t>9</w:t>
      </w:r>
      <w:r>
        <w:rPr>
          <w:rFonts w:hint="eastAsia"/>
          <w:color w:val="000000" w:themeColor="text1"/>
          <w14:textFill>
            <w14:solidFill>
              <w14:schemeClr w14:val="tx1"/>
            </w14:solidFill>
          </w14:textFill>
        </w:rPr>
        <w:t>）空调冷凝水的排放要畅通。通向室外的管路应向下倾斜引入就近水落管或有组织排水。</w:t>
      </w:r>
    </w:p>
    <w:p>
      <w:pPr>
        <w:tabs>
          <w:tab w:val="left" w:pos="1267"/>
        </w:tabs>
        <w:spacing w:line="360" w:lineRule="auto"/>
        <w:ind w:firstLine="420" w:firstLineChars="200"/>
        <w:rPr>
          <w:color w:val="000000" w:themeColor="text1"/>
          <w14:textFill>
            <w14:solidFill>
              <w14:schemeClr w14:val="tx1"/>
            </w14:solidFill>
          </w14:textFill>
        </w:rPr>
      </w:pPr>
      <w:r>
        <w:rPr>
          <w:rFonts w:hint="eastAsia"/>
          <w:color w:val="000000" w:themeColor="text1"/>
          <w14:textFill>
            <w14:solidFill>
              <w14:schemeClr w14:val="tx1"/>
            </w14:solidFill>
          </w14:textFill>
        </w:rPr>
        <w:t>（</w:t>
      </w:r>
      <w:r>
        <w:rPr>
          <w:color w:val="000000" w:themeColor="text1"/>
          <w14:textFill>
            <w14:solidFill>
              <w14:schemeClr w14:val="tx1"/>
            </w14:solidFill>
          </w14:textFill>
        </w:rPr>
        <w:t>10</w:t>
      </w:r>
      <w:r>
        <w:rPr>
          <w:rFonts w:hint="eastAsia"/>
          <w:color w:val="000000" w:themeColor="text1"/>
          <w14:textFill>
            <w14:solidFill>
              <w14:schemeClr w14:val="tx1"/>
            </w14:solidFill>
          </w14:textFill>
        </w:rPr>
        <w:t>）充分考虑运维检修实用性功能及人机工程学设计，入口方便取用处需设置工具箱，用于存放相关工具；舱顶预设简易隔帘安装条件，确保检修时简易隔帘安装拆卸方便；</w:t>
      </w:r>
    </w:p>
    <w:p>
      <w:pPr>
        <w:tabs>
          <w:tab w:val="left" w:pos="1267"/>
        </w:tabs>
        <w:spacing w:line="360" w:lineRule="auto"/>
        <w:ind w:firstLine="420" w:firstLineChars="200"/>
        <w:rPr>
          <w:color w:val="000000" w:themeColor="text1"/>
          <w14:textFill>
            <w14:solidFill>
              <w14:schemeClr w14:val="tx1"/>
            </w14:solidFill>
          </w14:textFill>
        </w:rPr>
      </w:pPr>
      <w:r>
        <w:rPr>
          <w:rFonts w:hint="eastAsia"/>
          <w:color w:val="000000" w:themeColor="text1"/>
          <w14:textFill>
            <w14:solidFill>
              <w14:schemeClr w14:val="tx1"/>
            </w14:solidFill>
          </w14:textFill>
        </w:rPr>
        <w:t>（</w:t>
      </w:r>
      <w:r>
        <w:rPr>
          <w:color w:val="000000" w:themeColor="text1"/>
          <w14:textFill>
            <w14:solidFill>
              <w14:schemeClr w14:val="tx1"/>
            </w14:solidFill>
          </w14:textFill>
        </w:rPr>
        <w:t>11</w:t>
      </w:r>
      <w:r>
        <w:rPr>
          <w:rFonts w:hint="eastAsia"/>
          <w:color w:val="000000" w:themeColor="text1"/>
          <w14:textFill>
            <w14:solidFill>
              <w14:schemeClr w14:val="tx1"/>
            </w14:solidFill>
          </w14:textFill>
        </w:rPr>
        <w:t>）根据内部设备需求，预设室内摄像机、轨道巡检机器人等设备的安装条件，确保现场摄像机、轨道巡检机器人等系统安装便捷，无现场配孔、焊接等表面破坏性施工作业。</w:t>
      </w:r>
    </w:p>
    <w:p>
      <w:pPr>
        <w:tabs>
          <w:tab w:val="left" w:pos="1267"/>
        </w:tabs>
        <w:spacing w:line="360" w:lineRule="auto"/>
        <w:ind w:firstLine="420" w:firstLineChars="200"/>
        <w:rPr>
          <w:color w:val="000000" w:themeColor="text1"/>
          <w14:textFill>
            <w14:solidFill>
              <w14:schemeClr w14:val="tx1"/>
            </w14:solidFill>
          </w14:textFill>
        </w:rPr>
      </w:pPr>
      <w:r>
        <w:rPr>
          <w:rFonts w:hint="eastAsia"/>
          <w:color w:val="000000" w:themeColor="text1"/>
          <w14:textFill>
            <w14:solidFill>
              <w14:schemeClr w14:val="tx1"/>
            </w14:solidFill>
          </w14:textFill>
        </w:rPr>
        <w:t>（</w:t>
      </w:r>
      <w:r>
        <w:rPr>
          <w:color w:val="000000" w:themeColor="text1"/>
          <w14:textFill>
            <w14:solidFill>
              <w14:schemeClr w14:val="tx1"/>
            </w14:solidFill>
          </w14:textFill>
        </w:rPr>
        <w:t>12</w:t>
      </w:r>
      <w:r>
        <w:rPr>
          <w:rFonts w:hint="eastAsia"/>
          <w:color w:val="000000" w:themeColor="text1"/>
          <w14:textFill>
            <w14:solidFill>
              <w14:schemeClr w14:val="tx1"/>
            </w14:solidFill>
          </w14:textFill>
        </w:rPr>
        <w:t>）舱内需在保证整体密封性的前提下设置排水预留措施，确保在洪水或其他极端情况下内部产生积水时可快速方便排出。</w:t>
      </w:r>
    </w:p>
    <w:p>
      <w:pPr>
        <w:tabs>
          <w:tab w:val="left" w:pos="1267"/>
        </w:tabs>
        <w:spacing w:line="360" w:lineRule="auto"/>
        <w:ind w:firstLine="420" w:firstLineChars="200"/>
        <w:rPr>
          <w:color w:val="000000" w:themeColor="text1"/>
          <w14:textFill>
            <w14:solidFill>
              <w14:schemeClr w14:val="tx1"/>
            </w14:solidFill>
          </w14:textFill>
        </w:rPr>
      </w:pPr>
      <w:r>
        <w:rPr>
          <w:rFonts w:hint="eastAsia"/>
          <w:color w:val="000000" w:themeColor="text1"/>
          <w14:textFill>
            <w14:solidFill>
              <w14:schemeClr w14:val="tx1"/>
            </w14:solidFill>
          </w14:textFill>
        </w:rPr>
        <w:t>（</w:t>
      </w:r>
      <w:r>
        <w:rPr>
          <w:color w:val="000000" w:themeColor="text1"/>
          <w14:textFill>
            <w14:solidFill>
              <w14:schemeClr w14:val="tx1"/>
            </w14:solidFill>
          </w14:textFill>
        </w:rPr>
        <w:t>13</w:t>
      </w:r>
      <w:r>
        <w:rPr>
          <w:rFonts w:hint="eastAsia"/>
          <w:color w:val="000000" w:themeColor="text1"/>
          <w14:textFill>
            <w14:solidFill>
              <w14:schemeClr w14:val="tx1"/>
            </w14:solidFill>
          </w14:textFill>
        </w:rPr>
        <w:t>）舱门上方设置防雨檐，防雨檐应采用镀锌钢板制作，外观与舱壁一致，保证美观。</w:t>
      </w:r>
    </w:p>
    <w:p>
      <w:pPr>
        <w:pStyle w:val="236"/>
        <w:spacing w:line="360" w:lineRule="auto"/>
        <w:ind w:firstLine="0" w:firstLineChars="0"/>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表</w:t>
      </w:r>
      <w:r>
        <w:rPr>
          <w:color w:val="000000" w:themeColor="text1"/>
          <w14:textFill>
            <w14:solidFill>
              <w14:schemeClr w14:val="tx1"/>
            </w14:solidFill>
          </w14:textFill>
        </w:rPr>
        <w:t xml:space="preserve">5.2-1 </w:t>
      </w:r>
      <w:r>
        <w:rPr>
          <w:rFonts w:hint="eastAsia"/>
          <w:color w:val="000000" w:themeColor="text1"/>
          <w14:textFill>
            <w14:solidFill>
              <w14:schemeClr w14:val="tx1"/>
            </w14:solidFill>
          </w14:textFill>
        </w:rPr>
        <w:t>预制舱集成要求相关标准技术参数表</w:t>
      </w:r>
    </w:p>
    <w:tbl>
      <w:tblPr>
        <w:tblStyle w:val="84"/>
        <w:tblW w:w="0" w:type="auto"/>
        <w:jc w:val="center"/>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Layout w:type="fixed"/>
        <w:tblCellMar>
          <w:top w:w="0" w:type="dxa"/>
          <w:left w:w="108" w:type="dxa"/>
          <w:bottom w:w="0" w:type="dxa"/>
          <w:right w:w="108" w:type="dxa"/>
        </w:tblCellMar>
      </w:tblPr>
      <w:tblGrid>
        <w:gridCol w:w="646"/>
        <w:gridCol w:w="2128"/>
        <w:gridCol w:w="668"/>
        <w:gridCol w:w="2618"/>
        <w:gridCol w:w="1715"/>
        <w:gridCol w:w="724"/>
      </w:tblGrid>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488" w:hRule="atLeast"/>
          <w:tblHeader/>
          <w:jc w:val="center"/>
        </w:trPr>
        <w:tc>
          <w:tcPr>
            <w:tcW w:w="646" w:type="dxa"/>
            <w:tcMar>
              <w:top w:w="0" w:type="dxa"/>
              <w:left w:w="85" w:type="dxa"/>
              <w:bottom w:w="0" w:type="dxa"/>
              <w:right w:w="85" w:type="dxa"/>
            </w:tcMar>
            <w:vAlign w:val="center"/>
          </w:tcPr>
          <w:p>
            <w:pPr>
              <w:topLinePunct/>
              <w:snapToGrid w:val="0"/>
              <w:spacing w:line="360" w:lineRule="auto"/>
              <w:rPr>
                <w:color w:val="000000" w:themeColor="text1"/>
                <w14:textFill>
                  <w14:solidFill>
                    <w14:schemeClr w14:val="tx1"/>
                  </w14:solidFill>
                </w14:textFill>
              </w:rPr>
            </w:pPr>
            <w:r>
              <w:rPr>
                <w:rFonts w:hint="eastAsia"/>
                <w:color w:val="000000" w:themeColor="text1"/>
                <w14:textFill>
                  <w14:solidFill>
                    <w14:schemeClr w14:val="tx1"/>
                  </w14:solidFill>
                </w14:textFill>
              </w:rPr>
              <w:t>序号</w:t>
            </w:r>
          </w:p>
        </w:tc>
        <w:tc>
          <w:tcPr>
            <w:tcW w:w="2128" w:type="dxa"/>
            <w:tcMar>
              <w:top w:w="0" w:type="dxa"/>
              <w:left w:w="85" w:type="dxa"/>
              <w:bottom w:w="0" w:type="dxa"/>
              <w:right w:w="85" w:type="dxa"/>
            </w:tcMar>
            <w:vAlign w:val="center"/>
          </w:tcPr>
          <w:p>
            <w:pPr>
              <w:topLinePunct/>
              <w:snapToGrid w:val="0"/>
              <w:spacing w:line="360" w:lineRule="auto"/>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参数名称</w:t>
            </w:r>
          </w:p>
        </w:tc>
        <w:tc>
          <w:tcPr>
            <w:tcW w:w="668" w:type="dxa"/>
            <w:tcMar>
              <w:top w:w="0" w:type="dxa"/>
              <w:left w:w="85" w:type="dxa"/>
              <w:bottom w:w="0" w:type="dxa"/>
              <w:right w:w="85" w:type="dxa"/>
            </w:tcMar>
            <w:vAlign w:val="center"/>
          </w:tcPr>
          <w:p>
            <w:pPr>
              <w:topLinePunct/>
              <w:snapToGrid w:val="0"/>
              <w:spacing w:line="360" w:lineRule="auto"/>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单位</w:t>
            </w:r>
          </w:p>
        </w:tc>
        <w:tc>
          <w:tcPr>
            <w:tcW w:w="2618" w:type="dxa"/>
            <w:tcMar>
              <w:top w:w="0" w:type="dxa"/>
              <w:left w:w="85" w:type="dxa"/>
              <w:bottom w:w="0" w:type="dxa"/>
              <w:right w:w="85" w:type="dxa"/>
            </w:tcMar>
            <w:vAlign w:val="center"/>
          </w:tcPr>
          <w:p>
            <w:pPr>
              <w:topLinePunct/>
              <w:snapToGrid w:val="0"/>
              <w:spacing w:line="360" w:lineRule="auto"/>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标准参数值</w:t>
            </w:r>
          </w:p>
        </w:tc>
        <w:tc>
          <w:tcPr>
            <w:tcW w:w="1715" w:type="dxa"/>
            <w:vAlign w:val="center"/>
          </w:tcPr>
          <w:p>
            <w:pPr>
              <w:topLinePunct/>
              <w:snapToGrid w:val="0"/>
              <w:spacing w:line="360" w:lineRule="auto"/>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投标人保证值</w:t>
            </w:r>
          </w:p>
        </w:tc>
        <w:tc>
          <w:tcPr>
            <w:tcW w:w="724" w:type="dxa"/>
            <w:vAlign w:val="center"/>
          </w:tcPr>
          <w:p>
            <w:pPr>
              <w:topLinePunct/>
              <w:snapToGrid w:val="0"/>
              <w:spacing w:line="360" w:lineRule="auto"/>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备注</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284" w:hRule="atLeast"/>
          <w:tblHeader/>
          <w:jc w:val="center"/>
        </w:trPr>
        <w:tc>
          <w:tcPr>
            <w:tcW w:w="646" w:type="dxa"/>
            <w:tcMar>
              <w:top w:w="0" w:type="dxa"/>
              <w:left w:w="85" w:type="dxa"/>
              <w:bottom w:w="0" w:type="dxa"/>
              <w:right w:w="85" w:type="dxa"/>
            </w:tcMar>
            <w:vAlign w:val="center"/>
          </w:tcPr>
          <w:p>
            <w:pPr>
              <w:topLinePunct/>
              <w:snapToGrid w:val="0"/>
              <w:jc w:val="center"/>
              <w:rPr>
                <w:color w:val="000000" w:themeColor="text1"/>
                <w14:textFill>
                  <w14:solidFill>
                    <w14:schemeClr w14:val="tx1"/>
                  </w14:solidFill>
                </w14:textFill>
              </w:rPr>
            </w:pPr>
            <w:r>
              <w:rPr>
                <w:color w:val="000000" w:themeColor="text1"/>
                <w14:textFill>
                  <w14:solidFill>
                    <w14:schemeClr w14:val="tx1"/>
                  </w14:solidFill>
                </w14:textFill>
              </w:rPr>
              <w:t>1</w:t>
            </w:r>
          </w:p>
        </w:tc>
        <w:tc>
          <w:tcPr>
            <w:tcW w:w="2128" w:type="dxa"/>
            <w:tcMar>
              <w:top w:w="0" w:type="dxa"/>
              <w:left w:w="85" w:type="dxa"/>
              <w:bottom w:w="0" w:type="dxa"/>
              <w:right w:w="85" w:type="dxa"/>
            </w:tcMar>
            <w:vAlign w:val="center"/>
          </w:tcPr>
          <w:p>
            <w:pPr>
              <w:topLinePunct/>
              <w:snapToGrid w:val="0"/>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配电设备舱通道宽度</w:t>
            </w:r>
          </w:p>
        </w:tc>
        <w:tc>
          <w:tcPr>
            <w:tcW w:w="668" w:type="dxa"/>
            <w:tcMar>
              <w:top w:w="0" w:type="dxa"/>
              <w:left w:w="85" w:type="dxa"/>
              <w:bottom w:w="0" w:type="dxa"/>
              <w:right w:w="85" w:type="dxa"/>
            </w:tcMar>
            <w:vAlign w:val="center"/>
          </w:tcPr>
          <w:p>
            <w:pPr>
              <w:topLinePunct/>
              <w:snapToGrid w:val="0"/>
              <w:jc w:val="center"/>
              <w:rPr>
                <w:color w:val="000000" w:themeColor="text1"/>
                <w14:textFill>
                  <w14:solidFill>
                    <w14:schemeClr w14:val="tx1"/>
                  </w14:solidFill>
                </w14:textFill>
              </w:rPr>
            </w:pPr>
            <w:r>
              <w:rPr>
                <w:color w:val="000000" w:themeColor="text1"/>
                <w14:textFill>
                  <w14:solidFill>
                    <w14:schemeClr w14:val="tx1"/>
                  </w14:solidFill>
                </w14:textFill>
              </w:rPr>
              <w:t>mm</w:t>
            </w:r>
          </w:p>
        </w:tc>
        <w:tc>
          <w:tcPr>
            <w:tcW w:w="2618" w:type="dxa"/>
            <w:tcMar>
              <w:top w:w="0" w:type="dxa"/>
              <w:left w:w="85" w:type="dxa"/>
              <w:bottom w:w="0" w:type="dxa"/>
              <w:right w:w="85" w:type="dxa"/>
            </w:tcMar>
            <w:vAlign w:val="center"/>
          </w:tcPr>
          <w:p>
            <w:pPr>
              <w:topLinePunct/>
              <w:snapToGrid w:val="0"/>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不低于</w:t>
            </w:r>
            <w:r>
              <w:rPr>
                <w:color w:val="000000" w:themeColor="text1"/>
                <w14:textFill>
                  <w14:solidFill>
                    <w14:schemeClr w14:val="tx1"/>
                  </w14:solidFill>
                </w14:textFill>
              </w:rPr>
              <w:t>GB50060</w:t>
            </w:r>
            <w:r>
              <w:rPr>
                <w:rFonts w:hint="eastAsia"/>
                <w:color w:val="000000" w:themeColor="text1"/>
                <w14:textFill>
                  <w14:solidFill>
                    <w14:schemeClr w14:val="tx1"/>
                  </w14:solidFill>
                </w14:textFill>
              </w:rPr>
              <w:t>中最小要求</w:t>
            </w:r>
          </w:p>
        </w:tc>
        <w:tc>
          <w:tcPr>
            <w:tcW w:w="1715" w:type="dxa"/>
            <w:vAlign w:val="center"/>
          </w:tcPr>
          <w:p>
            <w:pPr>
              <w:topLinePunct/>
              <w:snapToGrid w:val="0"/>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（投标人填写）</w:t>
            </w:r>
          </w:p>
        </w:tc>
        <w:tc>
          <w:tcPr>
            <w:tcW w:w="724" w:type="dxa"/>
            <w:vAlign w:val="center"/>
          </w:tcPr>
          <w:p>
            <w:pPr>
              <w:topLinePunct/>
              <w:snapToGrid w:val="0"/>
              <w:jc w:val="left"/>
              <w:rPr>
                <w:color w:val="000000" w:themeColor="text1"/>
                <w14:textFill>
                  <w14:solidFill>
                    <w14:schemeClr w14:val="tx1"/>
                  </w14:solidFill>
                </w14:textFill>
              </w:rPr>
            </w:pP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846" w:hRule="atLeast"/>
          <w:tblHeader/>
          <w:jc w:val="center"/>
        </w:trPr>
        <w:tc>
          <w:tcPr>
            <w:tcW w:w="646" w:type="dxa"/>
            <w:tcMar>
              <w:top w:w="0" w:type="dxa"/>
              <w:left w:w="85" w:type="dxa"/>
              <w:bottom w:w="0" w:type="dxa"/>
              <w:right w:w="85" w:type="dxa"/>
            </w:tcMar>
            <w:vAlign w:val="center"/>
          </w:tcPr>
          <w:p>
            <w:pPr>
              <w:topLinePunct/>
              <w:snapToGrid w:val="0"/>
              <w:jc w:val="center"/>
              <w:rPr>
                <w:color w:val="000000" w:themeColor="text1"/>
                <w14:textFill>
                  <w14:solidFill>
                    <w14:schemeClr w14:val="tx1"/>
                  </w14:solidFill>
                </w14:textFill>
              </w:rPr>
            </w:pPr>
            <w:r>
              <w:rPr>
                <w:color w:val="000000" w:themeColor="text1"/>
                <w14:textFill>
                  <w14:solidFill>
                    <w14:schemeClr w14:val="tx1"/>
                  </w14:solidFill>
                </w14:textFill>
              </w:rPr>
              <w:t>2</w:t>
            </w:r>
          </w:p>
        </w:tc>
        <w:tc>
          <w:tcPr>
            <w:tcW w:w="2128" w:type="dxa"/>
            <w:tcMar>
              <w:top w:w="0" w:type="dxa"/>
              <w:left w:w="85" w:type="dxa"/>
              <w:bottom w:w="0" w:type="dxa"/>
              <w:right w:w="85" w:type="dxa"/>
            </w:tcMar>
            <w:vAlign w:val="center"/>
          </w:tcPr>
          <w:p>
            <w:pPr>
              <w:topLinePunct/>
              <w:snapToGrid w:val="0"/>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二次设备舱通道宽度</w:t>
            </w:r>
          </w:p>
        </w:tc>
        <w:tc>
          <w:tcPr>
            <w:tcW w:w="668" w:type="dxa"/>
            <w:tcMar>
              <w:top w:w="0" w:type="dxa"/>
              <w:left w:w="85" w:type="dxa"/>
              <w:bottom w:w="0" w:type="dxa"/>
              <w:right w:w="85" w:type="dxa"/>
            </w:tcMar>
            <w:vAlign w:val="center"/>
          </w:tcPr>
          <w:p>
            <w:pPr>
              <w:topLinePunct/>
              <w:snapToGrid w:val="0"/>
              <w:jc w:val="center"/>
              <w:rPr>
                <w:color w:val="000000" w:themeColor="text1"/>
                <w14:textFill>
                  <w14:solidFill>
                    <w14:schemeClr w14:val="tx1"/>
                  </w14:solidFill>
                </w14:textFill>
              </w:rPr>
            </w:pPr>
            <w:r>
              <w:rPr>
                <w:color w:val="000000" w:themeColor="text1"/>
                <w14:textFill>
                  <w14:solidFill>
                    <w14:schemeClr w14:val="tx1"/>
                  </w14:solidFill>
                </w14:textFill>
              </w:rPr>
              <w:t>mm</w:t>
            </w:r>
          </w:p>
        </w:tc>
        <w:tc>
          <w:tcPr>
            <w:tcW w:w="2618" w:type="dxa"/>
            <w:tcMar>
              <w:top w:w="0" w:type="dxa"/>
              <w:left w:w="85" w:type="dxa"/>
              <w:bottom w:w="0" w:type="dxa"/>
              <w:right w:w="85" w:type="dxa"/>
            </w:tcMar>
            <w:vAlign w:val="center"/>
          </w:tcPr>
          <w:p>
            <w:pPr>
              <w:topLinePunct/>
              <w:snapToGrid w:val="0"/>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不低于</w:t>
            </w:r>
            <w:r>
              <w:rPr>
                <w:color w:val="000000" w:themeColor="text1"/>
                <w14:textFill>
                  <w14:solidFill>
                    <w14:schemeClr w14:val="tx1"/>
                  </w14:solidFill>
                </w14:textFill>
              </w:rPr>
              <w:t>DL/T5136</w:t>
            </w:r>
            <w:r>
              <w:rPr>
                <w:rFonts w:hint="eastAsia"/>
                <w:color w:val="000000" w:themeColor="text1"/>
                <w14:textFill>
                  <w14:solidFill>
                    <w14:schemeClr w14:val="tx1"/>
                  </w14:solidFill>
                </w14:textFill>
              </w:rPr>
              <w:t>中最小要求</w:t>
            </w:r>
          </w:p>
        </w:tc>
        <w:tc>
          <w:tcPr>
            <w:tcW w:w="1715" w:type="dxa"/>
            <w:vAlign w:val="center"/>
          </w:tcPr>
          <w:p>
            <w:pPr>
              <w:topLinePunct/>
              <w:snapToGrid w:val="0"/>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（投标人填写）</w:t>
            </w:r>
          </w:p>
        </w:tc>
        <w:tc>
          <w:tcPr>
            <w:tcW w:w="724" w:type="dxa"/>
            <w:vAlign w:val="center"/>
          </w:tcPr>
          <w:p>
            <w:pPr>
              <w:topLinePunct/>
              <w:snapToGrid w:val="0"/>
              <w:jc w:val="left"/>
              <w:rPr>
                <w:color w:val="000000" w:themeColor="text1"/>
                <w14:textFill>
                  <w14:solidFill>
                    <w14:schemeClr w14:val="tx1"/>
                  </w14:solidFill>
                </w14:textFill>
              </w:rPr>
            </w:pP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391" w:hRule="atLeast"/>
          <w:tblHeader/>
          <w:jc w:val="center"/>
        </w:trPr>
        <w:tc>
          <w:tcPr>
            <w:tcW w:w="646" w:type="dxa"/>
            <w:tcMar>
              <w:top w:w="0" w:type="dxa"/>
              <w:left w:w="85" w:type="dxa"/>
              <w:bottom w:w="0" w:type="dxa"/>
              <w:right w:w="85" w:type="dxa"/>
            </w:tcMar>
            <w:vAlign w:val="center"/>
          </w:tcPr>
          <w:p>
            <w:pPr>
              <w:topLinePunct/>
              <w:snapToGrid w:val="0"/>
              <w:jc w:val="center"/>
              <w:rPr>
                <w:color w:val="000000" w:themeColor="text1"/>
                <w14:textFill>
                  <w14:solidFill>
                    <w14:schemeClr w14:val="tx1"/>
                  </w14:solidFill>
                </w14:textFill>
              </w:rPr>
            </w:pPr>
            <w:r>
              <w:rPr>
                <w:color w:val="000000" w:themeColor="text1"/>
                <w14:textFill>
                  <w14:solidFill>
                    <w14:schemeClr w14:val="tx1"/>
                  </w14:solidFill>
                </w14:textFill>
              </w:rPr>
              <w:t>3</w:t>
            </w:r>
          </w:p>
        </w:tc>
        <w:tc>
          <w:tcPr>
            <w:tcW w:w="2128" w:type="dxa"/>
            <w:tcMar>
              <w:top w:w="0" w:type="dxa"/>
              <w:left w:w="85" w:type="dxa"/>
              <w:bottom w:w="0" w:type="dxa"/>
              <w:right w:w="85" w:type="dxa"/>
            </w:tcMar>
            <w:vAlign w:val="center"/>
          </w:tcPr>
          <w:p>
            <w:pPr>
              <w:topLinePunct/>
              <w:snapToGrid w:val="0"/>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集成吊顶据地高度</w:t>
            </w:r>
          </w:p>
        </w:tc>
        <w:tc>
          <w:tcPr>
            <w:tcW w:w="668" w:type="dxa"/>
            <w:tcMar>
              <w:top w:w="0" w:type="dxa"/>
              <w:left w:w="85" w:type="dxa"/>
              <w:bottom w:w="0" w:type="dxa"/>
              <w:right w:w="85" w:type="dxa"/>
            </w:tcMar>
            <w:vAlign w:val="center"/>
          </w:tcPr>
          <w:p>
            <w:pPr>
              <w:topLinePunct/>
              <w:snapToGrid w:val="0"/>
              <w:jc w:val="center"/>
              <w:rPr>
                <w:color w:val="000000" w:themeColor="text1"/>
                <w14:textFill>
                  <w14:solidFill>
                    <w14:schemeClr w14:val="tx1"/>
                  </w14:solidFill>
                </w14:textFill>
              </w:rPr>
            </w:pPr>
            <w:r>
              <w:rPr>
                <w:color w:val="000000" w:themeColor="text1"/>
                <w14:textFill>
                  <w14:solidFill>
                    <w14:schemeClr w14:val="tx1"/>
                  </w14:solidFill>
                </w14:textFill>
              </w:rPr>
              <w:t>mm</w:t>
            </w:r>
          </w:p>
        </w:tc>
        <w:tc>
          <w:tcPr>
            <w:tcW w:w="2618" w:type="dxa"/>
            <w:tcMar>
              <w:top w:w="0" w:type="dxa"/>
              <w:left w:w="85" w:type="dxa"/>
              <w:bottom w:w="0" w:type="dxa"/>
              <w:right w:w="85" w:type="dxa"/>
            </w:tcMar>
            <w:vAlign w:val="center"/>
          </w:tcPr>
          <w:p>
            <w:pPr>
              <w:topLinePunct/>
              <w:snapToGrid w:val="0"/>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w:t>
            </w:r>
            <w:r>
              <w:rPr>
                <w:color w:val="000000" w:themeColor="text1"/>
                <w14:textFill>
                  <w14:solidFill>
                    <w14:schemeClr w14:val="tx1"/>
                  </w14:solidFill>
                </w14:textFill>
              </w:rPr>
              <w:t>2700</w:t>
            </w:r>
          </w:p>
        </w:tc>
        <w:tc>
          <w:tcPr>
            <w:tcW w:w="1715" w:type="dxa"/>
            <w:vAlign w:val="center"/>
          </w:tcPr>
          <w:p>
            <w:pPr>
              <w:topLinePunct/>
              <w:snapToGrid w:val="0"/>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（投标人填写）</w:t>
            </w:r>
          </w:p>
        </w:tc>
        <w:tc>
          <w:tcPr>
            <w:tcW w:w="724" w:type="dxa"/>
            <w:vAlign w:val="center"/>
          </w:tcPr>
          <w:p>
            <w:pPr>
              <w:topLinePunct/>
              <w:snapToGrid w:val="0"/>
              <w:jc w:val="left"/>
              <w:rPr>
                <w:color w:val="000000" w:themeColor="text1"/>
                <w14:textFill>
                  <w14:solidFill>
                    <w14:schemeClr w14:val="tx1"/>
                  </w14:solidFill>
                </w14:textFill>
              </w:rPr>
            </w:pP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425" w:hRule="atLeast"/>
          <w:tblHeader/>
          <w:jc w:val="center"/>
        </w:trPr>
        <w:tc>
          <w:tcPr>
            <w:tcW w:w="646" w:type="dxa"/>
            <w:tcMar>
              <w:top w:w="0" w:type="dxa"/>
              <w:left w:w="85" w:type="dxa"/>
              <w:bottom w:w="0" w:type="dxa"/>
              <w:right w:w="85" w:type="dxa"/>
            </w:tcMar>
            <w:vAlign w:val="center"/>
          </w:tcPr>
          <w:p>
            <w:pPr>
              <w:topLinePunct/>
              <w:snapToGrid w:val="0"/>
              <w:jc w:val="center"/>
              <w:rPr>
                <w:color w:val="000000" w:themeColor="text1"/>
                <w14:textFill>
                  <w14:solidFill>
                    <w14:schemeClr w14:val="tx1"/>
                  </w14:solidFill>
                </w14:textFill>
              </w:rPr>
            </w:pPr>
            <w:r>
              <w:rPr>
                <w:color w:val="000000" w:themeColor="text1"/>
                <w14:textFill>
                  <w14:solidFill>
                    <w14:schemeClr w14:val="tx1"/>
                  </w14:solidFill>
                </w14:textFill>
              </w:rPr>
              <w:t>4</w:t>
            </w:r>
          </w:p>
        </w:tc>
        <w:tc>
          <w:tcPr>
            <w:tcW w:w="2128" w:type="dxa"/>
            <w:tcMar>
              <w:top w:w="0" w:type="dxa"/>
              <w:left w:w="85" w:type="dxa"/>
              <w:bottom w:w="0" w:type="dxa"/>
              <w:right w:w="85" w:type="dxa"/>
            </w:tcMar>
            <w:vAlign w:val="center"/>
          </w:tcPr>
          <w:p>
            <w:pPr>
              <w:topLinePunct/>
              <w:snapToGrid w:val="0"/>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配电箱据地高度</w:t>
            </w:r>
          </w:p>
        </w:tc>
        <w:tc>
          <w:tcPr>
            <w:tcW w:w="668" w:type="dxa"/>
            <w:tcMar>
              <w:top w:w="0" w:type="dxa"/>
              <w:left w:w="85" w:type="dxa"/>
              <w:bottom w:w="0" w:type="dxa"/>
              <w:right w:w="85" w:type="dxa"/>
            </w:tcMar>
            <w:vAlign w:val="center"/>
          </w:tcPr>
          <w:p>
            <w:pPr>
              <w:topLinePunct/>
              <w:snapToGrid w:val="0"/>
              <w:jc w:val="center"/>
              <w:rPr>
                <w:color w:val="000000" w:themeColor="text1"/>
                <w14:textFill>
                  <w14:solidFill>
                    <w14:schemeClr w14:val="tx1"/>
                  </w14:solidFill>
                </w14:textFill>
              </w:rPr>
            </w:pPr>
            <w:r>
              <w:rPr>
                <w:color w:val="000000" w:themeColor="text1"/>
                <w14:textFill>
                  <w14:solidFill>
                    <w14:schemeClr w14:val="tx1"/>
                  </w14:solidFill>
                </w14:textFill>
              </w:rPr>
              <w:t>mm</w:t>
            </w:r>
          </w:p>
        </w:tc>
        <w:tc>
          <w:tcPr>
            <w:tcW w:w="2618" w:type="dxa"/>
            <w:tcMar>
              <w:top w:w="0" w:type="dxa"/>
              <w:left w:w="85" w:type="dxa"/>
              <w:bottom w:w="0" w:type="dxa"/>
              <w:right w:w="85" w:type="dxa"/>
            </w:tcMar>
            <w:vAlign w:val="center"/>
          </w:tcPr>
          <w:p>
            <w:pPr>
              <w:topLinePunct/>
              <w:snapToGrid w:val="0"/>
              <w:jc w:val="center"/>
              <w:rPr>
                <w:color w:val="000000" w:themeColor="text1"/>
                <w14:textFill>
                  <w14:solidFill>
                    <w14:schemeClr w14:val="tx1"/>
                  </w14:solidFill>
                </w14:textFill>
              </w:rPr>
            </w:pPr>
            <w:r>
              <w:rPr>
                <w:color w:val="000000" w:themeColor="text1"/>
                <w14:textFill>
                  <w14:solidFill>
                    <w14:schemeClr w14:val="tx1"/>
                  </w14:solidFill>
                </w14:textFill>
              </w:rPr>
              <w:t>1300</w:t>
            </w:r>
          </w:p>
        </w:tc>
        <w:tc>
          <w:tcPr>
            <w:tcW w:w="1715" w:type="dxa"/>
            <w:vAlign w:val="center"/>
          </w:tcPr>
          <w:p>
            <w:pPr>
              <w:topLinePunct/>
              <w:snapToGrid w:val="0"/>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（投标人填写）</w:t>
            </w:r>
          </w:p>
        </w:tc>
        <w:tc>
          <w:tcPr>
            <w:tcW w:w="724" w:type="dxa"/>
            <w:vAlign w:val="center"/>
          </w:tcPr>
          <w:p>
            <w:pPr>
              <w:topLinePunct/>
              <w:snapToGrid w:val="0"/>
              <w:jc w:val="left"/>
              <w:rPr>
                <w:color w:val="000000" w:themeColor="text1"/>
                <w14:textFill>
                  <w14:solidFill>
                    <w14:schemeClr w14:val="tx1"/>
                  </w14:solidFill>
                </w14:textFill>
              </w:rPr>
            </w:pP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403" w:hRule="atLeast"/>
          <w:tblHeader/>
          <w:jc w:val="center"/>
        </w:trPr>
        <w:tc>
          <w:tcPr>
            <w:tcW w:w="646" w:type="dxa"/>
            <w:tcMar>
              <w:top w:w="0" w:type="dxa"/>
              <w:left w:w="85" w:type="dxa"/>
              <w:bottom w:w="0" w:type="dxa"/>
              <w:right w:w="85" w:type="dxa"/>
            </w:tcMar>
            <w:vAlign w:val="center"/>
          </w:tcPr>
          <w:p>
            <w:pPr>
              <w:topLinePunct/>
              <w:snapToGrid w:val="0"/>
              <w:jc w:val="center"/>
              <w:rPr>
                <w:color w:val="000000" w:themeColor="text1"/>
                <w14:textFill>
                  <w14:solidFill>
                    <w14:schemeClr w14:val="tx1"/>
                  </w14:solidFill>
                </w14:textFill>
              </w:rPr>
            </w:pPr>
            <w:r>
              <w:rPr>
                <w:color w:val="000000" w:themeColor="text1"/>
                <w14:textFill>
                  <w14:solidFill>
                    <w14:schemeClr w14:val="tx1"/>
                  </w14:solidFill>
                </w14:textFill>
              </w:rPr>
              <w:t>5</w:t>
            </w:r>
          </w:p>
        </w:tc>
        <w:tc>
          <w:tcPr>
            <w:tcW w:w="2128" w:type="dxa"/>
            <w:tcMar>
              <w:top w:w="0" w:type="dxa"/>
              <w:left w:w="85" w:type="dxa"/>
              <w:bottom w:w="0" w:type="dxa"/>
              <w:right w:w="85" w:type="dxa"/>
            </w:tcMar>
            <w:vAlign w:val="center"/>
          </w:tcPr>
          <w:p>
            <w:pPr>
              <w:topLinePunct/>
              <w:snapToGrid w:val="0"/>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配电箱规格</w:t>
            </w:r>
          </w:p>
        </w:tc>
        <w:tc>
          <w:tcPr>
            <w:tcW w:w="668" w:type="dxa"/>
            <w:tcMar>
              <w:top w:w="0" w:type="dxa"/>
              <w:left w:w="85" w:type="dxa"/>
              <w:bottom w:w="0" w:type="dxa"/>
              <w:right w:w="85" w:type="dxa"/>
            </w:tcMar>
            <w:vAlign w:val="center"/>
          </w:tcPr>
          <w:p>
            <w:pPr>
              <w:topLinePunct/>
              <w:snapToGrid w:val="0"/>
              <w:jc w:val="center"/>
              <w:rPr>
                <w:color w:val="000000" w:themeColor="text1"/>
                <w14:textFill>
                  <w14:solidFill>
                    <w14:schemeClr w14:val="tx1"/>
                  </w14:solidFill>
                </w14:textFill>
              </w:rPr>
            </w:pPr>
            <w:r>
              <w:rPr>
                <w:color w:val="000000" w:themeColor="text1"/>
                <w14:textFill>
                  <w14:solidFill>
                    <w14:schemeClr w14:val="tx1"/>
                  </w14:solidFill>
                </w14:textFill>
              </w:rPr>
              <w:t>mm</w:t>
            </w:r>
          </w:p>
        </w:tc>
        <w:tc>
          <w:tcPr>
            <w:tcW w:w="2618" w:type="dxa"/>
            <w:tcMar>
              <w:top w:w="0" w:type="dxa"/>
              <w:left w:w="85" w:type="dxa"/>
              <w:bottom w:w="0" w:type="dxa"/>
              <w:right w:w="85" w:type="dxa"/>
            </w:tcMar>
            <w:vAlign w:val="center"/>
          </w:tcPr>
          <w:p>
            <w:pPr>
              <w:topLinePunct/>
              <w:snapToGrid w:val="0"/>
              <w:jc w:val="center"/>
              <w:rPr>
                <w:color w:val="000000" w:themeColor="text1"/>
                <w14:textFill>
                  <w14:solidFill>
                    <w14:schemeClr w14:val="tx1"/>
                  </w14:solidFill>
                </w14:textFill>
              </w:rPr>
            </w:pPr>
            <w:r>
              <w:rPr>
                <w:color w:val="000000" w:themeColor="text1"/>
                <w14:textFill>
                  <w14:solidFill>
                    <w14:schemeClr w14:val="tx1"/>
                  </w14:solidFill>
                </w14:textFill>
              </w:rPr>
              <w:t>800(</w:t>
            </w:r>
            <w:r>
              <w:rPr>
                <w:rFonts w:hint="eastAsia"/>
                <w:color w:val="000000" w:themeColor="text1"/>
                <w14:textFill>
                  <w14:solidFill>
                    <w14:schemeClr w14:val="tx1"/>
                  </w14:solidFill>
                </w14:textFill>
              </w:rPr>
              <w:t>高</w:t>
            </w:r>
            <w:r>
              <w:rPr>
                <w:color w:val="000000" w:themeColor="text1"/>
                <w14:textFill>
                  <w14:solidFill>
                    <w14:schemeClr w14:val="tx1"/>
                  </w14:solidFill>
                </w14:textFill>
              </w:rPr>
              <w:t>)</w:t>
            </w:r>
            <w:r>
              <w:rPr>
                <w:rFonts w:hint="eastAsia"/>
                <w:color w:val="000000" w:themeColor="text1"/>
                <w14:textFill>
                  <w14:solidFill>
                    <w14:schemeClr w14:val="tx1"/>
                  </w14:solidFill>
                </w14:textFill>
              </w:rPr>
              <w:t>×</w:t>
            </w:r>
            <w:r>
              <w:rPr>
                <w:color w:val="000000" w:themeColor="text1"/>
                <w14:textFill>
                  <w14:solidFill>
                    <w14:schemeClr w14:val="tx1"/>
                  </w14:solidFill>
                </w14:textFill>
              </w:rPr>
              <w:t>600(</w:t>
            </w:r>
            <w:r>
              <w:rPr>
                <w:rFonts w:hint="eastAsia"/>
                <w:color w:val="000000" w:themeColor="text1"/>
                <w14:textFill>
                  <w14:solidFill>
                    <w14:schemeClr w14:val="tx1"/>
                  </w14:solidFill>
                </w14:textFill>
              </w:rPr>
              <w:t>宽</w:t>
            </w:r>
            <w:r>
              <w:rPr>
                <w:color w:val="000000" w:themeColor="text1"/>
                <w14:textFill>
                  <w14:solidFill>
                    <w14:schemeClr w14:val="tx1"/>
                  </w14:solidFill>
                </w14:textFill>
              </w:rPr>
              <w:t>)</w:t>
            </w:r>
            <w:r>
              <w:rPr>
                <w:rFonts w:hint="eastAsia"/>
                <w:color w:val="000000" w:themeColor="text1"/>
                <w14:textFill>
                  <w14:solidFill>
                    <w14:schemeClr w14:val="tx1"/>
                  </w14:solidFill>
                </w14:textFill>
              </w:rPr>
              <w:t>×</w:t>
            </w:r>
            <w:r>
              <w:rPr>
                <w:color w:val="000000" w:themeColor="text1"/>
                <w14:textFill>
                  <w14:solidFill>
                    <w14:schemeClr w14:val="tx1"/>
                  </w14:solidFill>
                </w14:textFill>
              </w:rPr>
              <w:t>180(</w:t>
            </w:r>
            <w:r>
              <w:rPr>
                <w:rFonts w:hint="eastAsia"/>
                <w:color w:val="000000" w:themeColor="text1"/>
                <w14:textFill>
                  <w14:solidFill>
                    <w14:schemeClr w14:val="tx1"/>
                  </w14:solidFill>
                </w14:textFill>
              </w:rPr>
              <w:t>深</w:t>
            </w:r>
            <w:r>
              <w:rPr>
                <w:color w:val="000000" w:themeColor="text1"/>
                <w14:textFill>
                  <w14:solidFill>
                    <w14:schemeClr w14:val="tx1"/>
                  </w14:solidFill>
                </w14:textFill>
              </w:rPr>
              <w:t>)</w:t>
            </w:r>
          </w:p>
        </w:tc>
        <w:tc>
          <w:tcPr>
            <w:tcW w:w="1715" w:type="dxa"/>
            <w:vAlign w:val="center"/>
          </w:tcPr>
          <w:p>
            <w:pPr>
              <w:topLinePunct/>
              <w:snapToGrid w:val="0"/>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（投标人填写）</w:t>
            </w:r>
          </w:p>
        </w:tc>
        <w:tc>
          <w:tcPr>
            <w:tcW w:w="724" w:type="dxa"/>
            <w:vAlign w:val="center"/>
          </w:tcPr>
          <w:p>
            <w:pPr>
              <w:topLinePunct/>
              <w:snapToGrid w:val="0"/>
              <w:jc w:val="left"/>
              <w:rPr>
                <w:color w:val="000000" w:themeColor="text1"/>
                <w14:textFill>
                  <w14:solidFill>
                    <w14:schemeClr w14:val="tx1"/>
                  </w14:solidFill>
                </w14:textFill>
              </w:rPr>
            </w:pP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423" w:hRule="atLeast"/>
          <w:tblHeader/>
          <w:jc w:val="center"/>
        </w:trPr>
        <w:tc>
          <w:tcPr>
            <w:tcW w:w="646" w:type="dxa"/>
            <w:tcMar>
              <w:top w:w="0" w:type="dxa"/>
              <w:left w:w="85" w:type="dxa"/>
              <w:bottom w:w="0" w:type="dxa"/>
              <w:right w:w="85" w:type="dxa"/>
            </w:tcMar>
            <w:vAlign w:val="center"/>
          </w:tcPr>
          <w:p>
            <w:pPr>
              <w:topLinePunct/>
              <w:snapToGrid w:val="0"/>
              <w:jc w:val="center"/>
              <w:rPr>
                <w:color w:val="000000" w:themeColor="text1"/>
                <w14:textFill>
                  <w14:solidFill>
                    <w14:schemeClr w14:val="tx1"/>
                  </w14:solidFill>
                </w14:textFill>
              </w:rPr>
            </w:pPr>
            <w:r>
              <w:rPr>
                <w:color w:val="000000" w:themeColor="text1"/>
                <w14:textFill>
                  <w14:solidFill>
                    <w14:schemeClr w14:val="tx1"/>
                  </w14:solidFill>
                </w14:textFill>
              </w:rPr>
              <w:t>6</w:t>
            </w:r>
          </w:p>
        </w:tc>
        <w:tc>
          <w:tcPr>
            <w:tcW w:w="2128" w:type="dxa"/>
            <w:tcMar>
              <w:top w:w="0" w:type="dxa"/>
              <w:left w:w="85" w:type="dxa"/>
              <w:bottom w:w="0" w:type="dxa"/>
              <w:right w:w="85" w:type="dxa"/>
            </w:tcMar>
            <w:vAlign w:val="center"/>
          </w:tcPr>
          <w:p>
            <w:pPr>
              <w:topLinePunct/>
              <w:snapToGrid w:val="0"/>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风道通风面积</w:t>
            </w:r>
          </w:p>
        </w:tc>
        <w:tc>
          <w:tcPr>
            <w:tcW w:w="668" w:type="dxa"/>
            <w:tcMar>
              <w:top w:w="0" w:type="dxa"/>
              <w:left w:w="85" w:type="dxa"/>
              <w:bottom w:w="0" w:type="dxa"/>
              <w:right w:w="85" w:type="dxa"/>
            </w:tcMar>
            <w:vAlign w:val="center"/>
          </w:tcPr>
          <w:p>
            <w:pPr>
              <w:topLinePunct/>
              <w:snapToGrid w:val="0"/>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w:t>
            </w:r>
          </w:p>
        </w:tc>
        <w:tc>
          <w:tcPr>
            <w:tcW w:w="2618" w:type="dxa"/>
            <w:tcMar>
              <w:top w:w="0" w:type="dxa"/>
              <w:left w:w="85" w:type="dxa"/>
              <w:bottom w:w="0" w:type="dxa"/>
              <w:right w:w="85" w:type="dxa"/>
            </w:tcMar>
            <w:vAlign w:val="center"/>
          </w:tcPr>
          <w:p>
            <w:pPr>
              <w:topLinePunct/>
              <w:snapToGrid w:val="0"/>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w:t>
            </w:r>
            <w:r>
              <w:rPr>
                <w:color w:val="000000" w:themeColor="text1"/>
                <w14:textFill>
                  <w14:solidFill>
                    <w14:schemeClr w14:val="tx1"/>
                  </w14:solidFill>
                </w14:textFill>
              </w:rPr>
              <w:t>0.04</w:t>
            </w:r>
          </w:p>
        </w:tc>
        <w:tc>
          <w:tcPr>
            <w:tcW w:w="1715" w:type="dxa"/>
            <w:vAlign w:val="center"/>
          </w:tcPr>
          <w:p>
            <w:pPr>
              <w:topLinePunct/>
              <w:snapToGrid w:val="0"/>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（投标人填写）</w:t>
            </w:r>
          </w:p>
        </w:tc>
        <w:tc>
          <w:tcPr>
            <w:tcW w:w="724" w:type="dxa"/>
            <w:vAlign w:val="center"/>
          </w:tcPr>
          <w:p>
            <w:pPr>
              <w:topLinePunct/>
              <w:snapToGrid w:val="0"/>
              <w:jc w:val="left"/>
              <w:rPr>
                <w:color w:val="000000" w:themeColor="text1"/>
                <w14:textFill>
                  <w14:solidFill>
                    <w14:schemeClr w14:val="tx1"/>
                  </w14:solidFill>
                </w14:textFill>
              </w:rPr>
            </w:pP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449" w:hRule="atLeast"/>
          <w:tblHeader/>
          <w:jc w:val="center"/>
        </w:trPr>
        <w:tc>
          <w:tcPr>
            <w:tcW w:w="646" w:type="dxa"/>
            <w:tcMar>
              <w:top w:w="0" w:type="dxa"/>
              <w:left w:w="85" w:type="dxa"/>
              <w:bottom w:w="0" w:type="dxa"/>
              <w:right w:w="85" w:type="dxa"/>
            </w:tcMar>
            <w:vAlign w:val="center"/>
          </w:tcPr>
          <w:p>
            <w:pPr>
              <w:topLinePunct/>
              <w:snapToGrid w:val="0"/>
              <w:jc w:val="center"/>
              <w:rPr>
                <w:color w:val="000000" w:themeColor="text1"/>
                <w14:textFill>
                  <w14:solidFill>
                    <w14:schemeClr w14:val="tx1"/>
                  </w14:solidFill>
                </w14:textFill>
              </w:rPr>
            </w:pPr>
            <w:r>
              <w:rPr>
                <w:color w:val="000000" w:themeColor="text1"/>
                <w14:textFill>
                  <w14:solidFill>
                    <w14:schemeClr w14:val="tx1"/>
                  </w14:solidFill>
                </w14:textFill>
              </w:rPr>
              <w:t>7</w:t>
            </w:r>
          </w:p>
        </w:tc>
        <w:tc>
          <w:tcPr>
            <w:tcW w:w="2128" w:type="dxa"/>
            <w:tcMar>
              <w:top w:w="0" w:type="dxa"/>
              <w:left w:w="85" w:type="dxa"/>
              <w:bottom w:w="0" w:type="dxa"/>
              <w:right w:w="85" w:type="dxa"/>
            </w:tcMar>
            <w:vAlign w:val="center"/>
          </w:tcPr>
          <w:p>
            <w:pPr>
              <w:topLinePunct/>
              <w:snapToGrid w:val="0"/>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风道出风口间距</w:t>
            </w:r>
          </w:p>
        </w:tc>
        <w:tc>
          <w:tcPr>
            <w:tcW w:w="668" w:type="dxa"/>
            <w:tcMar>
              <w:top w:w="0" w:type="dxa"/>
              <w:left w:w="85" w:type="dxa"/>
              <w:bottom w:w="0" w:type="dxa"/>
              <w:right w:w="85" w:type="dxa"/>
            </w:tcMar>
            <w:vAlign w:val="center"/>
          </w:tcPr>
          <w:p>
            <w:pPr>
              <w:topLinePunct/>
              <w:snapToGrid w:val="0"/>
              <w:jc w:val="center"/>
              <w:rPr>
                <w:color w:val="000000" w:themeColor="text1"/>
                <w14:textFill>
                  <w14:solidFill>
                    <w14:schemeClr w14:val="tx1"/>
                  </w14:solidFill>
                </w14:textFill>
              </w:rPr>
            </w:pPr>
            <w:r>
              <w:rPr>
                <w:color w:val="000000" w:themeColor="text1"/>
                <w14:textFill>
                  <w14:solidFill>
                    <w14:schemeClr w14:val="tx1"/>
                  </w14:solidFill>
                </w14:textFill>
              </w:rPr>
              <w:t>mm</w:t>
            </w:r>
          </w:p>
        </w:tc>
        <w:tc>
          <w:tcPr>
            <w:tcW w:w="2618" w:type="dxa"/>
            <w:tcMar>
              <w:top w:w="0" w:type="dxa"/>
              <w:left w:w="85" w:type="dxa"/>
              <w:bottom w:w="0" w:type="dxa"/>
              <w:right w:w="85" w:type="dxa"/>
            </w:tcMar>
            <w:vAlign w:val="center"/>
          </w:tcPr>
          <w:p>
            <w:pPr>
              <w:topLinePunct/>
              <w:snapToGrid w:val="0"/>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w:t>
            </w:r>
            <w:r>
              <w:rPr>
                <w:color w:val="000000" w:themeColor="text1"/>
                <w14:textFill>
                  <w14:solidFill>
                    <w14:schemeClr w14:val="tx1"/>
                  </w14:solidFill>
                </w14:textFill>
              </w:rPr>
              <w:t>1500</w:t>
            </w:r>
          </w:p>
        </w:tc>
        <w:tc>
          <w:tcPr>
            <w:tcW w:w="1715" w:type="dxa"/>
            <w:vAlign w:val="center"/>
          </w:tcPr>
          <w:p>
            <w:pPr>
              <w:topLinePunct/>
              <w:snapToGrid w:val="0"/>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（投标人填写）</w:t>
            </w:r>
          </w:p>
        </w:tc>
        <w:tc>
          <w:tcPr>
            <w:tcW w:w="724" w:type="dxa"/>
            <w:vAlign w:val="center"/>
          </w:tcPr>
          <w:p>
            <w:pPr>
              <w:topLinePunct/>
              <w:snapToGrid w:val="0"/>
              <w:jc w:val="left"/>
              <w:rPr>
                <w:color w:val="000000" w:themeColor="text1"/>
                <w14:textFill>
                  <w14:solidFill>
                    <w14:schemeClr w14:val="tx1"/>
                  </w14:solidFill>
                </w14:textFill>
              </w:rPr>
            </w:pP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478" w:hRule="atLeast"/>
          <w:tblHeader/>
          <w:jc w:val="center"/>
        </w:trPr>
        <w:tc>
          <w:tcPr>
            <w:tcW w:w="646" w:type="dxa"/>
            <w:tcMar>
              <w:top w:w="0" w:type="dxa"/>
              <w:left w:w="85" w:type="dxa"/>
              <w:bottom w:w="0" w:type="dxa"/>
              <w:right w:w="85" w:type="dxa"/>
            </w:tcMar>
            <w:vAlign w:val="center"/>
          </w:tcPr>
          <w:p>
            <w:pPr>
              <w:topLinePunct/>
              <w:snapToGrid w:val="0"/>
              <w:jc w:val="center"/>
              <w:rPr>
                <w:color w:val="000000" w:themeColor="text1"/>
                <w14:textFill>
                  <w14:solidFill>
                    <w14:schemeClr w14:val="tx1"/>
                  </w14:solidFill>
                </w14:textFill>
              </w:rPr>
            </w:pPr>
            <w:r>
              <w:rPr>
                <w:color w:val="000000" w:themeColor="text1"/>
                <w14:textFill>
                  <w14:solidFill>
                    <w14:schemeClr w14:val="tx1"/>
                  </w14:solidFill>
                </w14:textFill>
              </w:rPr>
              <w:t>8</w:t>
            </w:r>
          </w:p>
        </w:tc>
        <w:tc>
          <w:tcPr>
            <w:tcW w:w="2128" w:type="dxa"/>
            <w:tcMar>
              <w:top w:w="0" w:type="dxa"/>
              <w:left w:w="85" w:type="dxa"/>
              <w:bottom w:w="0" w:type="dxa"/>
              <w:right w:w="85" w:type="dxa"/>
            </w:tcMar>
            <w:vAlign w:val="center"/>
          </w:tcPr>
          <w:p>
            <w:pPr>
              <w:topLinePunct/>
              <w:snapToGrid w:val="0"/>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空调挂机安装高度</w:t>
            </w:r>
          </w:p>
        </w:tc>
        <w:tc>
          <w:tcPr>
            <w:tcW w:w="668" w:type="dxa"/>
            <w:tcMar>
              <w:top w:w="0" w:type="dxa"/>
              <w:left w:w="85" w:type="dxa"/>
              <w:bottom w:w="0" w:type="dxa"/>
              <w:right w:w="85" w:type="dxa"/>
            </w:tcMar>
            <w:vAlign w:val="center"/>
          </w:tcPr>
          <w:p>
            <w:pPr>
              <w:topLinePunct/>
              <w:snapToGrid w:val="0"/>
              <w:jc w:val="center"/>
              <w:rPr>
                <w:color w:val="000000" w:themeColor="text1"/>
                <w14:textFill>
                  <w14:solidFill>
                    <w14:schemeClr w14:val="tx1"/>
                  </w14:solidFill>
                </w14:textFill>
              </w:rPr>
            </w:pPr>
            <w:r>
              <w:rPr>
                <w:color w:val="000000" w:themeColor="text1"/>
                <w14:textFill>
                  <w14:solidFill>
                    <w14:schemeClr w14:val="tx1"/>
                  </w14:solidFill>
                </w14:textFill>
              </w:rPr>
              <w:t>mm</w:t>
            </w:r>
          </w:p>
        </w:tc>
        <w:tc>
          <w:tcPr>
            <w:tcW w:w="2618" w:type="dxa"/>
            <w:tcMar>
              <w:top w:w="0" w:type="dxa"/>
              <w:left w:w="85" w:type="dxa"/>
              <w:bottom w:w="0" w:type="dxa"/>
              <w:right w:w="85" w:type="dxa"/>
            </w:tcMar>
            <w:vAlign w:val="center"/>
          </w:tcPr>
          <w:p>
            <w:pPr>
              <w:topLinePunct/>
              <w:snapToGrid w:val="0"/>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w:t>
            </w:r>
            <w:r>
              <w:rPr>
                <w:color w:val="000000" w:themeColor="text1"/>
                <w14:textFill>
                  <w14:solidFill>
                    <w14:schemeClr w14:val="tx1"/>
                  </w14:solidFill>
                </w14:textFill>
              </w:rPr>
              <w:t>2600</w:t>
            </w:r>
          </w:p>
        </w:tc>
        <w:tc>
          <w:tcPr>
            <w:tcW w:w="1715" w:type="dxa"/>
            <w:vAlign w:val="center"/>
          </w:tcPr>
          <w:p>
            <w:pPr>
              <w:topLinePunct/>
              <w:snapToGrid w:val="0"/>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（投标人填写）</w:t>
            </w:r>
          </w:p>
        </w:tc>
        <w:tc>
          <w:tcPr>
            <w:tcW w:w="724" w:type="dxa"/>
            <w:vAlign w:val="center"/>
          </w:tcPr>
          <w:p>
            <w:pPr>
              <w:topLinePunct/>
              <w:snapToGrid w:val="0"/>
              <w:jc w:val="left"/>
              <w:rPr>
                <w:color w:val="000000" w:themeColor="text1"/>
                <w14:textFill>
                  <w14:solidFill>
                    <w14:schemeClr w14:val="tx1"/>
                  </w14:solidFill>
                </w14:textFill>
              </w:rPr>
            </w:pP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458" w:hRule="atLeast"/>
          <w:tblHeader/>
          <w:jc w:val="center"/>
        </w:trPr>
        <w:tc>
          <w:tcPr>
            <w:tcW w:w="646" w:type="dxa"/>
            <w:tcMar>
              <w:top w:w="0" w:type="dxa"/>
              <w:left w:w="85" w:type="dxa"/>
              <w:bottom w:w="0" w:type="dxa"/>
              <w:right w:w="85" w:type="dxa"/>
            </w:tcMar>
            <w:vAlign w:val="center"/>
          </w:tcPr>
          <w:p>
            <w:pPr>
              <w:topLinePunct/>
              <w:snapToGrid w:val="0"/>
              <w:jc w:val="center"/>
              <w:rPr>
                <w:color w:val="000000" w:themeColor="text1"/>
                <w14:textFill>
                  <w14:solidFill>
                    <w14:schemeClr w14:val="tx1"/>
                  </w14:solidFill>
                </w14:textFill>
              </w:rPr>
            </w:pPr>
            <w:r>
              <w:rPr>
                <w:color w:val="000000" w:themeColor="text1"/>
                <w14:textFill>
                  <w14:solidFill>
                    <w14:schemeClr w14:val="tx1"/>
                  </w14:solidFill>
                </w14:textFill>
              </w:rPr>
              <w:t>9</w:t>
            </w:r>
          </w:p>
        </w:tc>
        <w:tc>
          <w:tcPr>
            <w:tcW w:w="2128" w:type="dxa"/>
            <w:tcMar>
              <w:top w:w="0" w:type="dxa"/>
              <w:left w:w="85" w:type="dxa"/>
              <w:bottom w:w="0" w:type="dxa"/>
              <w:right w:w="85" w:type="dxa"/>
            </w:tcMar>
            <w:vAlign w:val="center"/>
          </w:tcPr>
          <w:p>
            <w:pPr>
              <w:topLinePunct/>
              <w:snapToGrid w:val="0"/>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工具箱</w:t>
            </w:r>
          </w:p>
        </w:tc>
        <w:tc>
          <w:tcPr>
            <w:tcW w:w="668" w:type="dxa"/>
            <w:tcMar>
              <w:top w:w="0" w:type="dxa"/>
              <w:left w:w="85" w:type="dxa"/>
              <w:bottom w:w="0" w:type="dxa"/>
              <w:right w:w="85" w:type="dxa"/>
            </w:tcMar>
            <w:vAlign w:val="center"/>
          </w:tcPr>
          <w:p>
            <w:pPr>
              <w:topLinePunct/>
              <w:snapToGrid w:val="0"/>
              <w:jc w:val="center"/>
              <w:rPr>
                <w:color w:val="000000" w:themeColor="text1"/>
                <w14:textFill>
                  <w14:solidFill>
                    <w14:schemeClr w14:val="tx1"/>
                  </w14:solidFill>
                </w14:textFill>
              </w:rPr>
            </w:pPr>
            <w:r>
              <w:rPr>
                <w:color w:val="000000" w:themeColor="text1"/>
                <w14:textFill>
                  <w14:solidFill>
                    <w14:schemeClr w14:val="tx1"/>
                  </w14:solidFill>
                </w14:textFill>
              </w:rPr>
              <w:t>mm</w:t>
            </w:r>
          </w:p>
        </w:tc>
        <w:tc>
          <w:tcPr>
            <w:tcW w:w="2618" w:type="dxa"/>
            <w:tcMar>
              <w:top w:w="0" w:type="dxa"/>
              <w:left w:w="85" w:type="dxa"/>
              <w:bottom w:w="0" w:type="dxa"/>
              <w:right w:w="85" w:type="dxa"/>
            </w:tcMar>
            <w:vAlign w:val="center"/>
          </w:tcPr>
          <w:p>
            <w:pPr>
              <w:topLinePunct/>
              <w:snapToGrid w:val="0"/>
              <w:rPr>
                <w:color w:val="000000" w:themeColor="text1"/>
                <w14:textFill>
                  <w14:solidFill>
                    <w14:schemeClr w14:val="tx1"/>
                  </w14:solidFill>
                </w14:textFill>
              </w:rPr>
            </w:pPr>
            <w:r>
              <w:rPr>
                <w:color w:val="000000" w:themeColor="text1"/>
                <w14:textFill>
                  <w14:solidFill>
                    <w14:schemeClr w14:val="tx1"/>
                  </w14:solidFill>
                </w14:textFill>
              </w:rPr>
              <w:t>800(</w:t>
            </w:r>
            <w:r>
              <w:rPr>
                <w:rFonts w:hint="eastAsia"/>
                <w:color w:val="000000" w:themeColor="text1"/>
                <w14:textFill>
                  <w14:solidFill>
                    <w14:schemeClr w14:val="tx1"/>
                  </w14:solidFill>
                </w14:textFill>
              </w:rPr>
              <w:t>高</w:t>
            </w:r>
            <w:r>
              <w:rPr>
                <w:color w:val="000000" w:themeColor="text1"/>
                <w14:textFill>
                  <w14:solidFill>
                    <w14:schemeClr w14:val="tx1"/>
                  </w14:solidFill>
                </w14:textFill>
              </w:rPr>
              <w:t>)</w:t>
            </w:r>
            <w:r>
              <w:rPr>
                <w:rFonts w:hint="eastAsia"/>
                <w:color w:val="000000" w:themeColor="text1"/>
                <w14:textFill>
                  <w14:solidFill>
                    <w14:schemeClr w14:val="tx1"/>
                  </w14:solidFill>
                </w14:textFill>
              </w:rPr>
              <w:t>×</w:t>
            </w:r>
            <w:r>
              <w:rPr>
                <w:color w:val="000000" w:themeColor="text1"/>
                <w14:textFill>
                  <w14:solidFill>
                    <w14:schemeClr w14:val="tx1"/>
                  </w14:solidFill>
                </w14:textFill>
              </w:rPr>
              <w:t>600(</w:t>
            </w:r>
            <w:r>
              <w:rPr>
                <w:rFonts w:hint="eastAsia"/>
                <w:color w:val="000000" w:themeColor="text1"/>
                <w14:textFill>
                  <w14:solidFill>
                    <w14:schemeClr w14:val="tx1"/>
                  </w14:solidFill>
                </w14:textFill>
              </w:rPr>
              <w:t>宽</w:t>
            </w:r>
            <w:r>
              <w:rPr>
                <w:color w:val="000000" w:themeColor="text1"/>
                <w14:textFill>
                  <w14:solidFill>
                    <w14:schemeClr w14:val="tx1"/>
                  </w14:solidFill>
                </w14:textFill>
              </w:rPr>
              <w:t>)</w:t>
            </w:r>
            <w:r>
              <w:rPr>
                <w:rFonts w:hint="eastAsia"/>
                <w:color w:val="000000" w:themeColor="text1"/>
                <w14:textFill>
                  <w14:solidFill>
                    <w14:schemeClr w14:val="tx1"/>
                  </w14:solidFill>
                </w14:textFill>
              </w:rPr>
              <w:t>×</w:t>
            </w:r>
            <w:r>
              <w:rPr>
                <w:color w:val="000000" w:themeColor="text1"/>
                <w14:textFill>
                  <w14:solidFill>
                    <w14:schemeClr w14:val="tx1"/>
                  </w14:solidFill>
                </w14:textFill>
              </w:rPr>
              <w:t>180(</w:t>
            </w:r>
            <w:r>
              <w:rPr>
                <w:rFonts w:hint="eastAsia"/>
                <w:color w:val="000000" w:themeColor="text1"/>
                <w14:textFill>
                  <w14:solidFill>
                    <w14:schemeClr w14:val="tx1"/>
                  </w14:solidFill>
                </w14:textFill>
              </w:rPr>
              <w:t>深</w:t>
            </w:r>
            <w:r>
              <w:rPr>
                <w:color w:val="000000" w:themeColor="text1"/>
                <w14:textFill>
                  <w14:solidFill>
                    <w14:schemeClr w14:val="tx1"/>
                  </w14:solidFill>
                </w14:textFill>
              </w:rPr>
              <w:t>)</w:t>
            </w:r>
          </w:p>
        </w:tc>
        <w:tc>
          <w:tcPr>
            <w:tcW w:w="1715" w:type="dxa"/>
            <w:vAlign w:val="center"/>
          </w:tcPr>
          <w:p>
            <w:pPr>
              <w:topLinePunct/>
              <w:snapToGrid w:val="0"/>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（投标人填写）</w:t>
            </w:r>
          </w:p>
        </w:tc>
        <w:tc>
          <w:tcPr>
            <w:tcW w:w="724" w:type="dxa"/>
            <w:vAlign w:val="center"/>
          </w:tcPr>
          <w:p>
            <w:pPr>
              <w:topLinePunct/>
              <w:snapToGrid w:val="0"/>
              <w:jc w:val="left"/>
              <w:rPr>
                <w:color w:val="000000" w:themeColor="text1"/>
                <w14:textFill>
                  <w14:solidFill>
                    <w14:schemeClr w14:val="tx1"/>
                  </w14:solidFill>
                </w14:textFill>
              </w:rPr>
            </w:pP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700" w:hRule="atLeast"/>
          <w:tblHeader/>
          <w:jc w:val="center"/>
        </w:trPr>
        <w:tc>
          <w:tcPr>
            <w:tcW w:w="646" w:type="dxa"/>
            <w:tcBorders>
              <w:bottom w:val="single" w:color="auto" w:sz="4" w:space="0"/>
            </w:tcBorders>
            <w:tcMar>
              <w:top w:w="0" w:type="dxa"/>
              <w:left w:w="85" w:type="dxa"/>
              <w:bottom w:w="0" w:type="dxa"/>
              <w:right w:w="85" w:type="dxa"/>
            </w:tcMar>
            <w:vAlign w:val="center"/>
          </w:tcPr>
          <w:p>
            <w:pPr>
              <w:topLinePunct/>
              <w:snapToGrid w:val="0"/>
              <w:jc w:val="center"/>
              <w:rPr>
                <w:color w:val="000000" w:themeColor="text1"/>
                <w14:textFill>
                  <w14:solidFill>
                    <w14:schemeClr w14:val="tx1"/>
                  </w14:solidFill>
                </w14:textFill>
              </w:rPr>
            </w:pPr>
            <w:r>
              <w:rPr>
                <w:color w:val="000000" w:themeColor="text1"/>
                <w14:textFill>
                  <w14:solidFill>
                    <w14:schemeClr w14:val="tx1"/>
                  </w14:solidFill>
                </w14:textFill>
              </w:rPr>
              <w:t>10</w:t>
            </w:r>
          </w:p>
        </w:tc>
        <w:tc>
          <w:tcPr>
            <w:tcW w:w="2128" w:type="dxa"/>
            <w:tcBorders>
              <w:bottom w:val="single" w:color="auto" w:sz="4" w:space="0"/>
            </w:tcBorders>
            <w:tcMar>
              <w:top w:w="0" w:type="dxa"/>
              <w:left w:w="85" w:type="dxa"/>
              <w:bottom w:w="0" w:type="dxa"/>
              <w:right w:w="85" w:type="dxa"/>
            </w:tcMar>
            <w:vAlign w:val="center"/>
          </w:tcPr>
          <w:p>
            <w:pPr>
              <w:topLinePunct/>
              <w:snapToGrid w:val="0"/>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防雨檐规格</w:t>
            </w:r>
          </w:p>
        </w:tc>
        <w:tc>
          <w:tcPr>
            <w:tcW w:w="668" w:type="dxa"/>
            <w:tcBorders>
              <w:bottom w:val="single" w:color="auto" w:sz="4" w:space="0"/>
            </w:tcBorders>
            <w:tcMar>
              <w:top w:w="0" w:type="dxa"/>
              <w:left w:w="85" w:type="dxa"/>
              <w:bottom w:w="0" w:type="dxa"/>
              <w:right w:w="85" w:type="dxa"/>
            </w:tcMar>
            <w:vAlign w:val="center"/>
          </w:tcPr>
          <w:p>
            <w:pPr>
              <w:topLinePunct/>
              <w:snapToGrid w:val="0"/>
              <w:jc w:val="center"/>
              <w:rPr>
                <w:color w:val="000000" w:themeColor="text1"/>
                <w14:textFill>
                  <w14:solidFill>
                    <w14:schemeClr w14:val="tx1"/>
                  </w14:solidFill>
                </w14:textFill>
              </w:rPr>
            </w:pPr>
            <w:r>
              <w:rPr>
                <w:color w:val="000000" w:themeColor="text1"/>
                <w14:textFill>
                  <w14:solidFill>
                    <w14:schemeClr w14:val="tx1"/>
                  </w14:solidFill>
                </w14:textFill>
              </w:rPr>
              <w:t>mm</w:t>
            </w:r>
          </w:p>
        </w:tc>
        <w:tc>
          <w:tcPr>
            <w:tcW w:w="2618" w:type="dxa"/>
            <w:tcBorders>
              <w:bottom w:val="single" w:color="auto" w:sz="4" w:space="0"/>
            </w:tcBorders>
            <w:tcMar>
              <w:top w:w="0" w:type="dxa"/>
              <w:left w:w="85" w:type="dxa"/>
              <w:bottom w:w="0" w:type="dxa"/>
              <w:right w:w="85" w:type="dxa"/>
            </w:tcMar>
            <w:vAlign w:val="center"/>
          </w:tcPr>
          <w:p>
            <w:pPr>
              <w:topLinePunct/>
              <w:snapToGrid w:val="0"/>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大于舱门宽度</w:t>
            </w:r>
            <w:r>
              <w:rPr>
                <w:color w:val="000000" w:themeColor="text1"/>
                <w14:textFill>
                  <w14:solidFill>
                    <w14:schemeClr w14:val="tx1"/>
                  </w14:solidFill>
                </w14:textFill>
              </w:rPr>
              <w:t>90</w:t>
            </w:r>
            <w:r>
              <w:rPr>
                <w:rFonts w:hint="eastAsia"/>
                <w:color w:val="000000" w:themeColor="text1"/>
                <w14:textFill>
                  <w14:solidFill>
                    <w14:schemeClr w14:val="tx1"/>
                  </w14:solidFill>
                </w14:textFill>
              </w:rPr>
              <w:t>，探出舱门</w:t>
            </w:r>
            <w:r>
              <w:rPr>
                <w:color w:val="000000" w:themeColor="text1"/>
                <w14:textFill>
                  <w14:solidFill>
                    <w14:schemeClr w14:val="tx1"/>
                  </w14:solidFill>
                </w14:textFill>
              </w:rPr>
              <w:t>190</w:t>
            </w:r>
          </w:p>
        </w:tc>
        <w:tc>
          <w:tcPr>
            <w:tcW w:w="1715" w:type="dxa"/>
            <w:tcBorders>
              <w:bottom w:val="single" w:color="auto" w:sz="4" w:space="0"/>
            </w:tcBorders>
            <w:vAlign w:val="center"/>
          </w:tcPr>
          <w:p>
            <w:pPr>
              <w:topLinePunct/>
              <w:snapToGrid w:val="0"/>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（投标人填写）</w:t>
            </w:r>
          </w:p>
        </w:tc>
        <w:tc>
          <w:tcPr>
            <w:tcW w:w="724" w:type="dxa"/>
            <w:tcBorders>
              <w:bottom w:val="single" w:color="auto" w:sz="4" w:space="0"/>
            </w:tcBorders>
            <w:vAlign w:val="center"/>
          </w:tcPr>
          <w:p>
            <w:pPr>
              <w:topLinePunct/>
              <w:snapToGrid w:val="0"/>
              <w:jc w:val="left"/>
              <w:rPr>
                <w:color w:val="000000" w:themeColor="text1"/>
                <w14:textFill>
                  <w14:solidFill>
                    <w14:schemeClr w14:val="tx1"/>
                  </w14:solidFill>
                </w14:textFill>
              </w:rPr>
            </w:pPr>
          </w:p>
        </w:tc>
      </w:tr>
    </w:tbl>
    <w:p>
      <w:pPr>
        <w:pStyle w:val="236"/>
        <w:spacing w:line="360" w:lineRule="auto"/>
        <w:ind w:firstLine="0" w:firstLineChars="0"/>
        <w:rPr>
          <w:rFonts w:ascii="宋体"/>
          <w:color w:val="000000" w:themeColor="text1"/>
          <w:sz w:val="24"/>
          <w14:textFill>
            <w14:solidFill>
              <w14:schemeClr w14:val="tx1"/>
            </w14:solidFill>
          </w14:textFill>
        </w:rPr>
      </w:pPr>
    </w:p>
    <w:p>
      <w:pPr>
        <w:tabs>
          <w:tab w:val="left" w:pos="1267"/>
        </w:tabs>
        <w:spacing w:line="360" w:lineRule="auto"/>
        <w:ind w:firstLine="420" w:firstLineChars="200"/>
        <w:rPr>
          <w:color w:val="000000" w:themeColor="text1"/>
          <w14:textFill>
            <w14:solidFill>
              <w14:schemeClr w14:val="tx1"/>
            </w14:solidFill>
          </w14:textFill>
        </w:rPr>
      </w:pPr>
      <w:bookmarkStart w:id="60" w:name="_Toc119049804"/>
      <w:bookmarkStart w:id="61" w:name="_Toc11848741"/>
      <w:r>
        <w:rPr>
          <w:color w:val="000000" w:themeColor="text1"/>
          <w14:textFill>
            <w14:solidFill>
              <w14:schemeClr w14:val="tx1"/>
            </w14:solidFill>
          </w14:textFill>
        </w:rPr>
        <w:t>2</w:t>
      </w:r>
      <w:r>
        <w:rPr>
          <w:rFonts w:hint="eastAsia"/>
          <w:color w:val="000000" w:themeColor="text1"/>
          <w14:textFill>
            <w14:solidFill>
              <w14:schemeClr w14:val="tx1"/>
            </w14:solidFill>
          </w14:textFill>
        </w:rPr>
        <w:t>、关键技术要求</w:t>
      </w:r>
      <w:bookmarkEnd w:id="60"/>
      <w:bookmarkEnd w:id="61"/>
    </w:p>
    <w:p>
      <w:pPr>
        <w:tabs>
          <w:tab w:val="left" w:pos="1267"/>
        </w:tabs>
        <w:spacing w:line="360" w:lineRule="auto"/>
        <w:ind w:firstLine="420" w:firstLineChars="200"/>
        <w:rPr>
          <w:color w:val="000000" w:themeColor="text1"/>
          <w14:textFill>
            <w14:solidFill>
              <w14:schemeClr w14:val="tx1"/>
            </w14:solidFill>
          </w14:textFill>
        </w:rPr>
      </w:pPr>
      <w:bookmarkStart w:id="62" w:name="_Toc11848742"/>
      <w:bookmarkStart w:id="63" w:name="_Toc119049805"/>
      <w:r>
        <w:rPr>
          <w:rFonts w:hint="eastAsia"/>
          <w:color w:val="000000" w:themeColor="text1"/>
          <w14:textFill>
            <w14:solidFill>
              <w14:schemeClr w14:val="tx1"/>
            </w14:solidFill>
          </w14:textFill>
        </w:rPr>
        <w:t>（</w:t>
      </w:r>
      <w:r>
        <w:rPr>
          <w:color w:val="000000" w:themeColor="text1"/>
          <w14:textFill>
            <w14:solidFill>
              <w14:schemeClr w14:val="tx1"/>
            </w14:solidFill>
          </w14:textFill>
        </w:rPr>
        <w:t>1</w:t>
      </w:r>
      <w:r>
        <w:rPr>
          <w:rFonts w:hint="eastAsia"/>
          <w:color w:val="000000" w:themeColor="text1"/>
          <w14:textFill>
            <w14:solidFill>
              <w14:schemeClr w14:val="tx1"/>
            </w14:solidFill>
          </w14:textFill>
        </w:rPr>
        <w:t>）预制舱强度</w:t>
      </w:r>
      <w:bookmarkEnd w:id="62"/>
      <w:bookmarkEnd w:id="63"/>
    </w:p>
    <w:p>
      <w:pPr>
        <w:tabs>
          <w:tab w:val="left" w:pos="1267"/>
        </w:tabs>
        <w:spacing w:line="360" w:lineRule="auto"/>
        <w:ind w:firstLine="420" w:firstLineChars="200"/>
        <w:rPr>
          <w:color w:val="000000" w:themeColor="text1"/>
          <w14:textFill>
            <w14:solidFill>
              <w14:schemeClr w14:val="tx1"/>
            </w14:solidFill>
          </w14:textFill>
        </w:rPr>
      </w:pPr>
      <w:r>
        <w:rPr>
          <w:color w:val="000000" w:themeColor="text1"/>
          <w14:textFill>
            <w14:solidFill>
              <w14:schemeClr w14:val="tx1"/>
            </w14:solidFill>
          </w14:textFill>
        </w:rPr>
        <w:t>1</w:t>
      </w:r>
      <w:r>
        <w:rPr>
          <w:rFonts w:hint="eastAsia"/>
          <w:color w:val="000000" w:themeColor="text1"/>
          <w14:textFill>
            <w14:solidFill>
              <w14:schemeClr w14:val="tx1"/>
            </w14:solidFill>
          </w14:textFill>
        </w:rPr>
        <w:t>）舱体骨架为焊装一体式结构，主要钢材材质应选用不低于</w:t>
      </w:r>
      <w:r>
        <w:rPr>
          <w:color w:val="000000" w:themeColor="text1"/>
          <w14:textFill>
            <w14:solidFill>
              <w14:schemeClr w14:val="tx1"/>
            </w14:solidFill>
          </w14:textFill>
        </w:rPr>
        <w:t>GB/T 700</w:t>
      </w:r>
      <w:r>
        <w:rPr>
          <w:rFonts w:hint="eastAsia"/>
          <w:color w:val="000000" w:themeColor="text1"/>
          <w14:textFill>
            <w14:solidFill>
              <w14:schemeClr w14:val="tx1"/>
            </w14:solidFill>
          </w14:textFill>
        </w:rPr>
        <w:t>标准的优质碳素结构钢，钢材的屈服强度不小于</w:t>
      </w:r>
      <w:r>
        <w:rPr>
          <w:color w:val="000000" w:themeColor="text1"/>
          <w14:textFill>
            <w14:solidFill>
              <w14:schemeClr w14:val="tx1"/>
            </w14:solidFill>
          </w14:textFill>
        </w:rPr>
        <w:t>235N/mm2(MPa)</w:t>
      </w:r>
      <w:r>
        <w:rPr>
          <w:rFonts w:hint="eastAsia"/>
          <w:color w:val="000000" w:themeColor="text1"/>
          <w14:textFill>
            <w14:solidFill>
              <w14:schemeClr w14:val="tx1"/>
            </w14:solidFill>
          </w14:textFill>
        </w:rPr>
        <w:t>，钢材的冲击吸收功</w:t>
      </w:r>
      <w:r>
        <w:rPr>
          <w:color w:val="000000" w:themeColor="text1"/>
          <w14:textFill>
            <w14:solidFill>
              <w14:schemeClr w14:val="tx1"/>
            </w14:solidFill>
          </w14:textFill>
        </w:rPr>
        <w:t>(</w:t>
      </w:r>
      <w:r>
        <w:rPr>
          <w:rFonts w:hint="eastAsia"/>
          <w:color w:val="000000" w:themeColor="text1"/>
          <w14:textFill>
            <w14:solidFill>
              <w14:schemeClr w14:val="tx1"/>
            </w14:solidFill>
          </w14:textFill>
        </w:rPr>
        <w:t>纵向</w:t>
      </w:r>
      <w:r>
        <w:rPr>
          <w:color w:val="000000" w:themeColor="text1"/>
          <w14:textFill>
            <w14:solidFill>
              <w14:schemeClr w14:val="tx1"/>
            </w14:solidFill>
          </w14:textFill>
        </w:rPr>
        <w:t>)</w:t>
      </w:r>
      <w:r>
        <w:rPr>
          <w:rFonts w:hint="eastAsia"/>
          <w:color w:val="000000" w:themeColor="text1"/>
          <w14:textFill>
            <w14:solidFill>
              <w14:schemeClr w14:val="tx1"/>
            </w14:solidFill>
          </w14:textFill>
        </w:rPr>
        <w:t>不小于</w:t>
      </w:r>
      <w:r>
        <w:rPr>
          <w:color w:val="000000" w:themeColor="text1"/>
          <w14:textFill>
            <w14:solidFill>
              <w14:schemeClr w14:val="tx1"/>
            </w14:solidFill>
          </w14:textFill>
        </w:rPr>
        <w:t>27J</w:t>
      </w:r>
      <w:r>
        <w:rPr>
          <w:rFonts w:hint="eastAsia"/>
          <w:color w:val="000000" w:themeColor="text1"/>
          <w14:textFill>
            <w14:solidFill>
              <w14:schemeClr w14:val="tx1"/>
            </w14:solidFill>
          </w14:textFill>
        </w:rPr>
        <w:t>，应有足够的机械强度和刚度，在起吊、运输和安装时不会产生变形，满足</w:t>
      </w:r>
      <w:r>
        <w:rPr>
          <w:color w:val="000000" w:themeColor="text1"/>
          <w14:textFill>
            <w14:solidFill>
              <w14:schemeClr w14:val="tx1"/>
            </w14:solidFill>
          </w14:textFill>
        </w:rPr>
        <w:t>GB17467</w:t>
      </w:r>
      <w:r>
        <w:rPr>
          <w:rFonts w:hint="eastAsia"/>
          <w:color w:val="000000" w:themeColor="text1"/>
          <w14:textFill>
            <w14:solidFill>
              <w14:schemeClr w14:val="tx1"/>
            </w14:solidFill>
          </w14:textFill>
        </w:rPr>
        <w:t>《高低压预装式变电站》防冲击试验要求，并耐受以下的负荷和撞击：</w:t>
      </w:r>
    </w:p>
    <w:p>
      <w:pPr>
        <w:tabs>
          <w:tab w:val="left" w:pos="1267"/>
        </w:tabs>
        <w:spacing w:line="360" w:lineRule="auto"/>
        <w:ind w:firstLine="420" w:firstLineChars="200"/>
        <w:rPr>
          <w:color w:val="000000" w:themeColor="text1"/>
          <w14:textFill>
            <w14:solidFill>
              <w14:schemeClr w14:val="tx1"/>
            </w14:solidFill>
          </w14:textFill>
        </w:rPr>
      </w:pPr>
      <w:r>
        <w:rPr>
          <w:color w:val="000000" w:themeColor="text1"/>
          <w14:textFill>
            <w14:solidFill>
              <w14:schemeClr w14:val="tx1"/>
            </w14:solidFill>
          </w14:textFill>
        </w:rPr>
        <w:t>a)</w:t>
      </w:r>
      <w:r>
        <w:rPr>
          <w:rFonts w:hint="eastAsia"/>
          <w:color w:val="000000" w:themeColor="text1"/>
          <w14:textFill>
            <w14:solidFill>
              <w14:schemeClr w14:val="tx1"/>
            </w14:solidFill>
          </w14:textFill>
        </w:rPr>
        <w:t>顶部负荷：最小值为</w:t>
      </w:r>
      <w:r>
        <w:rPr>
          <w:color w:val="000000" w:themeColor="text1"/>
          <w14:textFill>
            <w14:solidFill>
              <w14:schemeClr w14:val="tx1"/>
            </w14:solidFill>
          </w14:textFill>
        </w:rPr>
        <w:t>3500N/</w:t>
      </w:r>
      <w:r>
        <w:rPr>
          <w:rFonts w:hint="eastAsia"/>
          <w:color w:val="000000" w:themeColor="text1"/>
          <w14:textFill>
            <w14:solidFill>
              <w14:schemeClr w14:val="tx1"/>
            </w14:solidFill>
          </w14:textFill>
        </w:rPr>
        <w:t>㎡。顶部需安装单晶硅双面双玻光伏组件及阀冷外机，最终负荷以设备厂家实际需求为准。</w:t>
      </w:r>
    </w:p>
    <w:p>
      <w:pPr>
        <w:tabs>
          <w:tab w:val="left" w:pos="1267"/>
        </w:tabs>
        <w:spacing w:line="360" w:lineRule="auto"/>
        <w:ind w:firstLine="420" w:firstLineChars="200"/>
        <w:rPr>
          <w:color w:val="000000" w:themeColor="text1"/>
          <w14:textFill>
            <w14:solidFill>
              <w14:schemeClr w14:val="tx1"/>
            </w14:solidFill>
          </w14:textFill>
        </w:rPr>
      </w:pPr>
      <w:r>
        <w:rPr>
          <w:color w:val="000000" w:themeColor="text1"/>
          <w14:textFill>
            <w14:solidFill>
              <w14:schemeClr w14:val="tx1"/>
            </w14:solidFill>
          </w14:textFill>
        </w:rPr>
        <w:t>b)</w:t>
      </w:r>
      <w:r>
        <w:rPr>
          <w:rFonts w:hint="eastAsia"/>
          <w:color w:val="000000" w:themeColor="text1"/>
          <w14:textFill>
            <w14:solidFill>
              <w14:schemeClr w14:val="tx1"/>
            </w14:solidFill>
          </w14:textFill>
        </w:rPr>
        <w:t>在面板、门和通风口上的外部机械撞击：外部机械撞击的撞击能量为</w:t>
      </w:r>
      <w:r>
        <w:rPr>
          <w:color w:val="000000" w:themeColor="text1"/>
          <w14:textFill>
            <w14:solidFill>
              <w14:schemeClr w14:val="tx1"/>
            </w14:solidFill>
          </w14:textFill>
        </w:rPr>
        <w:t>20J</w:t>
      </w:r>
      <w:r>
        <w:rPr>
          <w:rFonts w:hint="eastAsia"/>
          <w:color w:val="000000" w:themeColor="text1"/>
          <w14:textFill>
            <w14:solidFill>
              <w14:schemeClr w14:val="tx1"/>
            </w14:solidFill>
          </w14:textFill>
        </w:rPr>
        <w:t>，对应的防护等级为</w:t>
      </w:r>
      <w:r>
        <w:rPr>
          <w:color w:val="000000" w:themeColor="text1"/>
          <w14:textFill>
            <w14:solidFill>
              <w14:schemeClr w14:val="tx1"/>
            </w14:solidFill>
          </w14:textFill>
        </w:rPr>
        <w:t>GB/T20138</w:t>
      </w:r>
      <w:r>
        <w:rPr>
          <w:rFonts w:hint="eastAsia"/>
          <w:color w:val="000000" w:themeColor="text1"/>
          <w14:textFill>
            <w14:solidFill>
              <w14:schemeClr w14:val="tx1"/>
            </w14:solidFill>
          </w14:textFill>
        </w:rPr>
        <w:t>的</w:t>
      </w:r>
      <w:r>
        <w:rPr>
          <w:color w:val="000000" w:themeColor="text1"/>
          <w14:textFill>
            <w14:solidFill>
              <w14:schemeClr w14:val="tx1"/>
            </w14:solidFill>
          </w14:textFill>
        </w:rPr>
        <w:t>IK10</w:t>
      </w:r>
      <w:r>
        <w:rPr>
          <w:rFonts w:hint="eastAsia"/>
          <w:color w:val="000000" w:themeColor="text1"/>
          <w14:textFill>
            <w14:solidFill>
              <w14:schemeClr w14:val="tx1"/>
            </w14:solidFill>
          </w14:textFill>
        </w:rPr>
        <w:t>。</w:t>
      </w:r>
    </w:p>
    <w:p>
      <w:pPr>
        <w:tabs>
          <w:tab w:val="left" w:pos="1267"/>
        </w:tabs>
        <w:spacing w:line="360" w:lineRule="auto"/>
        <w:ind w:firstLine="420" w:firstLineChars="200"/>
        <w:rPr>
          <w:color w:val="000000" w:themeColor="text1"/>
          <w14:textFill>
            <w14:solidFill>
              <w14:schemeClr w14:val="tx1"/>
            </w14:solidFill>
          </w14:textFill>
        </w:rPr>
      </w:pPr>
      <w:r>
        <w:rPr>
          <w:color w:val="000000" w:themeColor="text1"/>
          <w14:textFill>
            <w14:solidFill>
              <w14:schemeClr w14:val="tx1"/>
            </w14:solidFill>
          </w14:textFill>
        </w:rPr>
        <w:t>2</w:t>
      </w:r>
      <w:r>
        <w:rPr>
          <w:rFonts w:hint="eastAsia"/>
          <w:color w:val="000000" w:themeColor="text1"/>
          <w14:textFill>
            <w14:solidFill>
              <w14:schemeClr w14:val="tx1"/>
            </w14:solidFill>
          </w14:textFill>
        </w:rPr>
        <w:t>）对于二层结构的预制舱，一、二层底座均需满足设备荷载，底座与骨架主体结构为焊接一体式，不允许采用拼接形式。底座由型钢焊接而成，骨架主体结构采用型钢或薄壁冷弯型钢焊接式结构，钢板厚度不得小于</w:t>
      </w:r>
      <w:r>
        <w:rPr>
          <w:color w:val="000000" w:themeColor="text1"/>
          <w14:textFill>
            <w14:solidFill>
              <w14:schemeClr w14:val="tx1"/>
            </w14:solidFill>
          </w14:textFill>
        </w:rPr>
        <w:t>2mm</w:t>
      </w:r>
      <w:r>
        <w:rPr>
          <w:rFonts w:hint="eastAsia"/>
          <w:color w:val="000000" w:themeColor="text1"/>
          <w14:textFill>
            <w14:solidFill>
              <w14:schemeClr w14:val="tx1"/>
            </w14:solidFill>
          </w14:textFill>
        </w:rPr>
        <w:t>；门板采用高耐候双层复合防火保温壁板。</w:t>
      </w:r>
    </w:p>
    <w:p>
      <w:pPr>
        <w:tabs>
          <w:tab w:val="left" w:pos="1267"/>
        </w:tabs>
        <w:spacing w:line="360" w:lineRule="auto"/>
        <w:ind w:firstLine="420" w:firstLineChars="200"/>
        <w:rPr>
          <w:color w:val="000000" w:themeColor="text1"/>
          <w14:textFill>
            <w14:solidFill>
              <w14:schemeClr w14:val="tx1"/>
            </w14:solidFill>
          </w14:textFill>
        </w:rPr>
      </w:pPr>
      <w:r>
        <w:rPr>
          <w:color w:val="000000" w:themeColor="text1"/>
          <w14:textFill>
            <w14:solidFill>
              <w14:schemeClr w14:val="tx1"/>
            </w14:solidFill>
          </w14:textFill>
        </w:rPr>
        <w:t>3</w:t>
      </w:r>
      <w:r>
        <w:rPr>
          <w:rFonts w:hint="eastAsia"/>
          <w:color w:val="000000" w:themeColor="text1"/>
          <w14:textFill>
            <w14:solidFill>
              <w14:schemeClr w14:val="tx1"/>
            </w14:solidFill>
          </w14:textFill>
        </w:rPr>
        <w:t>）舱体抗震性能试验按照</w:t>
      </w:r>
      <w:r>
        <w:rPr>
          <w:color w:val="000000" w:themeColor="text1"/>
          <w14:textFill>
            <w14:solidFill>
              <w14:schemeClr w14:val="tx1"/>
            </w14:solidFill>
          </w14:textFill>
        </w:rPr>
        <w:t>GB 50260</w:t>
      </w:r>
      <w:r>
        <w:rPr>
          <w:rFonts w:hint="eastAsia"/>
          <w:color w:val="000000" w:themeColor="text1"/>
          <w14:textFill>
            <w14:solidFill>
              <w14:schemeClr w14:val="tx1"/>
            </w14:solidFill>
          </w14:textFill>
        </w:rPr>
        <w:t>中</w:t>
      </w:r>
      <w:r>
        <w:rPr>
          <w:color w:val="000000" w:themeColor="text1"/>
          <w14:textFill>
            <w14:solidFill>
              <w14:schemeClr w14:val="tx1"/>
            </w14:solidFill>
          </w14:textFill>
        </w:rPr>
        <w:t>6.4</w:t>
      </w:r>
      <w:r>
        <w:rPr>
          <w:rFonts w:hint="eastAsia"/>
          <w:color w:val="000000" w:themeColor="text1"/>
          <w14:textFill>
            <w14:solidFill>
              <w14:schemeClr w14:val="tx1"/>
            </w14:solidFill>
          </w14:textFill>
        </w:rPr>
        <w:t>抗震试验的方法进行。在设计的地震作用下，按规定方法试验后，舱体防护性能不降低、舱体外立面装饰构件不应脱落、舱内辅控设备完好、舱门无损坏，舱体应按照设防烈度</w:t>
      </w:r>
      <w:r>
        <w:rPr>
          <w:color w:val="000000" w:themeColor="text1"/>
          <w14:textFill>
            <w14:solidFill>
              <w14:schemeClr w14:val="tx1"/>
            </w14:solidFill>
          </w14:textFill>
        </w:rPr>
        <w:t>8</w:t>
      </w:r>
      <w:r>
        <w:rPr>
          <w:rFonts w:hint="eastAsia"/>
          <w:color w:val="000000" w:themeColor="text1"/>
          <w14:textFill>
            <w14:solidFill>
              <w14:schemeClr w14:val="tx1"/>
            </w14:solidFill>
          </w14:textFill>
        </w:rPr>
        <w:t>度</w:t>
      </w:r>
      <w:r>
        <w:rPr>
          <w:color w:val="000000" w:themeColor="text1"/>
          <w14:textFill>
            <w14:solidFill>
              <w14:schemeClr w14:val="tx1"/>
            </w14:solidFill>
          </w14:textFill>
        </w:rPr>
        <w:t>(0.3g)</w:t>
      </w:r>
      <w:r>
        <w:rPr>
          <w:rFonts w:hint="eastAsia"/>
          <w:color w:val="000000" w:themeColor="text1"/>
          <w14:textFill>
            <w14:solidFill>
              <w14:schemeClr w14:val="tx1"/>
            </w14:solidFill>
          </w14:textFill>
        </w:rPr>
        <w:t>进行地震设计，并提供相应试验报告。</w:t>
      </w:r>
    </w:p>
    <w:p>
      <w:pPr>
        <w:tabs>
          <w:tab w:val="left" w:pos="1267"/>
        </w:tabs>
        <w:spacing w:line="360" w:lineRule="auto"/>
        <w:ind w:firstLine="420" w:firstLineChars="200"/>
        <w:rPr>
          <w:color w:val="000000" w:themeColor="text1"/>
          <w14:textFill>
            <w14:solidFill>
              <w14:schemeClr w14:val="tx1"/>
            </w14:solidFill>
          </w14:textFill>
        </w:rPr>
      </w:pPr>
      <w:r>
        <w:rPr>
          <w:rFonts w:hint="eastAsia"/>
          <w:color w:val="000000" w:themeColor="text1"/>
          <w14:textFill>
            <w14:solidFill>
              <w14:schemeClr w14:val="tx1"/>
            </w14:solidFill>
          </w14:textFill>
        </w:rPr>
        <w:t>预制舱设计应符合</w:t>
      </w:r>
      <w:r>
        <w:rPr>
          <w:color w:val="000000" w:themeColor="text1"/>
          <w14:textFill>
            <w14:solidFill>
              <w14:schemeClr w14:val="tx1"/>
            </w14:solidFill>
          </w14:textFill>
        </w:rPr>
        <w:t>GB 50011</w:t>
      </w:r>
      <w:r>
        <w:rPr>
          <w:rFonts w:hint="eastAsia"/>
          <w:color w:val="000000" w:themeColor="text1"/>
          <w14:textFill>
            <w14:solidFill>
              <w14:schemeClr w14:val="tx1"/>
            </w14:solidFill>
          </w14:textFill>
        </w:rPr>
        <w:t>《建筑抗震设计规范》等相关标准，舱体应按照设防烈度</w:t>
      </w:r>
      <w:r>
        <w:rPr>
          <w:color w:val="000000" w:themeColor="text1"/>
          <w14:textFill>
            <w14:solidFill>
              <w14:schemeClr w14:val="tx1"/>
            </w14:solidFill>
          </w14:textFill>
        </w:rPr>
        <w:t>8</w:t>
      </w:r>
      <w:r>
        <w:rPr>
          <w:rFonts w:hint="eastAsia"/>
          <w:color w:val="000000" w:themeColor="text1"/>
          <w14:textFill>
            <w14:solidFill>
              <w14:schemeClr w14:val="tx1"/>
            </w14:solidFill>
          </w14:textFill>
        </w:rPr>
        <w:t>度</w:t>
      </w:r>
      <w:r>
        <w:rPr>
          <w:color w:val="000000" w:themeColor="text1"/>
          <w14:textFill>
            <w14:solidFill>
              <w14:schemeClr w14:val="tx1"/>
            </w14:solidFill>
          </w14:textFill>
        </w:rPr>
        <w:t>(0.3g)</w:t>
      </w:r>
      <w:r>
        <w:rPr>
          <w:rFonts w:hint="eastAsia"/>
          <w:color w:val="000000" w:themeColor="text1"/>
          <w14:textFill>
            <w14:solidFill>
              <w14:schemeClr w14:val="tx1"/>
            </w14:solidFill>
          </w14:textFill>
        </w:rPr>
        <w:t>进行地震设计，并提供相应第三方计算报告。对于由于尺寸原因不具备试验条件的舱体</w:t>
      </w:r>
      <w:r>
        <w:rPr>
          <w:color w:val="000000" w:themeColor="text1"/>
          <w14:textFill>
            <w14:solidFill>
              <w14:schemeClr w14:val="tx1"/>
            </w14:solidFill>
          </w14:textFill>
        </w:rPr>
        <w:t>,</w:t>
      </w:r>
      <w:r>
        <w:rPr>
          <w:rFonts w:hint="eastAsia"/>
          <w:color w:val="000000" w:themeColor="text1"/>
          <w14:textFill>
            <w14:solidFill>
              <w14:schemeClr w14:val="tx1"/>
            </w14:solidFill>
          </w14:textFill>
        </w:rPr>
        <w:t>舱体框架本身的抗震性能可采用仿真分析验证。</w:t>
      </w:r>
    </w:p>
    <w:p>
      <w:pPr>
        <w:tabs>
          <w:tab w:val="left" w:pos="1267"/>
        </w:tabs>
        <w:spacing w:line="360" w:lineRule="auto"/>
        <w:ind w:firstLine="420" w:firstLineChars="200"/>
        <w:rPr>
          <w:color w:val="000000" w:themeColor="text1"/>
          <w14:textFill>
            <w14:solidFill>
              <w14:schemeClr w14:val="tx1"/>
            </w14:solidFill>
          </w14:textFill>
        </w:rPr>
      </w:pPr>
      <w:r>
        <w:rPr>
          <w:color w:val="000000" w:themeColor="text1"/>
          <w14:textFill>
            <w14:solidFill>
              <w14:schemeClr w14:val="tx1"/>
            </w14:solidFill>
          </w14:textFill>
        </w:rPr>
        <w:t>4</w:t>
      </w:r>
      <w:r>
        <w:rPr>
          <w:rFonts w:hint="eastAsia"/>
          <w:color w:val="000000" w:themeColor="text1"/>
          <w14:textFill>
            <w14:solidFill>
              <w14:schemeClr w14:val="tx1"/>
            </w14:solidFill>
          </w14:textFill>
        </w:rPr>
        <w:t>）预制舱达到保温效果的同时，应保证舱体足够的机械强度，内外钢板间通过冲压槽孔点焊连接，内衬型钢，设置独立支架，立体结构应根据承载计算设计足够的支撑结构并提供相应的有限元模型结构强度分析报告。</w:t>
      </w:r>
    </w:p>
    <w:p>
      <w:pPr>
        <w:tabs>
          <w:tab w:val="left" w:pos="1267"/>
        </w:tabs>
        <w:spacing w:line="360" w:lineRule="auto"/>
        <w:ind w:firstLine="420" w:firstLineChars="200"/>
        <w:rPr>
          <w:color w:val="000000" w:themeColor="text1"/>
          <w14:textFill>
            <w14:solidFill>
              <w14:schemeClr w14:val="tx1"/>
            </w14:solidFill>
          </w14:textFill>
        </w:rPr>
      </w:pPr>
      <w:bookmarkStart w:id="64" w:name="_Toc11848743"/>
      <w:bookmarkStart w:id="65" w:name="_Toc119049806"/>
      <w:r>
        <w:rPr>
          <w:rFonts w:hint="eastAsia"/>
          <w:color w:val="000000" w:themeColor="text1"/>
          <w14:textFill>
            <w14:solidFill>
              <w14:schemeClr w14:val="tx1"/>
            </w14:solidFill>
          </w14:textFill>
        </w:rPr>
        <w:t>（</w:t>
      </w:r>
      <w:r>
        <w:rPr>
          <w:color w:val="000000" w:themeColor="text1"/>
          <w14:textFill>
            <w14:solidFill>
              <w14:schemeClr w14:val="tx1"/>
            </w14:solidFill>
          </w14:textFill>
        </w:rPr>
        <w:t>2</w:t>
      </w:r>
      <w:r>
        <w:rPr>
          <w:rFonts w:hint="eastAsia"/>
          <w:color w:val="000000" w:themeColor="text1"/>
          <w14:textFill>
            <w14:solidFill>
              <w14:schemeClr w14:val="tx1"/>
            </w14:solidFill>
          </w14:textFill>
        </w:rPr>
        <w:t>）预制舱防腐</w:t>
      </w:r>
      <w:bookmarkEnd w:id="64"/>
      <w:bookmarkEnd w:id="65"/>
    </w:p>
    <w:p>
      <w:pPr>
        <w:tabs>
          <w:tab w:val="left" w:pos="1267"/>
        </w:tabs>
        <w:spacing w:line="360" w:lineRule="auto"/>
        <w:ind w:firstLine="420" w:firstLineChars="200"/>
        <w:rPr>
          <w:color w:val="000000" w:themeColor="text1"/>
          <w14:textFill>
            <w14:solidFill>
              <w14:schemeClr w14:val="tx1"/>
            </w14:solidFill>
          </w14:textFill>
        </w:rPr>
      </w:pPr>
      <w:r>
        <w:rPr>
          <w:color w:val="000000" w:themeColor="text1"/>
          <w14:textFill>
            <w14:solidFill>
              <w14:schemeClr w14:val="tx1"/>
            </w14:solidFill>
          </w14:textFill>
        </w:rPr>
        <w:t>1</w:t>
      </w:r>
      <w:r>
        <w:rPr>
          <w:rFonts w:hint="eastAsia"/>
          <w:color w:val="000000" w:themeColor="text1"/>
          <w14:textFill>
            <w14:solidFill>
              <w14:schemeClr w14:val="tx1"/>
            </w14:solidFill>
          </w14:textFill>
        </w:rPr>
        <w:t>）预制舱防腐处理应遵循</w:t>
      </w:r>
      <w:r>
        <w:rPr>
          <w:color w:val="000000" w:themeColor="text1"/>
          <w14:textFill>
            <w14:solidFill>
              <w14:schemeClr w14:val="tx1"/>
            </w14:solidFill>
          </w14:textFill>
        </w:rPr>
        <w:t xml:space="preserve">GB/T 30790.1-2014 </w:t>
      </w:r>
      <w:r>
        <w:rPr>
          <w:rFonts w:hint="eastAsia"/>
          <w:color w:val="000000" w:themeColor="text1"/>
          <w14:textFill>
            <w14:solidFill>
              <w14:schemeClr w14:val="tx1"/>
            </w14:solidFill>
          </w14:textFill>
        </w:rPr>
        <w:t>《色漆和清漆</w:t>
      </w:r>
      <w:r>
        <w:rPr>
          <w:color w:val="000000" w:themeColor="text1"/>
          <w14:textFill>
            <w14:solidFill>
              <w14:schemeClr w14:val="tx1"/>
            </w14:solidFill>
          </w14:textFill>
        </w:rPr>
        <w:t xml:space="preserve"> </w:t>
      </w:r>
      <w:r>
        <w:rPr>
          <w:rFonts w:hint="eastAsia"/>
          <w:color w:val="000000" w:themeColor="text1"/>
          <w14:textFill>
            <w14:solidFill>
              <w14:schemeClr w14:val="tx1"/>
            </w14:solidFill>
          </w14:textFill>
        </w:rPr>
        <w:t>防护涂料体系对钢结构的防腐蚀保护</w:t>
      </w:r>
      <w:r>
        <w:rPr>
          <w:color w:val="000000" w:themeColor="text1"/>
          <w14:textFill>
            <w14:solidFill>
              <w14:schemeClr w14:val="tx1"/>
            </w14:solidFill>
          </w14:textFill>
        </w:rPr>
        <w:t xml:space="preserve"> </w:t>
      </w:r>
      <w:r>
        <w:rPr>
          <w:rFonts w:hint="eastAsia"/>
          <w:color w:val="000000" w:themeColor="text1"/>
          <w14:textFill>
            <w14:solidFill>
              <w14:schemeClr w14:val="tx1"/>
            </w14:solidFill>
          </w14:textFill>
        </w:rPr>
        <w:t>第</w:t>
      </w:r>
      <w:r>
        <w:rPr>
          <w:color w:val="000000" w:themeColor="text1"/>
          <w14:textFill>
            <w14:solidFill>
              <w14:schemeClr w14:val="tx1"/>
            </w14:solidFill>
          </w14:textFill>
        </w:rPr>
        <w:t>1</w:t>
      </w:r>
      <w:r>
        <w:rPr>
          <w:rFonts w:hint="eastAsia"/>
          <w:color w:val="000000" w:themeColor="text1"/>
          <w14:textFill>
            <w14:solidFill>
              <w14:schemeClr w14:val="tx1"/>
            </w14:solidFill>
          </w14:textFill>
        </w:rPr>
        <w:t>部分：总则》、</w:t>
      </w:r>
      <w:r>
        <w:rPr>
          <w:color w:val="000000" w:themeColor="text1"/>
          <w14:textFill>
            <w14:solidFill>
              <w14:schemeClr w14:val="tx1"/>
            </w14:solidFill>
          </w14:textFill>
        </w:rPr>
        <w:t xml:space="preserve">GB/T 30790.4-2014  </w:t>
      </w:r>
      <w:r>
        <w:rPr>
          <w:rFonts w:hint="eastAsia"/>
          <w:color w:val="000000" w:themeColor="text1"/>
          <w14:textFill>
            <w14:solidFill>
              <w14:schemeClr w14:val="tx1"/>
            </w14:solidFill>
          </w14:textFill>
        </w:rPr>
        <w:t>《色漆和清漆</w:t>
      </w:r>
      <w:r>
        <w:rPr>
          <w:color w:val="000000" w:themeColor="text1"/>
          <w14:textFill>
            <w14:solidFill>
              <w14:schemeClr w14:val="tx1"/>
            </w14:solidFill>
          </w14:textFill>
        </w:rPr>
        <w:t xml:space="preserve"> </w:t>
      </w:r>
      <w:r>
        <w:rPr>
          <w:rFonts w:hint="eastAsia"/>
          <w:color w:val="000000" w:themeColor="text1"/>
          <w14:textFill>
            <w14:solidFill>
              <w14:schemeClr w14:val="tx1"/>
            </w14:solidFill>
          </w14:textFill>
        </w:rPr>
        <w:t>防护涂料体系对钢结构的防腐蚀保护</w:t>
      </w:r>
      <w:r>
        <w:rPr>
          <w:color w:val="000000" w:themeColor="text1"/>
          <w14:textFill>
            <w14:solidFill>
              <w14:schemeClr w14:val="tx1"/>
            </w14:solidFill>
          </w14:textFill>
        </w:rPr>
        <w:t xml:space="preserve"> </w:t>
      </w:r>
      <w:r>
        <w:rPr>
          <w:rFonts w:hint="eastAsia"/>
          <w:color w:val="000000" w:themeColor="text1"/>
          <w14:textFill>
            <w14:solidFill>
              <w14:schemeClr w14:val="tx1"/>
            </w14:solidFill>
          </w14:textFill>
        </w:rPr>
        <w:t>第</w:t>
      </w:r>
      <w:r>
        <w:rPr>
          <w:color w:val="000000" w:themeColor="text1"/>
          <w14:textFill>
            <w14:solidFill>
              <w14:schemeClr w14:val="tx1"/>
            </w14:solidFill>
          </w14:textFill>
        </w:rPr>
        <w:t>4</w:t>
      </w:r>
      <w:r>
        <w:rPr>
          <w:rFonts w:hint="eastAsia"/>
          <w:color w:val="000000" w:themeColor="text1"/>
          <w14:textFill>
            <w14:solidFill>
              <w14:schemeClr w14:val="tx1"/>
            </w14:solidFill>
          </w14:textFill>
        </w:rPr>
        <w:t>部分：表面类型和表面处理》标准，采用多道防腐工艺，包括前处理、锌层、中间层、面层等多重处理工艺，前处理需保证钢板表面足够的粗糙度，漆层总厚度不应小于</w:t>
      </w:r>
      <w:r>
        <w:rPr>
          <w:color w:val="000000" w:themeColor="text1"/>
          <w14:textFill>
            <w14:solidFill>
              <w14:schemeClr w14:val="tx1"/>
            </w14:solidFill>
          </w14:textFill>
        </w:rPr>
        <w:t>320</w:t>
      </w:r>
      <w:r>
        <w:rPr>
          <w:rFonts w:hint="eastAsia"/>
          <w:color w:val="000000" w:themeColor="text1"/>
          <w14:textFill>
            <w14:solidFill>
              <w14:schemeClr w14:val="tx1"/>
            </w14:solidFill>
          </w14:textFill>
        </w:rPr>
        <w:t>μ</w:t>
      </w:r>
      <w:r>
        <w:rPr>
          <w:color w:val="000000" w:themeColor="text1"/>
          <w14:textFill>
            <w14:solidFill>
              <w14:schemeClr w14:val="tx1"/>
            </w14:solidFill>
          </w14:textFill>
        </w:rPr>
        <w:t>m</w:t>
      </w:r>
      <w:r>
        <w:rPr>
          <w:rFonts w:hint="eastAsia"/>
          <w:color w:val="000000" w:themeColor="text1"/>
          <w14:textFill>
            <w14:solidFill>
              <w14:schemeClr w14:val="tx1"/>
            </w14:solidFill>
          </w14:textFill>
        </w:rPr>
        <w:t>，保证舱体在</w:t>
      </w:r>
      <w:r>
        <w:rPr>
          <w:color w:val="000000" w:themeColor="text1"/>
          <w14:textFill>
            <w14:solidFill>
              <w14:schemeClr w14:val="tx1"/>
            </w14:solidFill>
          </w14:textFill>
        </w:rPr>
        <w:t>C5</w:t>
      </w:r>
      <w:r>
        <w:rPr>
          <w:rFonts w:hint="eastAsia"/>
          <w:color w:val="000000" w:themeColor="text1"/>
          <w14:textFill>
            <w14:solidFill>
              <w14:schemeClr w14:val="tx1"/>
            </w14:solidFill>
          </w14:textFill>
        </w:rPr>
        <w:t>环境下</w:t>
      </w:r>
      <w:r>
        <w:rPr>
          <w:color w:val="000000" w:themeColor="text1"/>
          <w14:textFill>
            <w14:solidFill>
              <w14:schemeClr w14:val="tx1"/>
            </w14:solidFill>
          </w14:textFill>
        </w:rPr>
        <w:t>15</w:t>
      </w:r>
      <w:r>
        <w:rPr>
          <w:rFonts w:hint="eastAsia"/>
          <w:color w:val="000000" w:themeColor="text1"/>
          <w14:textFill>
            <w14:solidFill>
              <w14:schemeClr w14:val="tx1"/>
            </w14:solidFill>
          </w14:textFill>
        </w:rPr>
        <w:t>年不锈蚀，定期维护的情况下</w:t>
      </w:r>
      <w:r>
        <w:rPr>
          <w:color w:val="000000" w:themeColor="text1"/>
          <w14:textFill>
            <w14:solidFill>
              <w14:schemeClr w14:val="tx1"/>
            </w14:solidFill>
          </w14:textFill>
        </w:rPr>
        <w:t>40</w:t>
      </w:r>
      <w:r>
        <w:rPr>
          <w:rFonts w:hint="eastAsia"/>
          <w:color w:val="000000" w:themeColor="text1"/>
          <w14:textFill>
            <w14:solidFill>
              <w14:schemeClr w14:val="tx1"/>
            </w14:solidFill>
          </w14:textFill>
        </w:rPr>
        <w:t>年不锈蚀。</w:t>
      </w:r>
    </w:p>
    <w:p>
      <w:pPr>
        <w:tabs>
          <w:tab w:val="left" w:pos="1267"/>
        </w:tabs>
        <w:spacing w:line="360" w:lineRule="auto"/>
        <w:ind w:firstLine="420" w:firstLineChars="200"/>
        <w:rPr>
          <w:color w:val="000000" w:themeColor="text1"/>
          <w14:textFill>
            <w14:solidFill>
              <w14:schemeClr w14:val="tx1"/>
            </w14:solidFill>
          </w14:textFill>
        </w:rPr>
      </w:pPr>
      <w:r>
        <w:rPr>
          <w:color w:val="000000" w:themeColor="text1"/>
          <w14:textFill>
            <w14:solidFill>
              <w14:schemeClr w14:val="tx1"/>
            </w14:solidFill>
          </w14:textFill>
        </w:rPr>
        <w:t>2</w:t>
      </w:r>
      <w:r>
        <w:rPr>
          <w:rFonts w:hint="eastAsia"/>
          <w:color w:val="000000" w:themeColor="text1"/>
          <w14:textFill>
            <w14:solidFill>
              <w14:schemeClr w14:val="tx1"/>
            </w14:solidFill>
          </w14:textFill>
        </w:rPr>
        <w:t>）钢材表面涂装前，必须进行表面预处理。在预处理前，去飞边毛刺、锐边尖角进行倒角等清除残留物工作应首先完成，锐边和切割边缘打磨到</w:t>
      </w:r>
      <w:r>
        <w:rPr>
          <w:color w:val="000000" w:themeColor="text1"/>
          <w14:textFill>
            <w14:solidFill>
              <w14:schemeClr w14:val="tx1"/>
            </w14:solidFill>
          </w14:textFill>
        </w:rPr>
        <w:t>R</w:t>
      </w:r>
      <w:r>
        <w:rPr>
          <w:rFonts w:hint="eastAsia"/>
          <w:color w:val="000000" w:themeColor="text1"/>
          <w14:textFill>
            <w14:solidFill>
              <w14:schemeClr w14:val="tx1"/>
            </w14:solidFill>
          </w14:textFill>
        </w:rPr>
        <w:t>≥</w:t>
      </w:r>
      <w:r>
        <w:rPr>
          <w:color w:val="000000" w:themeColor="text1"/>
          <w14:textFill>
            <w14:solidFill>
              <w14:schemeClr w14:val="tx1"/>
            </w14:solidFill>
          </w14:textFill>
        </w:rPr>
        <w:t>2mm</w:t>
      </w:r>
      <w:r>
        <w:rPr>
          <w:rFonts w:hint="eastAsia"/>
          <w:color w:val="000000" w:themeColor="text1"/>
          <w14:textFill>
            <w14:solidFill>
              <w14:schemeClr w14:val="tx1"/>
            </w14:solidFill>
          </w14:textFill>
        </w:rPr>
        <w:t>，并清除所有的焊接飞溅物和焊渣，咬边要进行打磨。</w:t>
      </w:r>
    </w:p>
    <w:p>
      <w:pPr>
        <w:tabs>
          <w:tab w:val="left" w:pos="1267"/>
        </w:tabs>
        <w:spacing w:line="360" w:lineRule="auto"/>
        <w:ind w:firstLine="420" w:firstLineChars="200"/>
        <w:rPr>
          <w:color w:val="000000" w:themeColor="text1"/>
          <w14:textFill>
            <w14:solidFill>
              <w14:schemeClr w14:val="tx1"/>
            </w14:solidFill>
          </w14:textFill>
        </w:rPr>
      </w:pPr>
      <w:r>
        <w:rPr>
          <w:color w:val="000000" w:themeColor="text1"/>
          <w14:textFill>
            <w14:solidFill>
              <w14:schemeClr w14:val="tx1"/>
            </w14:solidFill>
          </w14:textFill>
        </w:rPr>
        <w:t>3</w:t>
      </w:r>
      <w:r>
        <w:rPr>
          <w:rFonts w:hint="eastAsia"/>
          <w:color w:val="000000" w:themeColor="text1"/>
          <w14:textFill>
            <w14:solidFill>
              <w14:schemeClr w14:val="tx1"/>
            </w14:solidFill>
          </w14:textFill>
        </w:rPr>
        <w:t>）钢材表面在涂装前须进行喷砂除锈处理。第一道涂层为防腐油漆时，表面除锈等级应达到</w:t>
      </w:r>
      <w:r>
        <w:rPr>
          <w:color w:val="000000" w:themeColor="text1"/>
          <w14:textFill>
            <w14:solidFill>
              <w14:schemeClr w14:val="tx1"/>
            </w14:solidFill>
          </w14:textFill>
        </w:rPr>
        <w:t xml:space="preserve"> Sa2.5 </w:t>
      </w:r>
      <w:r>
        <w:rPr>
          <w:rFonts w:hint="eastAsia"/>
          <w:color w:val="000000" w:themeColor="text1"/>
          <w14:textFill>
            <w14:solidFill>
              <w14:schemeClr w14:val="tx1"/>
            </w14:solidFill>
          </w14:textFill>
        </w:rPr>
        <w:t>级，平均粗糙度要达到</w:t>
      </w:r>
      <w:r>
        <w:rPr>
          <w:color w:val="000000" w:themeColor="text1"/>
          <w14:textFill>
            <w14:solidFill>
              <w14:schemeClr w14:val="tx1"/>
            </w14:solidFill>
          </w14:textFill>
        </w:rPr>
        <w:t>50~80</w:t>
      </w:r>
      <w:r>
        <w:rPr>
          <w:rFonts w:hint="eastAsia"/>
          <w:color w:val="000000" w:themeColor="text1"/>
          <w14:textFill>
            <w14:solidFill>
              <w14:schemeClr w14:val="tx1"/>
            </w14:solidFill>
          </w14:textFill>
        </w:rPr>
        <w:t>μ</w:t>
      </w:r>
      <w:r>
        <w:rPr>
          <w:color w:val="000000" w:themeColor="text1"/>
          <w14:textFill>
            <w14:solidFill>
              <w14:schemeClr w14:val="tx1"/>
            </w14:solidFill>
          </w14:textFill>
        </w:rPr>
        <w:t>m</w:t>
      </w:r>
      <w:r>
        <w:rPr>
          <w:rFonts w:hint="eastAsia"/>
          <w:color w:val="000000" w:themeColor="text1"/>
          <w14:textFill>
            <w14:solidFill>
              <w14:schemeClr w14:val="tx1"/>
            </w14:solidFill>
          </w14:textFill>
        </w:rPr>
        <w:t>，符合《涂装前钢材表面锈蚀等级和防锈等级》</w:t>
      </w:r>
      <w:r>
        <w:rPr>
          <w:color w:val="000000" w:themeColor="text1"/>
          <w14:textFill>
            <w14:solidFill>
              <w14:schemeClr w14:val="tx1"/>
            </w14:solidFill>
          </w14:textFill>
        </w:rPr>
        <w:t>(GB8923-88)</w:t>
      </w:r>
      <w:r>
        <w:rPr>
          <w:rFonts w:hint="eastAsia"/>
          <w:color w:val="000000" w:themeColor="text1"/>
          <w14:textFill>
            <w14:solidFill>
              <w14:schemeClr w14:val="tx1"/>
            </w14:solidFill>
          </w14:textFill>
        </w:rPr>
        <w:t>的要求；第一道涂层为热浸镀锌或热喷锌时，钢材表面除锈等级应达到</w:t>
      </w:r>
      <w:r>
        <w:rPr>
          <w:color w:val="000000" w:themeColor="text1"/>
          <w14:textFill>
            <w14:solidFill>
              <w14:schemeClr w14:val="tx1"/>
            </w14:solidFill>
          </w14:textFill>
        </w:rPr>
        <w:t xml:space="preserve"> Sa3</w:t>
      </w:r>
      <w:r>
        <w:rPr>
          <w:rFonts w:hint="eastAsia"/>
          <w:color w:val="000000" w:themeColor="text1"/>
          <w14:textFill>
            <w14:solidFill>
              <w14:schemeClr w14:val="tx1"/>
            </w14:solidFill>
          </w14:textFill>
        </w:rPr>
        <w:t>级，平均粗糙度要达到</w:t>
      </w:r>
      <w:r>
        <w:rPr>
          <w:color w:val="000000" w:themeColor="text1"/>
          <w14:textFill>
            <w14:solidFill>
              <w14:schemeClr w14:val="tx1"/>
            </w14:solidFill>
          </w14:textFill>
        </w:rPr>
        <w:t>50~100</w:t>
      </w:r>
      <w:r>
        <w:rPr>
          <w:rFonts w:hint="eastAsia"/>
          <w:color w:val="000000" w:themeColor="text1"/>
          <w14:textFill>
            <w14:solidFill>
              <w14:schemeClr w14:val="tx1"/>
            </w14:solidFill>
          </w14:textFill>
        </w:rPr>
        <w:t>μ</w:t>
      </w:r>
      <w:r>
        <w:rPr>
          <w:color w:val="000000" w:themeColor="text1"/>
          <w14:textFill>
            <w14:solidFill>
              <w14:schemeClr w14:val="tx1"/>
            </w14:solidFill>
          </w14:textFill>
        </w:rPr>
        <w:t>m</w:t>
      </w:r>
      <w:r>
        <w:rPr>
          <w:rFonts w:hint="eastAsia"/>
          <w:color w:val="000000" w:themeColor="text1"/>
          <w14:textFill>
            <w14:solidFill>
              <w14:schemeClr w14:val="tx1"/>
            </w14:solidFill>
          </w14:textFill>
        </w:rPr>
        <w:t>。</w:t>
      </w:r>
    </w:p>
    <w:p>
      <w:pPr>
        <w:tabs>
          <w:tab w:val="left" w:pos="1267"/>
        </w:tabs>
        <w:spacing w:line="360" w:lineRule="auto"/>
        <w:ind w:firstLine="420" w:firstLineChars="200"/>
        <w:rPr>
          <w:color w:val="000000" w:themeColor="text1"/>
          <w14:textFill>
            <w14:solidFill>
              <w14:schemeClr w14:val="tx1"/>
            </w14:solidFill>
          </w14:textFill>
        </w:rPr>
      </w:pPr>
      <w:r>
        <w:rPr>
          <w:color w:val="000000" w:themeColor="text1"/>
          <w14:textFill>
            <w14:solidFill>
              <w14:schemeClr w14:val="tx1"/>
            </w14:solidFill>
          </w14:textFill>
        </w:rPr>
        <w:t>4</w:t>
      </w:r>
      <w:r>
        <w:rPr>
          <w:rFonts w:hint="eastAsia"/>
          <w:color w:val="000000" w:themeColor="text1"/>
          <w14:textFill>
            <w14:solidFill>
              <w14:schemeClr w14:val="tx1"/>
            </w14:solidFill>
          </w14:textFill>
        </w:rPr>
        <w:t>）涂装后应按《漆膜厚度测定法》</w:t>
      </w:r>
      <w:r>
        <w:rPr>
          <w:color w:val="000000" w:themeColor="text1"/>
          <w14:textFill>
            <w14:solidFill>
              <w14:schemeClr w14:val="tx1"/>
            </w14:solidFill>
          </w14:textFill>
        </w:rPr>
        <w:t>(GB/T 13452.2-2008)</w:t>
      </w:r>
      <w:r>
        <w:rPr>
          <w:rFonts w:hint="eastAsia"/>
          <w:color w:val="000000" w:themeColor="text1"/>
          <w14:textFill>
            <w14:solidFill>
              <w14:schemeClr w14:val="tx1"/>
            </w14:solidFill>
          </w14:textFill>
        </w:rPr>
        <w:t>中规定的方法进行涂层干膜厚度测定。干膜厚度应大于或等于设计厚度值者应占检测点总数的</w:t>
      </w:r>
      <w:r>
        <w:rPr>
          <w:color w:val="000000" w:themeColor="text1"/>
          <w14:textFill>
            <w14:solidFill>
              <w14:schemeClr w14:val="tx1"/>
            </w14:solidFill>
          </w14:textFill>
        </w:rPr>
        <w:t>90%</w:t>
      </w:r>
      <w:r>
        <w:rPr>
          <w:rFonts w:hint="eastAsia"/>
          <w:color w:val="000000" w:themeColor="text1"/>
          <w14:textFill>
            <w14:solidFill>
              <w14:schemeClr w14:val="tx1"/>
            </w14:solidFill>
          </w14:textFill>
        </w:rPr>
        <w:t>以上，其它测点的干膜厚度也不应低于</w:t>
      </w:r>
      <w:r>
        <w:rPr>
          <w:color w:val="000000" w:themeColor="text1"/>
          <w14:textFill>
            <w14:solidFill>
              <w14:schemeClr w14:val="tx1"/>
            </w14:solidFill>
          </w14:textFill>
        </w:rPr>
        <w:t>90%</w:t>
      </w:r>
      <w:r>
        <w:rPr>
          <w:rFonts w:hint="eastAsia"/>
          <w:color w:val="000000" w:themeColor="text1"/>
          <w14:textFill>
            <w14:solidFill>
              <w14:schemeClr w14:val="tx1"/>
            </w14:solidFill>
          </w14:textFill>
        </w:rPr>
        <w:t>的设计厚度值，当不符合上述要求时，应根据情况进行局部或全面修补。</w:t>
      </w:r>
    </w:p>
    <w:p>
      <w:pPr>
        <w:tabs>
          <w:tab w:val="left" w:pos="1267"/>
        </w:tabs>
        <w:spacing w:line="360" w:lineRule="auto"/>
        <w:ind w:firstLine="420" w:firstLineChars="200"/>
        <w:rPr>
          <w:color w:val="000000" w:themeColor="text1"/>
          <w14:textFill>
            <w14:solidFill>
              <w14:schemeClr w14:val="tx1"/>
            </w14:solidFill>
          </w14:textFill>
        </w:rPr>
      </w:pPr>
      <w:r>
        <w:rPr>
          <w:rFonts w:hint="eastAsia"/>
          <w:color w:val="000000" w:themeColor="text1"/>
          <w14:textFill>
            <w14:solidFill>
              <w14:schemeClr w14:val="tx1"/>
            </w14:solidFill>
          </w14:textFill>
        </w:rPr>
        <w:t>预制舱舱体外壳应需具备交变盐雾条件下良好的防腐性能，达到严酷等级（</w:t>
      </w:r>
      <w:r>
        <w:rPr>
          <w:color w:val="000000" w:themeColor="text1"/>
          <w14:textFill>
            <w14:solidFill>
              <w14:schemeClr w14:val="tx1"/>
            </w14:solidFill>
          </w14:textFill>
        </w:rPr>
        <w:t>2</w:t>
      </w:r>
      <w:r>
        <w:rPr>
          <w:rFonts w:hint="eastAsia"/>
          <w:color w:val="000000" w:themeColor="text1"/>
          <w14:textFill>
            <w14:solidFill>
              <w14:schemeClr w14:val="tx1"/>
            </w14:solidFill>
          </w14:textFill>
        </w:rPr>
        <w:t>）标准并提供相应的专业机构检测报告。</w:t>
      </w:r>
    </w:p>
    <w:p>
      <w:pPr>
        <w:tabs>
          <w:tab w:val="left" w:pos="1267"/>
        </w:tabs>
        <w:spacing w:line="360" w:lineRule="auto"/>
        <w:ind w:firstLine="420" w:firstLineChars="200"/>
        <w:rPr>
          <w:color w:val="000000" w:themeColor="text1"/>
          <w14:textFill>
            <w14:solidFill>
              <w14:schemeClr w14:val="tx1"/>
            </w14:solidFill>
          </w14:textFill>
        </w:rPr>
      </w:pPr>
      <w:r>
        <w:rPr>
          <w:rFonts w:hint="eastAsia"/>
          <w:color w:val="000000" w:themeColor="text1"/>
          <w14:textFill>
            <w14:solidFill>
              <w14:schemeClr w14:val="tx1"/>
            </w14:solidFill>
          </w14:textFill>
        </w:rPr>
        <w:t>预制舱舱体外壳应需具备盐雾条件下良好的防腐性能，达到耐中性盐雾时间</w:t>
      </w:r>
      <w:r>
        <w:rPr>
          <w:color w:val="000000" w:themeColor="text1"/>
          <w14:textFill>
            <w14:solidFill>
              <w14:schemeClr w14:val="tx1"/>
            </w14:solidFill>
          </w14:textFill>
        </w:rPr>
        <w:t>1440</w:t>
      </w:r>
      <w:r>
        <w:rPr>
          <w:rFonts w:hint="eastAsia"/>
          <w:color w:val="000000" w:themeColor="text1"/>
          <w14:textFill>
            <w14:solidFill>
              <w14:schemeClr w14:val="tx1"/>
            </w14:solidFill>
          </w14:textFill>
        </w:rPr>
        <w:t>小时以上并提供相应的专业机构检测报告。</w:t>
      </w:r>
    </w:p>
    <w:p>
      <w:pPr>
        <w:tabs>
          <w:tab w:val="left" w:pos="1267"/>
        </w:tabs>
        <w:spacing w:line="360" w:lineRule="auto"/>
        <w:ind w:firstLine="420" w:firstLineChars="200"/>
        <w:rPr>
          <w:color w:val="000000" w:themeColor="text1"/>
          <w14:textFill>
            <w14:solidFill>
              <w14:schemeClr w14:val="tx1"/>
            </w14:solidFill>
          </w14:textFill>
        </w:rPr>
      </w:pPr>
      <w:r>
        <w:rPr>
          <w:rFonts w:hint="eastAsia"/>
          <w:color w:val="000000" w:themeColor="text1"/>
          <w14:textFill>
            <w14:solidFill>
              <w14:schemeClr w14:val="tx1"/>
            </w14:solidFill>
          </w14:textFill>
        </w:rPr>
        <w:t>预制舱舱体外壳应需具备凝露条件下良好的防腐性能，达到耐凝露时间</w:t>
      </w:r>
      <w:r>
        <w:rPr>
          <w:color w:val="000000" w:themeColor="text1"/>
          <w14:textFill>
            <w14:solidFill>
              <w14:schemeClr w14:val="tx1"/>
            </w14:solidFill>
          </w14:textFill>
        </w:rPr>
        <w:t>720</w:t>
      </w:r>
      <w:r>
        <w:rPr>
          <w:rFonts w:hint="eastAsia"/>
          <w:color w:val="000000" w:themeColor="text1"/>
          <w14:textFill>
            <w14:solidFill>
              <w14:schemeClr w14:val="tx1"/>
            </w14:solidFill>
          </w14:textFill>
        </w:rPr>
        <w:t>小时以上并提供相应的专业机构检测报告。</w:t>
      </w:r>
    </w:p>
    <w:p>
      <w:pPr>
        <w:tabs>
          <w:tab w:val="left" w:pos="1267"/>
        </w:tabs>
        <w:spacing w:line="360" w:lineRule="auto"/>
        <w:ind w:firstLine="420" w:firstLineChars="200"/>
        <w:rPr>
          <w:color w:val="000000" w:themeColor="text1"/>
          <w14:textFill>
            <w14:solidFill>
              <w14:schemeClr w14:val="tx1"/>
            </w14:solidFill>
          </w14:textFill>
        </w:rPr>
      </w:pPr>
      <w:r>
        <w:rPr>
          <w:rFonts w:hint="eastAsia"/>
          <w:color w:val="000000" w:themeColor="text1"/>
          <w14:textFill>
            <w14:solidFill>
              <w14:schemeClr w14:val="tx1"/>
            </w14:solidFill>
          </w14:textFill>
        </w:rPr>
        <w:t>舱体防腐必须满足或优于下列要求：底漆采用进口或优质富锌底漆，中间漆采用环氧云铁厚浆树脂漆，面漆选用聚天门东氨酸脂漆或氟碳类聚硅氟烷类漆。</w:t>
      </w:r>
    </w:p>
    <w:p>
      <w:pPr>
        <w:tabs>
          <w:tab w:val="left" w:pos="1267"/>
        </w:tabs>
        <w:spacing w:line="360" w:lineRule="auto"/>
        <w:ind w:firstLine="420" w:firstLineChars="200"/>
        <w:rPr>
          <w:color w:val="000000" w:themeColor="text1"/>
          <w14:textFill>
            <w14:solidFill>
              <w14:schemeClr w14:val="tx1"/>
            </w14:solidFill>
          </w14:textFill>
        </w:rPr>
      </w:pPr>
      <w:r>
        <w:rPr>
          <w:color w:val="000000" w:themeColor="text1"/>
          <w14:textFill>
            <w14:solidFill>
              <w14:schemeClr w14:val="tx1"/>
            </w14:solidFill>
          </w14:textFill>
        </w:rPr>
        <w:t>5</w:t>
      </w:r>
      <w:r>
        <w:rPr>
          <w:rFonts w:hint="eastAsia"/>
          <w:color w:val="000000" w:themeColor="text1"/>
          <w14:textFill>
            <w14:solidFill>
              <w14:schemeClr w14:val="tx1"/>
            </w14:solidFill>
          </w14:textFill>
        </w:rPr>
        <w:t>）户外不可采用冷镀锌部件，热镀锌钢件应符合</w:t>
      </w:r>
      <w:r>
        <w:rPr>
          <w:color w:val="000000" w:themeColor="text1"/>
          <w14:textFill>
            <w14:solidFill>
              <w14:schemeClr w14:val="tx1"/>
            </w14:solidFill>
          </w14:textFill>
        </w:rPr>
        <w:t>GB/T 13912</w:t>
      </w:r>
      <w:r>
        <w:rPr>
          <w:rFonts w:hint="eastAsia"/>
          <w:color w:val="000000" w:themeColor="text1"/>
          <w14:textFill>
            <w14:solidFill>
              <w14:schemeClr w14:val="tx1"/>
            </w14:solidFill>
          </w14:textFill>
        </w:rPr>
        <w:t>的要求。</w:t>
      </w:r>
    </w:p>
    <w:p>
      <w:pPr>
        <w:tabs>
          <w:tab w:val="left" w:pos="1267"/>
        </w:tabs>
        <w:spacing w:line="360" w:lineRule="auto"/>
        <w:ind w:firstLine="420" w:firstLineChars="200"/>
        <w:rPr>
          <w:color w:val="000000" w:themeColor="text1"/>
          <w14:textFill>
            <w14:solidFill>
              <w14:schemeClr w14:val="tx1"/>
            </w14:solidFill>
          </w14:textFill>
        </w:rPr>
      </w:pPr>
      <w:bookmarkStart w:id="66" w:name="_Toc119049807"/>
      <w:bookmarkStart w:id="67" w:name="_Toc11848744"/>
      <w:r>
        <w:rPr>
          <w:rFonts w:hint="eastAsia"/>
          <w:color w:val="000000" w:themeColor="text1"/>
          <w14:textFill>
            <w14:solidFill>
              <w14:schemeClr w14:val="tx1"/>
            </w14:solidFill>
          </w14:textFill>
        </w:rPr>
        <w:t>（</w:t>
      </w:r>
      <w:r>
        <w:rPr>
          <w:color w:val="000000" w:themeColor="text1"/>
          <w14:textFill>
            <w14:solidFill>
              <w14:schemeClr w14:val="tx1"/>
            </w14:solidFill>
          </w14:textFill>
        </w:rPr>
        <w:t>3</w:t>
      </w:r>
      <w:r>
        <w:rPr>
          <w:rFonts w:hint="eastAsia"/>
          <w:color w:val="000000" w:themeColor="text1"/>
          <w14:textFill>
            <w14:solidFill>
              <w14:schemeClr w14:val="tx1"/>
            </w14:solidFill>
          </w14:textFill>
        </w:rPr>
        <w:t>）预制舱保温</w:t>
      </w:r>
      <w:bookmarkEnd w:id="66"/>
      <w:bookmarkEnd w:id="67"/>
    </w:p>
    <w:p>
      <w:pPr>
        <w:tabs>
          <w:tab w:val="left" w:pos="1267"/>
        </w:tabs>
        <w:spacing w:line="360" w:lineRule="auto"/>
        <w:ind w:firstLine="420" w:firstLineChars="200"/>
        <w:rPr>
          <w:color w:val="000000" w:themeColor="text1"/>
          <w14:textFill>
            <w14:solidFill>
              <w14:schemeClr w14:val="tx1"/>
            </w14:solidFill>
          </w14:textFill>
        </w:rPr>
      </w:pPr>
      <w:r>
        <w:rPr>
          <w:color w:val="000000" w:themeColor="text1"/>
          <w14:textFill>
            <w14:solidFill>
              <w14:schemeClr w14:val="tx1"/>
            </w14:solidFill>
          </w14:textFill>
        </w:rPr>
        <w:t>1</w:t>
      </w:r>
      <w:r>
        <w:rPr>
          <w:rFonts w:hint="eastAsia"/>
          <w:color w:val="000000" w:themeColor="text1"/>
          <w14:textFill>
            <w14:solidFill>
              <w14:schemeClr w14:val="tx1"/>
            </w14:solidFill>
          </w14:textFill>
        </w:rPr>
        <w:t>）预制舱舱体应运用“冰箱”保温措施与工艺，采用多层复合保温结构，（内部填充物采用建设部许可保温材料，确保整个预制舱的保温和防火性能）</w:t>
      </w:r>
      <w:r>
        <w:rPr>
          <w:color w:val="000000" w:themeColor="text1"/>
          <w14:textFill>
            <w14:solidFill>
              <w14:schemeClr w14:val="tx1"/>
            </w14:solidFill>
          </w14:textFill>
        </w:rPr>
        <w:t>+</w:t>
      </w:r>
      <w:r>
        <w:rPr>
          <w:rFonts w:hint="eastAsia"/>
          <w:color w:val="000000" w:themeColor="text1"/>
          <w14:textFill>
            <w14:solidFill>
              <w14:schemeClr w14:val="tx1"/>
            </w14:solidFill>
          </w14:textFill>
        </w:rPr>
        <w:t>环保防火装修层，壁板厚度不小于</w:t>
      </w:r>
      <w:r>
        <w:rPr>
          <w:color w:val="000000" w:themeColor="text1"/>
          <w14:textFill>
            <w14:solidFill>
              <w14:schemeClr w14:val="tx1"/>
            </w14:solidFill>
          </w14:textFill>
        </w:rPr>
        <w:t>120mm</w:t>
      </w:r>
      <w:r>
        <w:rPr>
          <w:rFonts w:hint="eastAsia"/>
          <w:color w:val="000000" w:themeColor="text1"/>
          <w14:textFill>
            <w14:solidFill>
              <w14:schemeClr w14:val="tx1"/>
            </w14:solidFill>
          </w14:textFill>
        </w:rPr>
        <w:t>，保证保温功效。保温材料导热系数不大于</w:t>
      </w:r>
      <w:r>
        <w:rPr>
          <w:color w:val="000000" w:themeColor="text1"/>
          <w14:textFill>
            <w14:solidFill>
              <w14:schemeClr w14:val="tx1"/>
            </w14:solidFill>
          </w14:textFill>
        </w:rPr>
        <w:t>0.04 W/(m</w:t>
      </w:r>
      <w:r>
        <w:rPr>
          <w:rFonts w:hint="eastAsia"/>
          <w:color w:val="000000" w:themeColor="text1"/>
          <w14:textFill>
            <w14:solidFill>
              <w14:schemeClr w14:val="tx1"/>
            </w14:solidFill>
          </w14:textFill>
        </w:rPr>
        <w:t>•</w:t>
      </w:r>
      <w:r>
        <w:rPr>
          <w:color w:val="000000" w:themeColor="text1"/>
          <w14:textFill>
            <w14:solidFill>
              <w14:schemeClr w14:val="tx1"/>
            </w14:solidFill>
          </w14:textFill>
        </w:rPr>
        <w:t>K)</w:t>
      </w:r>
      <w:r>
        <w:rPr>
          <w:rFonts w:hint="eastAsia"/>
          <w:color w:val="000000" w:themeColor="text1"/>
          <w14:textFill>
            <w14:solidFill>
              <w14:schemeClr w14:val="tx1"/>
            </w14:solidFill>
          </w14:textFill>
        </w:rPr>
        <w:t>；</w:t>
      </w:r>
    </w:p>
    <w:p>
      <w:pPr>
        <w:tabs>
          <w:tab w:val="left" w:pos="1267"/>
        </w:tabs>
        <w:spacing w:line="360" w:lineRule="auto"/>
        <w:ind w:firstLine="420" w:firstLineChars="200"/>
        <w:rPr>
          <w:color w:val="000000" w:themeColor="text1"/>
          <w14:textFill>
            <w14:solidFill>
              <w14:schemeClr w14:val="tx1"/>
            </w14:solidFill>
          </w14:textFill>
        </w:rPr>
      </w:pPr>
      <w:r>
        <w:rPr>
          <w:rFonts w:hint="eastAsia"/>
          <w:color w:val="000000" w:themeColor="text1"/>
          <w14:textFill>
            <w14:solidFill>
              <w14:schemeClr w14:val="tx1"/>
            </w14:solidFill>
          </w14:textFill>
        </w:rPr>
        <w:t>☆投标厂家需保证舱体良好的隔热保温性能并在投标文件中提供在实际工况条件下的测试报告。</w:t>
      </w:r>
    </w:p>
    <w:p>
      <w:pPr>
        <w:tabs>
          <w:tab w:val="left" w:pos="1267"/>
        </w:tabs>
        <w:spacing w:line="360" w:lineRule="auto"/>
        <w:ind w:firstLine="420" w:firstLineChars="200"/>
        <w:rPr>
          <w:color w:val="000000" w:themeColor="text1"/>
          <w14:textFill>
            <w14:solidFill>
              <w14:schemeClr w14:val="tx1"/>
            </w14:solidFill>
          </w14:textFill>
        </w:rPr>
      </w:pPr>
      <w:r>
        <w:rPr>
          <w:color w:val="000000" w:themeColor="text1"/>
          <w14:textFill>
            <w14:solidFill>
              <w14:schemeClr w14:val="tx1"/>
            </w14:solidFill>
          </w14:textFill>
        </w:rPr>
        <w:t>2</w:t>
      </w:r>
      <w:r>
        <w:rPr>
          <w:rFonts w:hint="eastAsia"/>
          <w:color w:val="000000" w:themeColor="text1"/>
          <w14:textFill>
            <w14:solidFill>
              <w14:schemeClr w14:val="tx1"/>
            </w14:solidFill>
          </w14:textFill>
        </w:rPr>
        <w:t>）舱体内设置自动温控系统，并加装工业型加热装置，具备长时间加热功能，不得采用民用电暖气或暖风机，以保证舱体内的运行环境的稳定性。室外运行环境常年冬季温度不低于</w:t>
      </w:r>
      <w:r>
        <w:rPr>
          <w:color w:val="000000" w:themeColor="text1"/>
          <w14:textFill>
            <w14:solidFill>
              <w14:schemeClr w14:val="tx1"/>
            </w14:solidFill>
          </w14:textFill>
        </w:rPr>
        <w:t>-15</w:t>
      </w:r>
      <w:r>
        <w:rPr>
          <w:rFonts w:hint="eastAsia"/>
          <w:color w:val="000000" w:themeColor="text1"/>
          <w14:textFill>
            <w14:solidFill>
              <w14:schemeClr w14:val="tx1"/>
            </w14:solidFill>
          </w14:textFill>
        </w:rPr>
        <w:t>℃地区的项目可不配置电暖气。</w:t>
      </w:r>
    </w:p>
    <w:p>
      <w:pPr>
        <w:tabs>
          <w:tab w:val="left" w:pos="1267"/>
        </w:tabs>
        <w:spacing w:line="360" w:lineRule="auto"/>
        <w:ind w:firstLine="420" w:firstLineChars="200"/>
        <w:rPr>
          <w:color w:val="000000" w:themeColor="text1"/>
          <w14:textFill>
            <w14:solidFill>
              <w14:schemeClr w14:val="tx1"/>
            </w14:solidFill>
          </w14:textFill>
        </w:rPr>
      </w:pPr>
      <w:r>
        <w:rPr>
          <w:color w:val="000000" w:themeColor="text1"/>
          <w14:textFill>
            <w14:solidFill>
              <w14:schemeClr w14:val="tx1"/>
            </w14:solidFill>
          </w14:textFill>
        </w:rPr>
        <w:t>3</w:t>
      </w:r>
      <w:r>
        <w:rPr>
          <w:rFonts w:hint="eastAsia"/>
          <w:color w:val="000000" w:themeColor="text1"/>
          <w14:textFill>
            <w14:solidFill>
              <w14:schemeClr w14:val="tx1"/>
            </w14:solidFill>
          </w14:textFill>
        </w:rPr>
        <w:t>）根据舱体大小，选择合适的空调匹数</w:t>
      </w:r>
      <w:r>
        <w:rPr>
          <w:color w:val="000000" w:themeColor="text1"/>
          <w14:textFill>
            <w14:solidFill>
              <w14:schemeClr w14:val="tx1"/>
            </w14:solidFill>
          </w14:textFill>
        </w:rPr>
        <w:t>(</w:t>
      </w:r>
      <w:r>
        <w:rPr>
          <w:rFonts w:hint="eastAsia"/>
          <w:color w:val="000000" w:themeColor="text1"/>
          <w14:textFill>
            <w14:solidFill>
              <w14:schemeClr w14:val="tx1"/>
            </w14:solidFill>
          </w14:textFill>
        </w:rPr>
        <w:t>工业型</w:t>
      </w:r>
      <w:r>
        <w:rPr>
          <w:color w:val="000000" w:themeColor="text1"/>
          <w14:textFill>
            <w14:solidFill>
              <w14:schemeClr w14:val="tx1"/>
            </w14:solidFill>
          </w14:textFill>
        </w:rPr>
        <w:t>)</w:t>
      </w:r>
      <w:r>
        <w:rPr>
          <w:rFonts w:hint="eastAsia"/>
          <w:color w:val="000000" w:themeColor="text1"/>
          <w14:textFill>
            <w14:solidFill>
              <w14:schemeClr w14:val="tx1"/>
            </w14:solidFill>
          </w14:textFill>
        </w:rPr>
        <w:t>及数量</w:t>
      </w:r>
      <w:r>
        <w:rPr>
          <w:color w:val="000000" w:themeColor="text1"/>
          <w14:textFill>
            <w14:solidFill>
              <w14:schemeClr w14:val="tx1"/>
            </w14:solidFill>
          </w14:textFill>
        </w:rPr>
        <w:t>,</w:t>
      </w:r>
      <w:r>
        <w:rPr>
          <w:rFonts w:hint="eastAsia"/>
          <w:color w:val="000000" w:themeColor="text1"/>
          <w14:textFill>
            <w14:solidFill>
              <w14:schemeClr w14:val="tx1"/>
            </w14:solidFill>
          </w14:textFill>
        </w:rPr>
        <w:t>普通空调需在箱体长度方向均匀布置，使舱内温度得到均匀调整和控制；开关柜舱、二次舱舱体内应按需装设微正压空调，并配套微正压循环风道，风道上均匀设置流量可调的出风阀门，出风口间距不大于</w:t>
      </w:r>
      <w:r>
        <w:rPr>
          <w:color w:val="000000" w:themeColor="text1"/>
          <w14:textFill>
            <w14:solidFill>
              <w14:schemeClr w14:val="tx1"/>
            </w14:solidFill>
          </w14:textFill>
        </w:rPr>
        <w:t>1.5m</w:t>
      </w:r>
      <w:r>
        <w:rPr>
          <w:rFonts w:hint="eastAsia"/>
          <w:color w:val="000000" w:themeColor="text1"/>
          <w14:textFill>
            <w14:solidFill>
              <w14:schemeClr w14:val="tx1"/>
            </w14:solidFill>
          </w14:textFill>
        </w:rPr>
        <w:t>。</w:t>
      </w:r>
    </w:p>
    <w:p>
      <w:pPr>
        <w:tabs>
          <w:tab w:val="left" w:pos="1267"/>
        </w:tabs>
        <w:spacing w:line="360" w:lineRule="auto"/>
        <w:ind w:firstLine="420" w:firstLineChars="200"/>
        <w:rPr>
          <w:color w:val="000000" w:themeColor="text1"/>
          <w14:textFill>
            <w14:solidFill>
              <w14:schemeClr w14:val="tx1"/>
            </w14:solidFill>
          </w14:textFill>
        </w:rPr>
      </w:pPr>
      <w:r>
        <w:rPr>
          <w:rFonts w:hint="eastAsia"/>
          <w:color w:val="000000" w:themeColor="text1"/>
          <w14:textFill>
            <w14:solidFill>
              <w14:schemeClr w14:val="tx1"/>
            </w14:solidFill>
          </w14:textFill>
        </w:rPr>
        <w:t>舱内空调配置原则如下：</w:t>
      </w:r>
    </w:p>
    <w:p>
      <w:pPr>
        <w:tabs>
          <w:tab w:val="left" w:pos="1267"/>
        </w:tabs>
        <w:spacing w:line="360" w:lineRule="auto"/>
        <w:ind w:firstLine="420" w:firstLineChars="200"/>
        <w:rPr>
          <w:color w:val="000000" w:themeColor="text1"/>
          <w14:textFill>
            <w14:solidFill>
              <w14:schemeClr w14:val="tx1"/>
            </w14:solidFill>
          </w14:textFill>
        </w:rPr>
      </w:pPr>
      <w:r>
        <w:rPr>
          <w:color w:val="000000" w:themeColor="text1"/>
          <w14:textFill>
            <w14:solidFill>
              <w14:schemeClr w14:val="tx1"/>
            </w14:solidFill>
          </w14:textFill>
        </w:rPr>
        <w:t xml:space="preserve">A: </w:t>
      </w:r>
      <w:r>
        <w:rPr>
          <w:rFonts w:hint="eastAsia"/>
          <w:color w:val="000000" w:themeColor="text1"/>
          <w14:textFill>
            <w14:solidFill>
              <w14:schemeClr w14:val="tx1"/>
            </w14:solidFill>
          </w14:textFill>
        </w:rPr>
        <w:t>最高环境温度大于</w:t>
      </w:r>
      <w:r>
        <w:rPr>
          <w:color w:val="000000" w:themeColor="text1"/>
          <w14:textFill>
            <w14:solidFill>
              <w14:schemeClr w14:val="tx1"/>
            </w14:solidFill>
          </w14:textFill>
        </w:rPr>
        <w:t>45</w:t>
      </w:r>
      <w:r>
        <w:rPr>
          <w:rFonts w:hint="eastAsia"/>
          <w:color w:val="000000" w:themeColor="text1"/>
          <w14:textFill>
            <w14:solidFill>
              <w14:schemeClr w14:val="tx1"/>
            </w14:solidFill>
          </w14:textFill>
        </w:rPr>
        <w:t>℃时，箱体每平方米所需制冷量为</w:t>
      </w:r>
      <w:r>
        <w:rPr>
          <w:color w:val="000000" w:themeColor="text1"/>
          <w14:textFill>
            <w14:solidFill>
              <w14:schemeClr w14:val="tx1"/>
            </w14:solidFill>
          </w14:textFill>
        </w:rPr>
        <w:t>200W</w:t>
      </w:r>
      <w:r>
        <w:rPr>
          <w:rFonts w:hint="eastAsia"/>
          <w:color w:val="000000" w:themeColor="text1"/>
          <w14:textFill>
            <w14:solidFill>
              <w14:schemeClr w14:val="tx1"/>
            </w14:solidFill>
          </w14:textFill>
        </w:rPr>
        <w:t>。</w:t>
      </w:r>
    </w:p>
    <w:p>
      <w:pPr>
        <w:tabs>
          <w:tab w:val="left" w:pos="1267"/>
        </w:tabs>
        <w:spacing w:line="360" w:lineRule="auto"/>
        <w:ind w:firstLine="420" w:firstLineChars="200"/>
        <w:rPr>
          <w:color w:val="000000" w:themeColor="text1"/>
          <w14:textFill>
            <w14:solidFill>
              <w14:schemeClr w14:val="tx1"/>
            </w14:solidFill>
          </w14:textFill>
        </w:rPr>
      </w:pPr>
      <w:r>
        <w:rPr>
          <w:color w:val="000000" w:themeColor="text1"/>
          <w14:textFill>
            <w14:solidFill>
              <w14:schemeClr w14:val="tx1"/>
            </w14:solidFill>
          </w14:textFill>
        </w:rPr>
        <w:t xml:space="preserve">B: </w:t>
      </w:r>
      <w:r>
        <w:rPr>
          <w:rFonts w:hint="eastAsia"/>
          <w:color w:val="000000" w:themeColor="text1"/>
          <w14:textFill>
            <w14:solidFill>
              <w14:schemeClr w14:val="tx1"/>
            </w14:solidFill>
          </w14:textFill>
        </w:rPr>
        <w:t>最高环境温度小于</w:t>
      </w:r>
      <w:r>
        <w:rPr>
          <w:color w:val="000000" w:themeColor="text1"/>
          <w14:textFill>
            <w14:solidFill>
              <w14:schemeClr w14:val="tx1"/>
            </w14:solidFill>
          </w14:textFill>
        </w:rPr>
        <w:t>45</w:t>
      </w:r>
      <w:r>
        <w:rPr>
          <w:rFonts w:hint="eastAsia"/>
          <w:color w:val="000000" w:themeColor="text1"/>
          <w14:textFill>
            <w14:solidFill>
              <w14:schemeClr w14:val="tx1"/>
            </w14:solidFill>
          </w14:textFill>
        </w:rPr>
        <w:t>℃时，箱体每平方米所需制冷量为</w:t>
      </w:r>
      <w:r>
        <w:rPr>
          <w:color w:val="000000" w:themeColor="text1"/>
          <w14:textFill>
            <w14:solidFill>
              <w14:schemeClr w14:val="tx1"/>
            </w14:solidFill>
          </w14:textFill>
        </w:rPr>
        <w:t>150W</w:t>
      </w:r>
      <w:r>
        <w:rPr>
          <w:rFonts w:hint="eastAsia"/>
          <w:color w:val="000000" w:themeColor="text1"/>
          <w14:textFill>
            <w14:solidFill>
              <w14:schemeClr w14:val="tx1"/>
            </w14:solidFill>
          </w14:textFill>
        </w:rPr>
        <w:t>。</w:t>
      </w:r>
    </w:p>
    <w:p>
      <w:pPr>
        <w:tabs>
          <w:tab w:val="left" w:pos="1267"/>
        </w:tabs>
        <w:spacing w:line="360" w:lineRule="auto"/>
        <w:ind w:firstLine="420" w:firstLineChars="200"/>
        <w:rPr>
          <w:color w:val="000000" w:themeColor="text1"/>
          <w14:textFill>
            <w14:solidFill>
              <w14:schemeClr w14:val="tx1"/>
            </w14:solidFill>
          </w14:textFill>
        </w:rPr>
      </w:pPr>
      <w:r>
        <w:rPr>
          <w:color w:val="000000" w:themeColor="text1"/>
          <w14:textFill>
            <w14:solidFill>
              <w14:schemeClr w14:val="tx1"/>
            </w14:solidFill>
          </w14:textFill>
        </w:rPr>
        <w:t>4</w:t>
      </w:r>
      <w:r>
        <w:rPr>
          <w:rFonts w:hint="eastAsia"/>
          <w:color w:val="000000" w:themeColor="text1"/>
          <w14:textFill>
            <w14:solidFill>
              <w14:schemeClr w14:val="tx1"/>
            </w14:solidFill>
          </w14:textFill>
        </w:rPr>
        <w:t>）舱内相对湿度：不大于</w:t>
      </w:r>
      <w:r>
        <w:rPr>
          <w:color w:val="000000" w:themeColor="text1"/>
          <w14:textFill>
            <w14:solidFill>
              <w14:schemeClr w14:val="tx1"/>
            </w14:solidFill>
          </w14:textFill>
        </w:rPr>
        <w:t>75%</w:t>
      </w:r>
      <w:r>
        <w:rPr>
          <w:rFonts w:hint="eastAsia"/>
          <w:color w:val="000000" w:themeColor="text1"/>
          <w14:textFill>
            <w14:solidFill>
              <w14:schemeClr w14:val="tx1"/>
            </w14:solidFill>
          </w14:textFill>
        </w:rPr>
        <w:t>，任何情况下无凝露；舱体除做好密封防潮措施外，还应根据舱体尺寸配备除湿机，以</w:t>
      </w:r>
      <w:r>
        <w:rPr>
          <w:color w:val="000000" w:themeColor="text1"/>
          <w14:textFill>
            <w14:solidFill>
              <w14:schemeClr w14:val="tx1"/>
            </w14:solidFill>
          </w14:textFill>
        </w:rPr>
        <w:t>38L</w:t>
      </w:r>
      <w:r>
        <w:rPr>
          <w:rFonts w:hint="eastAsia"/>
          <w:color w:val="000000" w:themeColor="text1"/>
          <w14:textFill>
            <w14:solidFill>
              <w14:schemeClr w14:val="tx1"/>
            </w14:solidFill>
          </w14:textFill>
        </w:rPr>
        <w:t>每天除湿量除湿机为例</w:t>
      </w:r>
      <w:r>
        <w:rPr>
          <w:color w:val="000000" w:themeColor="text1"/>
          <w14:textFill>
            <w14:solidFill>
              <w14:schemeClr w14:val="tx1"/>
            </w14:solidFill>
          </w14:textFill>
        </w:rPr>
        <w:t>,</w:t>
      </w:r>
      <w:r>
        <w:rPr>
          <w:rFonts w:hint="eastAsia"/>
          <w:color w:val="000000" w:themeColor="text1"/>
          <w14:textFill>
            <w14:solidFill>
              <w14:schemeClr w14:val="tx1"/>
            </w14:solidFill>
          </w14:textFill>
        </w:rPr>
        <w:t>配置原则如下：</w:t>
      </w:r>
    </w:p>
    <w:p>
      <w:pPr>
        <w:tabs>
          <w:tab w:val="left" w:pos="1267"/>
        </w:tabs>
        <w:spacing w:line="360" w:lineRule="auto"/>
        <w:ind w:firstLine="420" w:firstLineChars="200"/>
        <w:rPr>
          <w:color w:val="000000" w:themeColor="text1"/>
          <w14:textFill>
            <w14:solidFill>
              <w14:schemeClr w14:val="tx1"/>
            </w14:solidFill>
          </w14:textFill>
        </w:rPr>
      </w:pPr>
      <w:r>
        <w:rPr>
          <w:color w:val="000000" w:themeColor="text1"/>
          <w14:textFill>
            <w14:solidFill>
              <w14:schemeClr w14:val="tx1"/>
            </w14:solidFill>
          </w14:textFill>
        </w:rPr>
        <w:t>A:</w:t>
      </w:r>
      <w:r>
        <w:rPr>
          <w:rFonts w:hint="eastAsia"/>
          <w:color w:val="000000" w:themeColor="text1"/>
          <w14:textFill>
            <w14:solidFill>
              <w14:schemeClr w14:val="tx1"/>
            </w14:solidFill>
          </w14:textFill>
        </w:rPr>
        <w:t>湿度小于</w:t>
      </w:r>
      <w:r>
        <w:rPr>
          <w:color w:val="000000" w:themeColor="text1"/>
          <w14:textFill>
            <w14:solidFill>
              <w14:schemeClr w14:val="tx1"/>
            </w14:solidFill>
          </w14:textFill>
        </w:rPr>
        <w:t xml:space="preserve">60%     </w:t>
      </w:r>
      <w:r>
        <w:rPr>
          <w:rFonts w:hint="eastAsia"/>
          <w:color w:val="000000" w:themeColor="text1"/>
          <w14:textFill>
            <w14:solidFill>
              <w14:schemeClr w14:val="tx1"/>
            </w14:solidFill>
          </w14:textFill>
        </w:rPr>
        <w:t>按照每</w:t>
      </w:r>
      <w:r>
        <w:rPr>
          <w:color w:val="000000" w:themeColor="text1"/>
          <w14:textFill>
            <w14:solidFill>
              <w14:schemeClr w14:val="tx1"/>
            </w14:solidFill>
          </w14:textFill>
        </w:rPr>
        <w:t>65</w:t>
      </w:r>
      <w:r>
        <w:rPr>
          <w:rFonts w:hint="eastAsia"/>
          <w:color w:val="000000" w:themeColor="text1"/>
          <w14:textFill>
            <w14:solidFill>
              <w14:schemeClr w14:val="tx1"/>
            </w14:solidFill>
          </w14:textFill>
        </w:rPr>
        <w:t>㎡（二次预制舱</w:t>
      </w:r>
      <w:r>
        <w:rPr>
          <w:color w:val="000000" w:themeColor="text1"/>
          <w14:textFill>
            <w14:solidFill>
              <w14:schemeClr w14:val="tx1"/>
            </w14:solidFill>
          </w14:textFill>
        </w:rPr>
        <w:t>60</w:t>
      </w:r>
      <w:r>
        <w:rPr>
          <w:rFonts w:hint="eastAsia"/>
          <w:color w:val="000000" w:themeColor="text1"/>
          <w14:textFill>
            <w14:solidFill>
              <w14:schemeClr w14:val="tx1"/>
            </w14:solidFill>
          </w14:textFill>
        </w:rPr>
        <w:t>）配置</w:t>
      </w:r>
      <w:r>
        <w:rPr>
          <w:color w:val="000000" w:themeColor="text1"/>
          <w14:textFill>
            <w14:solidFill>
              <w14:schemeClr w14:val="tx1"/>
            </w14:solidFill>
          </w14:textFill>
        </w:rPr>
        <w:t>1</w:t>
      </w:r>
      <w:r>
        <w:rPr>
          <w:rFonts w:hint="eastAsia"/>
          <w:color w:val="000000" w:themeColor="text1"/>
          <w14:textFill>
            <w14:solidFill>
              <w14:schemeClr w14:val="tx1"/>
            </w14:solidFill>
          </w14:textFill>
        </w:rPr>
        <w:t>台除湿机</w:t>
      </w:r>
    </w:p>
    <w:p>
      <w:pPr>
        <w:tabs>
          <w:tab w:val="left" w:pos="1267"/>
        </w:tabs>
        <w:spacing w:line="360" w:lineRule="auto"/>
        <w:ind w:firstLine="420" w:firstLineChars="200"/>
        <w:rPr>
          <w:color w:val="000000" w:themeColor="text1"/>
          <w14:textFill>
            <w14:solidFill>
              <w14:schemeClr w14:val="tx1"/>
            </w14:solidFill>
          </w14:textFill>
        </w:rPr>
      </w:pPr>
      <w:r>
        <w:rPr>
          <w:color w:val="000000" w:themeColor="text1"/>
          <w14:textFill>
            <w14:solidFill>
              <w14:schemeClr w14:val="tx1"/>
            </w14:solidFill>
          </w14:textFill>
        </w:rPr>
        <w:t>B:</w:t>
      </w:r>
      <w:r>
        <w:rPr>
          <w:rFonts w:hint="eastAsia"/>
          <w:color w:val="000000" w:themeColor="text1"/>
          <w14:textFill>
            <w14:solidFill>
              <w14:schemeClr w14:val="tx1"/>
            </w14:solidFill>
          </w14:textFill>
        </w:rPr>
        <w:t>湿度为</w:t>
      </w:r>
      <w:r>
        <w:rPr>
          <w:color w:val="000000" w:themeColor="text1"/>
          <w14:textFill>
            <w14:solidFill>
              <w14:schemeClr w14:val="tx1"/>
            </w14:solidFill>
          </w14:textFill>
        </w:rPr>
        <w:t xml:space="preserve">60%-80%   </w:t>
      </w:r>
      <w:r>
        <w:rPr>
          <w:rFonts w:hint="eastAsia"/>
          <w:color w:val="000000" w:themeColor="text1"/>
          <w14:textFill>
            <w14:solidFill>
              <w14:schemeClr w14:val="tx1"/>
            </w14:solidFill>
          </w14:textFill>
        </w:rPr>
        <w:t>按照每</w:t>
      </w:r>
      <w:r>
        <w:rPr>
          <w:color w:val="000000" w:themeColor="text1"/>
          <w14:textFill>
            <w14:solidFill>
              <w14:schemeClr w14:val="tx1"/>
            </w14:solidFill>
          </w14:textFill>
        </w:rPr>
        <w:t>55</w:t>
      </w:r>
      <w:r>
        <w:rPr>
          <w:rFonts w:hint="eastAsia"/>
          <w:color w:val="000000" w:themeColor="text1"/>
          <w14:textFill>
            <w14:solidFill>
              <w14:schemeClr w14:val="tx1"/>
            </w14:solidFill>
          </w14:textFill>
        </w:rPr>
        <w:t>㎡（二次预制舱</w:t>
      </w:r>
      <w:r>
        <w:rPr>
          <w:color w:val="000000" w:themeColor="text1"/>
          <w14:textFill>
            <w14:solidFill>
              <w14:schemeClr w14:val="tx1"/>
            </w14:solidFill>
          </w14:textFill>
        </w:rPr>
        <w:t>50</w:t>
      </w:r>
      <w:r>
        <w:rPr>
          <w:rFonts w:hint="eastAsia"/>
          <w:color w:val="000000" w:themeColor="text1"/>
          <w14:textFill>
            <w14:solidFill>
              <w14:schemeClr w14:val="tx1"/>
            </w14:solidFill>
          </w14:textFill>
        </w:rPr>
        <w:t>）配置</w:t>
      </w:r>
      <w:r>
        <w:rPr>
          <w:color w:val="000000" w:themeColor="text1"/>
          <w14:textFill>
            <w14:solidFill>
              <w14:schemeClr w14:val="tx1"/>
            </w14:solidFill>
          </w14:textFill>
        </w:rPr>
        <w:t>1</w:t>
      </w:r>
      <w:r>
        <w:rPr>
          <w:rFonts w:hint="eastAsia"/>
          <w:color w:val="000000" w:themeColor="text1"/>
          <w14:textFill>
            <w14:solidFill>
              <w14:schemeClr w14:val="tx1"/>
            </w14:solidFill>
          </w14:textFill>
        </w:rPr>
        <w:t>台除湿机</w:t>
      </w:r>
    </w:p>
    <w:p>
      <w:pPr>
        <w:tabs>
          <w:tab w:val="left" w:pos="1267"/>
        </w:tabs>
        <w:spacing w:line="360" w:lineRule="auto"/>
        <w:ind w:firstLine="420" w:firstLineChars="200"/>
        <w:rPr>
          <w:color w:val="000000" w:themeColor="text1"/>
          <w14:textFill>
            <w14:solidFill>
              <w14:schemeClr w14:val="tx1"/>
            </w14:solidFill>
          </w14:textFill>
        </w:rPr>
      </w:pPr>
      <w:r>
        <w:rPr>
          <w:color w:val="000000" w:themeColor="text1"/>
          <w14:textFill>
            <w14:solidFill>
              <w14:schemeClr w14:val="tx1"/>
            </w14:solidFill>
          </w14:textFill>
        </w:rPr>
        <w:t>C:</w:t>
      </w:r>
      <w:r>
        <w:rPr>
          <w:rFonts w:hint="eastAsia"/>
          <w:color w:val="000000" w:themeColor="text1"/>
          <w14:textFill>
            <w14:solidFill>
              <w14:schemeClr w14:val="tx1"/>
            </w14:solidFill>
          </w14:textFill>
        </w:rPr>
        <w:t>湿度为</w:t>
      </w:r>
      <w:r>
        <w:rPr>
          <w:color w:val="000000" w:themeColor="text1"/>
          <w14:textFill>
            <w14:solidFill>
              <w14:schemeClr w14:val="tx1"/>
            </w14:solidFill>
          </w14:textFill>
        </w:rPr>
        <w:t xml:space="preserve">80%-95%   </w:t>
      </w:r>
      <w:r>
        <w:rPr>
          <w:rFonts w:hint="eastAsia"/>
          <w:color w:val="000000" w:themeColor="text1"/>
          <w14:textFill>
            <w14:solidFill>
              <w14:schemeClr w14:val="tx1"/>
            </w14:solidFill>
          </w14:textFill>
        </w:rPr>
        <w:t>按照每</w:t>
      </w:r>
      <w:r>
        <w:rPr>
          <w:color w:val="000000" w:themeColor="text1"/>
          <w14:textFill>
            <w14:solidFill>
              <w14:schemeClr w14:val="tx1"/>
            </w14:solidFill>
          </w14:textFill>
        </w:rPr>
        <w:t>45</w:t>
      </w:r>
      <w:r>
        <w:rPr>
          <w:rFonts w:hint="eastAsia"/>
          <w:color w:val="000000" w:themeColor="text1"/>
          <w14:textFill>
            <w14:solidFill>
              <w14:schemeClr w14:val="tx1"/>
            </w14:solidFill>
          </w14:textFill>
        </w:rPr>
        <w:t>㎡（二次预制舱</w:t>
      </w:r>
      <w:r>
        <w:rPr>
          <w:color w:val="000000" w:themeColor="text1"/>
          <w14:textFill>
            <w14:solidFill>
              <w14:schemeClr w14:val="tx1"/>
            </w14:solidFill>
          </w14:textFill>
        </w:rPr>
        <w:t>40</w:t>
      </w:r>
      <w:r>
        <w:rPr>
          <w:rFonts w:hint="eastAsia"/>
          <w:color w:val="000000" w:themeColor="text1"/>
          <w14:textFill>
            <w14:solidFill>
              <w14:schemeClr w14:val="tx1"/>
            </w14:solidFill>
          </w14:textFill>
        </w:rPr>
        <w:t>）配置</w:t>
      </w:r>
      <w:r>
        <w:rPr>
          <w:color w:val="000000" w:themeColor="text1"/>
          <w14:textFill>
            <w14:solidFill>
              <w14:schemeClr w14:val="tx1"/>
            </w14:solidFill>
          </w14:textFill>
        </w:rPr>
        <w:t>1</w:t>
      </w:r>
      <w:r>
        <w:rPr>
          <w:rFonts w:hint="eastAsia"/>
          <w:color w:val="000000" w:themeColor="text1"/>
          <w14:textFill>
            <w14:solidFill>
              <w14:schemeClr w14:val="tx1"/>
            </w14:solidFill>
          </w14:textFill>
        </w:rPr>
        <w:t>台除湿机</w:t>
      </w:r>
    </w:p>
    <w:p>
      <w:pPr>
        <w:tabs>
          <w:tab w:val="left" w:pos="1267"/>
        </w:tabs>
        <w:spacing w:line="360" w:lineRule="auto"/>
        <w:ind w:firstLine="420" w:firstLineChars="200"/>
        <w:rPr>
          <w:color w:val="000000" w:themeColor="text1"/>
          <w14:textFill>
            <w14:solidFill>
              <w14:schemeClr w14:val="tx1"/>
            </w14:solidFill>
          </w14:textFill>
        </w:rPr>
      </w:pPr>
      <w:r>
        <w:rPr>
          <w:color w:val="000000" w:themeColor="text1"/>
          <w14:textFill>
            <w14:solidFill>
              <w14:schemeClr w14:val="tx1"/>
            </w14:solidFill>
          </w14:textFill>
        </w:rPr>
        <w:t>D:</w:t>
      </w:r>
      <w:r>
        <w:rPr>
          <w:rFonts w:hint="eastAsia"/>
          <w:color w:val="000000" w:themeColor="text1"/>
          <w14:textFill>
            <w14:solidFill>
              <w14:schemeClr w14:val="tx1"/>
            </w14:solidFill>
          </w14:textFill>
        </w:rPr>
        <w:t>湿度大于</w:t>
      </w:r>
      <w:r>
        <w:rPr>
          <w:color w:val="000000" w:themeColor="text1"/>
          <w14:textFill>
            <w14:solidFill>
              <w14:schemeClr w14:val="tx1"/>
            </w14:solidFill>
          </w14:textFill>
        </w:rPr>
        <w:t xml:space="preserve">95%     </w:t>
      </w:r>
      <w:r>
        <w:rPr>
          <w:rFonts w:hint="eastAsia"/>
          <w:color w:val="000000" w:themeColor="text1"/>
          <w14:textFill>
            <w14:solidFill>
              <w14:schemeClr w14:val="tx1"/>
            </w14:solidFill>
          </w14:textFill>
        </w:rPr>
        <w:t>按照每</w:t>
      </w:r>
      <w:r>
        <w:rPr>
          <w:color w:val="000000" w:themeColor="text1"/>
          <w14:textFill>
            <w14:solidFill>
              <w14:schemeClr w14:val="tx1"/>
            </w14:solidFill>
          </w14:textFill>
        </w:rPr>
        <w:t>40</w:t>
      </w:r>
      <w:r>
        <w:rPr>
          <w:rFonts w:hint="eastAsia"/>
          <w:color w:val="000000" w:themeColor="text1"/>
          <w14:textFill>
            <w14:solidFill>
              <w14:schemeClr w14:val="tx1"/>
            </w14:solidFill>
          </w14:textFill>
        </w:rPr>
        <w:t>㎡（二次预制舱</w:t>
      </w:r>
      <w:r>
        <w:rPr>
          <w:color w:val="000000" w:themeColor="text1"/>
          <w14:textFill>
            <w14:solidFill>
              <w14:schemeClr w14:val="tx1"/>
            </w14:solidFill>
          </w14:textFill>
        </w:rPr>
        <w:t>35</w:t>
      </w:r>
      <w:r>
        <w:rPr>
          <w:rFonts w:hint="eastAsia"/>
          <w:color w:val="000000" w:themeColor="text1"/>
          <w14:textFill>
            <w14:solidFill>
              <w14:schemeClr w14:val="tx1"/>
            </w14:solidFill>
          </w14:textFill>
        </w:rPr>
        <w:t>）配置</w:t>
      </w:r>
      <w:r>
        <w:rPr>
          <w:color w:val="000000" w:themeColor="text1"/>
          <w14:textFill>
            <w14:solidFill>
              <w14:schemeClr w14:val="tx1"/>
            </w14:solidFill>
          </w14:textFill>
        </w:rPr>
        <w:t>1</w:t>
      </w:r>
      <w:r>
        <w:rPr>
          <w:rFonts w:hint="eastAsia"/>
          <w:color w:val="000000" w:themeColor="text1"/>
          <w14:textFill>
            <w14:solidFill>
              <w14:schemeClr w14:val="tx1"/>
            </w14:solidFill>
          </w14:textFill>
        </w:rPr>
        <w:t>台除湿机</w:t>
      </w:r>
    </w:p>
    <w:p>
      <w:pPr>
        <w:tabs>
          <w:tab w:val="left" w:pos="1267"/>
        </w:tabs>
        <w:spacing w:line="360" w:lineRule="auto"/>
        <w:ind w:firstLine="420" w:firstLineChars="200"/>
        <w:rPr>
          <w:color w:val="000000" w:themeColor="text1"/>
          <w14:textFill>
            <w14:solidFill>
              <w14:schemeClr w14:val="tx1"/>
            </w14:solidFill>
          </w14:textFill>
        </w:rPr>
      </w:pPr>
      <w:bookmarkStart w:id="68" w:name="_Toc11848745"/>
      <w:bookmarkStart w:id="69" w:name="_Toc119049808"/>
      <w:r>
        <w:rPr>
          <w:rFonts w:hint="eastAsia"/>
          <w:color w:val="000000" w:themeColor="text1"/>
          <w14:textFill>
            <w14:solidFill>
              <w14:schemeClr w14:val="tx1"/>
            </w14:solidFill>
          </w14:textFill>
        </w:rPr>
        <w:t>（</w:t>
      </w:r>
      <w:r>
        <w:rPr>
          <w:color w:val="000000" w:themeColor="text1"/>
          <w14:textFill>
            <w14:solidFill>
              <w14:schemeClr w14:val="tx1"/>
            </w14:solidFill>
          </w14:textFill>
        </w:rPr>
        <w:t>4</w:t>
      </w:r>
      <w:r>
        <w:rPr>
          <w:rFonts w:hint="eastAsia"/>
          <w:color w:val="000000" w:themeColor="text1"/>
          <w14:textFill>
            <w14:solidFill>
              <w14:schemeClr w14:val="tx1"/>
            </w14:solidFill>
          </w14:textFill>
        </w:rPr>
        <w:t>）预制舱的密封与防尘</w:t>
      </w:r>
      <w:bookmarkEnd w:id="68"/>
      <w:bookmarkEnd w:id="69"/>
    </w:p>
    <w:p>
      <w:pPr>
        <w:tabs>
          <w:tab w:val="left" w:pos="1267"/>
        </w:tabs>
        <w:spacing w:line="360" w:lineRule="auto"/>
        <w:ind w:firstLine="420" w:firstLineChars="200"/>
        <w:rPr>
          <w:color w:val="000000" w:themeColor="text1"/>
          <w14:textFill>
            <w14:solidFill>
              <w14:schemeClr w14:val="tx1"/>
            </w14:solidFill>
          </w14:textFill>
        </w:rPr>
      </w:pPr>
      <w:r>
        <w:rPr>
          <w:color w:val="000000" w:themeColor="text1"/>
          <w14:textFill>
            <w14:solidFill>
              <w14:schemeClr w14:val="tx1"/>
            </w14:solidFill>
          </w14:textFill>
        </w:rPr>
        <w:t>1</w:t>
      </w:r>
      <w:r>
        <w:rPr>
          <w:rFonts w:hint="eastAsia"/>
          <w:color w:val="000000" w:themeColor="text1"/>
          <w14:textFill>
            <w14:solidFill>
              <w14:schemeClr w14:val="tx1"/>
            </w14:solidFill>
          </w14:textFill>
        </w:rPr>
        <w:t>）预制舱应保证良好的密封性能，舱体密封需采用硅橡胶或三元乙丙材料密封条，进出线电缆孔采用敲落孔配密封胶圈或密封件等处理，密封材料的寿命应大于</w:t>
      </w:r>
      <w:r>
        <w:rPr>
          <w:color w:val="000000" w:themeColor="text1"/>
          <w14:textFill>
            <w14:solidFill>
              <w14:schemeClr w14:val="tx1"/>
            </w14:solidFill>
          </w14:textFill>
        </w:rPr>
        <w:t>5</w:t>
      </w:r>
      <w:r>
        <w:rPr>
          <w:rFonts w:hint="eastAsia"/>
          <w:color w:val="000000" w:themeColor="text1"/>
          <w14:textFill>
            <w14:solidFill>
              <w14:schemeClr w14:val="tx1"/>
            </w14:solidFill>
          </w14:textFill>
        </w:rPr>
        <w:t>年，并制定合理的更换方案，提供相应的备品备件，密封材料更换由供货方负责。</w:t>
      </w:r>
    </w:p>
    <w:p>
      <w:pPr>
        <w:tabs>
          <w:tab w:val="left" w:pos="1267"/>
        </w:tabs>
        <w:spacing w:line="360" w:lineRule="auto"/>
        <w:ind w:firstLine="420" w:firstLineChars="200"/>
        <w:rPr>
          <w:color w:val="000000" w:themeColor="text1"/>
          <w14:textFill>
            <w14:solidFill>
              <w14:schemeClr w14:val="tx1"/>
            </w14:solidFill>
          </w14:textFill>
        </w:rPr>
      </w:pPr>
      <w:r>
        <w:rPr>
          <w:color w:val="000000" w:themeColor="text1"/>
          <w14:textFill>
            <w14:solidFill>
              <w14:schemeClr w14:val="tx1"/>
            </w14:solidFill>
          </w14:textFill>
        </w:rPr>
        <w:t>2</w:t>
      </w:r>
      <w:r>
        <w:rPr>
          <w:rFonts w:hint="eastAsia"/>
          <w:color w:val="000000" w:themeColor="text1"/>
          <w14:textFill>
            <w14:solidFill>
              <w14:schemeClr w14:val="tx1"/>
            </w14:solidFill>
          </w14:textFill>
        </w:rPr>
        <w:t>）配置微正压空调的预制舱，需一并配置风道均压系统，实现舱内均衡的微正压环境，保证舱内气压高于外部环境气压</w:t>
      </w:r>
      <w:r>
        <w:rPr>
          <w:color w:val="000000" w:themeColor="text1"/>
          <w14:textFill>
            <w14:solidFill>
              <w14:schemeClr w14:val="tx1"/>
            </w14:solidFill>
          </w14:textFill>
        </w:rPr>
        <w:t>5Pa</w:t>
      </w:r>
      <w:r>
        <w:rPr>
          <w:rFonts w:hint="eastAsia"/>
          <w:color w:val="000000" w:themeColor="text1"/>
          <w14:textFill>
            <w14:solidFill>
              <w14:schemeClr w14:val="tx1"/>
            </w14:solidFill>
          </w14:textFill>
        </w:rPr>
        <w:t>左右，防尘、防潮。</w:t>
      </w:r>
    </w:p>
    <w:p>
      <w:pPr>
        <w:tabs>
          <w:tab w:val="left" w:pos="1267"/>
        </w:tabs>
        <w:spacing w:line="360" w:lineRule="auto"/>
        <w:ind w:firstLine="420" w:firstLineChars="200"/>
        <w:rPr>
          <w:color w:val="000000" w:themeColor="text1"/>
          <w14:textFill>
            <w14:solidFill>
              <w14:schemeClr w14:val="tx1"/>
            </w14:solidFill>
          </w14:textFill>
        </w:rPr>
      </w:pPr>
      <w:r>
        <w:rPr>
          <w:color w:val="000000" w:themeColor="text1"/>
          <w14:textFill>
            <w14:solidFill>
              <w14:schemeClr w14:val="tx1"/>
            </w14:solidFill>
          </w14:textFill>
        </w:rPr>
        <w:t>3</w:t>
      </w:r>
      <w:r>
        <w:rPr>
          <w:rFonts w:hint="eastAsia"/>
          <w:color w:val="000000" w:themeColor="text1"/>
          <w14:textFill>
            <w14:solidFill>
              <w14:schemeClr w14:val="tx1"/>
            </w14:solidFill>
          </w14:textFill>
        </w:rPr>
        <w:t>）舱体拼接处防护等级不低于</w:t>
      </w:r>
      <w:r>
        <w:rPr>
          <w:color w:val="000000" w:themeColor="text1"/>
          <w14:textFill>
            <w14:solidFill>
              <w14:schemeClr w14:val="tx1"/>
            </w14:solidFill>
          </w14:textFill>
        </w:rPr>
        <w:t>IP55</w:t>
      </w:r>
      <w:r>
        <w:rPr>
          <w:rFonts w:hint="eastAsia"/>
          <w:color w:val="000000" w:themeColor="text1"/>
          <w14:textFill>
            <w14:solidFill>
              <w14:schemeClr w14:val="tx1"/>
            </w14:solidFill>
          </w14:textFill>
        </w:rPr>
        <w:t>，需采用机械结构为主，密封材料为辅的防护方式，不得单独采用密封材料防护。</w:t>
      </w:r>
    </w:p>
    <w:p>
      <w:pPr>
        <w:tabs>
          <w:tab w:val="left" w:pos="1267"/>
        </w:tabs>
        <w:spacing w:line="360" w:lineRule="auto"/>
        <w:ind w:firstLine="420" w:firstLineChars="200"/>
        <w:rPr>
          <w:color w:val="000000" w:themeColor="text1"/>
          <w14:textFill>
            <w14:solidFill>
              <w14:schemeClr w14:val="tx1"/>
            </w14:solidFill>
          </w14:textFill>
        </w:rPr>
      </w:pPr>
      <w:bookmarkStart w:id="70" w:name="_Toc119049809"/>
      <w:bookmarkStart w:id="71" w:name="_Toc11848746"/>
      <w:r>
        <w:rPr>
          <w:rFonts w:hint="eastAsia"/>
          <w:color w:val="000000" w:themeColor="text1"/>
          <w14:textFill>
            <w14:solidFill>
              <w14:schemeClr w14:val="tx1"/>
            </w14:solidFill>
          </w14:textFill>
        </w:rPr>
        <w:t>（</w:t>
      </w:r>
      <w:r>
        <w:rPr>
          <w:color w:val="000000" w:themeColor="text1"/>
          <w14:textFill>
            <w14:solidFill>
              <w14:schemeClr w14:val="tx1"/>
            </w14:solidFill>
          </w14:textFill>
        </w:rPr>
        <w:t>5</w:t>
      </w:r>
      <w:r>
        <w:rPr>
          <w:rFonts w:hint="eastAsia"/>
          <w:color w:val="000000" w:themeColor="text1"/>
          <w14:textFill>
            <w14:solidFill>
              <w14:schemeClr w14:val="tx1"/>
            </w14:solidFill>
          </w14:textFill>
        </w:rPr>
        <w:t>）预制舱通风</w:t>
      </w:r>
      <w:bookmarkEnd w:id="70"/>
      <w:bookmarkEnd w:id="71"/>
    </w:p>
    <w:p>
      <w:pPr>
        <w:tabs>
          <w:tab w:val="left" w:pos="1267"/>
        </w:tabs>
        <w:spacing w:line="360" w:lineRule="auto"/>
        <w:ind w:firstLine="420" w:firstLineChars="200"/>
        <w:rPr>
          <w:color w:val="000000" w:themeColor="text1"/>
          <w14:textFill>
            <w14:solidFill>
              <w14:schemeClr w14:val="tx1"/>
            </w14:solidFill>
          </w14:textFill>
        </w:rPr>
      </w:pPr>
      <w:r>
        <w:rPr>
          <w:color w:val="000000" w:themeColor="text1"/>
          <w14:textFill>
            <w14:solidFill>
              <w14:schemeClr w14:val="tx1"/>
            </w14:solidFill>
          </w14:textFill>
        </w:rPr>
        <w:t>1</w:t>
      </w:r>
      <w:r>
        <w:rPr>
          <w:rFonts w:hint="eastAsia"/>
          <w:color w:val="000000" w:themeColor="text1"/>
          <w14:textFill>
            <w14:solidFill>
              <w14:schemeClr w14:val="tx1"/>
            </w14:solidFill>
          </w14:textFill>
        </w:rPr>
        <w:t>）预制舱内的通风设计应符合</w:t>
      </w:r>
      <w:r>
        <w:rPr>
          <w:color w:val="000000" w:themeColor="text1"/>
          <w14:textFill>
            <w14:solidFill>
              <w14:schemeClr w14:val="tx1"/>
            </w14:solidFill>
          </w14:textFill>
        </w:rPr>
        <w:t>DL/T 5035-2019</w:t>
      </w:r>
      <w:r>
        <w:rPr>
          <w:rFonts w:hint="eastAsia"/>
          <w:color w:val="000000" w:themeColor="text1"/>
          <w14:textFill>
            <w14:solidFill>
              <w14:schemeClr w14:val="tx1"/>
            </w14:solidFill>
          </w14:textFill>
        </w:rPr>
        <w:t>《火力发电厂采暖通风与空气调节设计技术规程》等相关标准的要求，内部按需设置一体化风道及微正压空调保证舱内均衡环境。</w:t>
      </w:r>
    </w:p>
    <w:p>
      <w:pPr>
        <w:tabs>
          <w:tab w:val="left" w:pos="1267"/>
        </w:tabs>
        <w:spacing w:line="360" w:lineRule="auto"/>
        <w:ind w:firstLine="420" w:firstLineChars="200"/>
        <w:rPr>
          <w:color w:val="000000" w:themeColor="text1"/>
          <w14:textFill>
            <w14:solidFill>
              <w14:schemeClr w14:val="tx1"/>
            </w14:solidFill>
          </w14:textFill>
        </w:rPr>
      </w:pPr>
      <w:r>
        <w:rPr>
          <w:color w:val="000000" w:themeColor="text1"/>
          <w14:textFill>
            <w14:solidFill>
              <w14:schemeClr w14:val="tx1"/>
            </w14:solidFill>
          </w14:textFill>
        </w:rPr>
        <w:t>2</w:t>
      </w:r>
      <w:r>
        <w:rPr>
          <w:rFonts w:hint="eastAsia"/>
          <w:color w:val="000000" w:themeColor="text1"/>
          <w14:textFill>
            <w14:solidFill>
              <w14:schemeClr w14:val="tx1"/>
            </w14:solidFill>
          </w14:textFill>
        </w:rPr>
        <w:t>）采用强制通风时，风机需采用、长寿命、免维护轴流式风机；风机的数量应满足排风要求，排风要进行多道防尘处理，防尘网应方便拆装和清洗；排风处需设置风阀等结构，保证舱体的整体防护等级。</w:t>
      </w:r>
    </w:p>
    <w:p>
      <w:pPr>
        <w:tabs>
          <w:tab w:val="left" w:pos="1267"/>
        </w:tabs>
        <w:spacing w:line="360" w:lineRule="auto"/>
        <w:ind w:firstLine="420" w:firstLineChars="200"/>
        <w:rPr>
          <w:color w:val="000000" w:themeColor="text1"/>
          <w14:textFill>
            <w14:solidFill>
              <w14:schemeClr w14:val="tx1"/>
            </w14:solidFill>
          </w14:textFill>
        </w:rPr>
      </w:pPr>
      <w:bookmarkStart w:id="72" w:name="_Toc11848747"/>
      <w:bookmarkStart w:id="73" w:name="_Toc119049810"/>
      <w:r>
        <w:rPr>
          <w:rFonts w:hint="eastAsia"/>
          <w:color w:val="000000" w:themeColor="text1"/>
          <w14:textFill>
            <w14:solidFill>
              <w14:schemeClr w14:val="tx1"/>
            </w14:solidFill>
          </w14:textFill>
        </w:rPr>
        <w:t>（</w:t>
      </w:r>
      <w:r>
        <w:rPr>
          <w:color w:val="000000" w:themeColor="text1"/>
          <w14:textFill>
            <w14:solidFill>
              <w14:schemeClr w14:val="tx1"/>
            </w14:solidFill>
          </w14:textFill>
        </w:rPr>
        <w:t>6</w:t>
      </w:r>
      <w:r>
        <w:rPr>
          <w:rFonts w:hint="eastAsia"/>
          <w:color w:val="000000" w:themeColor="text1"/>
          <w14:textFill>
            <w14:solidFill>
              <w14:schemeClr w14:val="tx1"/>
            </w14:solidFill>
          </w14:textFill>
        </w:rPr>
        <w:t>）预制舱立体建站要求</w:t>
      </w:r>
      <w:bookmarkEnd w:id="72"/>
      <w:bookmarkEnd w:id="73"/>
    </w:p>
    <w:p>
      <w:pPr>
        <w:tabs>
          <w:tab w:val="left" w:pos="1267"/>
        </w:tabs>
        <w:spacing w:line="360" w:lineRule="auto"/>
        <w:ind w:firstLine="420" w:firstLineChars="200"/>
        <w:rPr>
          <w:color w:val="000000" w:themeColor="text1"/>
          <w14:textFill>
            <w14:solidFill>
              <w14:schemeClr w14:val="tx1"/>
            </w14:solidFill>
          </w14:textFill>
        </w:rPr>
      </w:pPr>
      <w:r>
        <w:rPr>
          <w:color w:val="000000" w:themeColor="text1"/>
          <w14:textFill>
            <w14:solidFill>
              <w14:schemeClr w14:val="tx1"/>
            </w14:solidFill>
          </w14:textFill>
        </w:rPr>
        <w:t>1</w:t>
      </w:r>
      <w:r>
        <w:rPr>
          <w:rFonts w:hint="eastAsia"/>
          <w:color w:val="000000" w:themeColor="text1"/>
          <w14:textFill>
            <w14:solidFill>
              <w14:schemeClr w14:val="tx1"/>
            </w14:solidFill>
          </w14:textFill>
        </w:rPr>
        <w:t>）依据变电站选址以及占地面积要求，预制舱变电站采用立体建站模式，舱体可在基础一层的舱体上置顶安装，处理好一层舱体承重以及舱体间防震减震问题。</w:t>
      </w:r>
    </w:p>
    <w:p>
      <w:pPr>
        <w:tabs>
          <w:tab w:val="left" w:pos="1267"/>
        </w:tabs>
        <w:spacing w:line="360" w:lineRule="auto"/>
        <w:ind w:firstLine="420" w:firstLineChars="200"/>
        <w:rPr>
          <w:color w:val="000000" w:themeColor="text1"/>
          <w14:textFill>
            <w14:solidFill>
              <w14:schemeClr w14:val="tx1"/>
            </w14:solidFill>
          </w14:textFill>
        </w:rPr>
      </w:pPr>
      <w:r>
        <w:rPr>
          <w:rFonts w:hint="eastAsia"/>
          <w:color w:val="000000" w:themeColor="text1"/>
          <w14:textFill>
            <w14:solidFill>
              <w14:schemeClr w14:val="tx1"/>
            </w14:solidFill>
          </w14:textFill>
        </w:rPr>
        <w:t>舱体与基础应牢固连接，宜焊接于基础预埋件上，焊后对焊接部位实施防腐措施。舱体下场地应具备排水、防潮措施。</w:t>
      </w:r>
    </w:p>
    <w:p>
      <w:pPr>
        <w:tabs>
          <w:tab w:val="left" w:pos="1267"/>
        </w:tabs>
        <w:spacing w:line="360" w:lineRule="auto"/>
        <w:ind w:firstLine="420" w:firstLineChars="200"/>
        <w:rPr>
          <w:color w:val="000000" w:themeColor="text1"/>
          <w14:textFill>
            <w14:solidFill>
              <w14:schemeClr w14:val="tx1"/>
            </w14:solidFill>
          </w14:textFill>
        </w:rPr>
      </w:pPr>
      <w:r>
        <w:rPr>
          <w:color w:val="000000" w:themeColor="text1"/>
          <w14:textFill>
            <w14:solidFill>
              <w14:schemeClr w14:val="tx1"/>
            </w14:solidFill>
          </w14:textFill>
        </w:rPr>
        <w:t>2</w:t>
      </w:r>
      <w:r>
        <w:rPr>
          <w:rFonts w:hint="eastAsia"/>
          <w:color w:val="000000" w:themeColor="text1"/>
          <w14:textFill>
            <w14:solidFill>
              <w14:schemeClr w14:val="tx1"/>
            </w14:solidFill>
          </w14:textFill>
        </w:rPr>
        <w:t>）隔震系统要求：上层与下层舱体连接界面之间设置隔振装置，对于噪音、震动均进行消除。</w:t>
      </w:r>
    </w:p>
    <w:p>
      <w:pPr>
        <w:tabs>
          <w:tab w:val="left" w:pos="1267"/>
        </w:tabs>
        <w:spacing w:line="360" w:lineRule="auto"/>
        <w:ind w:firstLine="420" w:firstLineChars="200"/>
        <w:rPr>
          <w:color w:val="000000" w:themeColor="text1"/>
          <w14:textFill>
            <w14:solidFill>
              <w14:schemeClr w14:val="tx1"/>
            </w14:solidFill>
          </w14:textFill>
        </w:rPr>
      </w:pPr>
      <w:r>
        <w:rPr>
          <w:color w:val="000000" w:themeColor="text1"/>
          <w14:textFill>
            <w14:solidFill>
              <w14:schemeClr w14:val="tx1"/>
            </w14:solidFill>
          </w14:textFill>
        </w:rPr>
        <w:t>3</w:t>
      </w:r>
      <w:r>
        <w:rPr>
          <w:rFonts w:hint="eastAsia"/>
          <w:color w:val="000000" w:themeColor="text1"/>
          <w14:textFill>
            <w14:solidFill>
              <w14:schemeClr w14:val="tx1"/>
            </w14:solidFill>
          </w14:textFill>
        </w:rPr>
        <w:t>）舱体承重要求：上层结构总重不超过</w:t>
      </w:r>
      <w:r>
        <w:rPr>
          <w:color w:val="000000" w:themeColor="text1"/>
          <w14:textFill>
            <w14:solidFill>
              <w14:schemeClr w14:val="tx1"/>
            </w14:solidFill>
          </w14:textFill>
        </w:rPr>
        <w:t>100T</w:t>
      </w:r>
      <w:r>
        <w:rPr>
          <w:rFonts w:hint="eastAsia"/>
          <w:color w:val="000000" w:themeColor="text1"/>
          <w14:textFill>
            <w14:solidFill>
              <w14:schemeClr w14:val="tx1"/>
            </w14:solidFill>
          </w14:textFill>
        </w:rPr>
        <w:t>，最小安全系数为</w:t>
      </w:r>
      <w:r>
        <w:rPr>
          <w:color w:val="000000" w:themeColor="text1"/>
          <w14:textFill>
            <w14:solidFill>
              <w14:schemeClr w14:val="tx1"/>
            </w14:solidFill>
          </w14:textFill>
        </w:rPr>
        <w:t>1.2</w:t>
      </w:r>
      <w:r>
        <w:rPr>
          <w:rFonts w:hint="eastAsia"/>
          <w:color w:val="000000" w:themeColor="text1"/>
          <w14:textFill>
            <w14:solidFill>
              <w14:schemeClr w14:val="tx1"/>
            </w14:solidFill>
          </w14:textFill>
        </w:rPr>
        <w:t>。</w:t>
      </w:r>
    </w:p>
    <w:p>
      <w:pPr>
        <w:tabs>
          <w:tab w:val="left" w:pos="1267"/>
        </w:tabs>
        <w:spacing w:line="360" w:lineRule="auto"/>
        <w:ind w:firstLine="420" w:firstLineChars="200"/>
        <w:rPr>
          <w:color w:val="000000" w:themeColor="text1"/>
          <w14:textFill>
            <w14:solidFill>
              <w14:schemeClr w14:val="tx1"/>
            </w14:solidFill>
          </w14:textFill>
        </w:rPr>
      </w:pPr>
      <w:r>
        <w:rPr>
          <w:color w:val="000000" w:themeColor="text1"/>
          <w14:textFill>
            <w14:solidFill>
              <w14:schemeClr w14:val="tx1"/>
            </w14:solidFill>
          </w14:textFill>
        </w:rPr>
        <w:t>4</w:t>
      </w:r>
      <w:r>
        <w:rPr>
          <w:rFonts w:hint="eastAsia"/>
          <w:color w:val="000000" w:themeColor="text1"/>
          <w14:textFill>
            <w14:solidFill>
              <w14:schemeClr w14:val="tx1"/>
            </w14:solidFill>
          </w14:textFill>
        </w:rPr>
        <w:t>）舱体应能保证立体变电站任意方向相对垂直度倾斜</w:t>
      </w:r>
      <w:r>
        <w:rPr>
          <w:color w:val="000000" w:themeColor="text1"/>
          <w14:textFill>
            <w14:solidFill>
              <w14:schemeClr w14:val="tx1"/>
            </w14:solidFill>
          </w14:textFill>
        </w:rPr>
        <w:t>5</w:t>
      </w:r>
      <w:r>
        <w:rPr>
          <w:rFonts w:hint="eastAsia"/>
          <w:color w:val="000000" w:themeColor="text1"/>
          <w14:textFill>
            <w14:solidFill>
              <w14:schemeClr w14:val="tx1"/>
            </w14:solidFill>
          </w14:textFill>
        </w:rPr>
        <w:t>度时，舱体无明显变形。</w:t>
      </w:r>
    </w:p>
    <w:p>
      <w:pPr>
        <w:tabs>
          <w:tab w:val="left" w:pos="1267"/>
        </w:tabs>
        <w:spacing w:line="360" w:lineRule="auto"/>
        <w:ind w:firstLine="420" w:firstLineChars="200"/>
        <w:rPr>
          <w:color w:val="000000" w:themeColor="text1"/>
          <w14:textFill>
            <w14:solidFill>
              <w14:schemeClr w14:val="tx1"/>
            </w14:solidFill>
          </w14:textFill>
        </w:rPr>
      </w:pPr>
      <w:r>
        <w:rPr>
          <w:color w:val="000000" w:themeColor="text1"/>
          <w14:textFill>
            <w14:solidFill>
              <w14:schemeClr w14:val="tx1"/>
            </w14:solidFill>
          </w14:textFill>
        </w:rPr>
        <w:t>5</w:t>
      </w:r>
      <w:r>
        <w:rPr>
          <w:rFonts w:hint="eastAsia"/>
          <w:color w:val="000000" w:themeColor="text1"/>
          <w14:textFill>
            <w14:solidFill>
              <w14:schemeClr w14:val="tx1"/>
            </w14:solidFill>
          </w14:textFill>
        </w:rPr>
        <w:t>）舱体抗震性能试验按照</w:t>
      </w:r>
      <w:r>
        <w:rPr>
          <w:color w:val="000000" w:themeColor="text1"/>
          <w14:textFill>
            <w14:solidFill>
              <w14:schemeClr w14:val="tx1"/>
            </w14:solidFill>
          </w14:textFill>
        </w:rPr>
        <w:t>GB 50260</w:t>
      </w:r>
      <w:r>
        <w:rPr>
          <w:rFonts w:hint="eastAsia"/>
          <w:color w:val="000000" w:themeColor="text1"/>
          <w14:textFill>
            <w14:solidFill>
              <w14:schemeClr w14:val="tx1"/>
            </w14:solidFill>
          </w14:textFill>
        </w:rPr>
        <w:t>中</w:t>
      </w:r>
      <w:r>
        <w:rPr>
          <w:color w:val="000000" w:themeColor="text1"/>
          <w14:textFill>
            <w14:solidFill>
              <w14:schemeClr w14:val="tx1"/>
            </w14:solidFill>
          </w14:textFill>
        </w:rPr>
        <w:t>6.4</w:t>
      </w:r>
      <w:r>
        <w:rPr>
          <w:rFonts w:hint="eastAsia"/>
          <w:color w:val="000000" w:themeColor="text1"/>
          <w14:textFill>
            <w14:solidFill>
              <w14:schemeClr w14:val="tx1"/>
            </w14:solidFill>
          </w14:textFill>
        </w:rPr>
        <w:t>抗震试验的方法进行。在设计的地震作用下，按规定方法试验后，舱体防护性能不降低、舱体外立面装饰构件不应脱落、舱内辅控设备完好、舱门无损坏，舱体应按照设防烈度</w:t>
      </w:r>
      <w:r>
        <w:rPr>
          <w:color w:val="000000" w:themeColor="text1"/>
          <w14:textFill>
            <w14:solidFill>
              <w14:schemeClr w14:val="tx1"/>
            </w14:solidFill>
          </w14:textFill>
        </w:rPr>
        <w:t>8</w:t>
      </w:r>
      <w:r>
        <w:rPr>
          <w:rFonts w:hint="eastAsia"/>
          <w:color w:val="000000" w:themeColor="text1"/>
          <w14:textFill>
            <w14:solidFill>
              <w14:schemeClr w14:val="tx1"/>
            </w14:solidFill>
          </w14:textFill>
        </w:rPr>
        <w:t>度</w:t>
      </w:r>
      <w:r>
        <w:rPr>
          <w:color w:val="000000" w:themeColor="text1"/>
          <w14:textFill>
            <w14:solidFill>
              <w14:schemeClr w14:val="tx1"/>
            </w14:solidFill>
          </w14:textFill>
        </w:rPr>
        <w:t>(0.3g)</w:t>
      </w:r>
      <w:r>
        <w:rPr>
          <w:rFonts w:hint="eastAsia"/>
          <w:color w:val="000000" w:themeColor="text1"/>
          <w14:textFill>
            <w14:solidFill>
              <w14:schemeClr w14:val="tx1"/>
            </w14:solidFill>
          </w14:textFill>
        </w:rPr>
        <w:t>进行地震设计，并提供相应试验报告。</w:t>
      </w:r>
    </w:p>
    <w:p>
      <w:pPr>
        <w:tabs>
          <w:tab w:val="left" w:pos="1267"/>
        </w:tabs>
        <w:spacing w:line="360" w:lineRule="auto"/>
        <w:ind w:firstLine="420" w:firstLineChars="200"/>
        <w:rPr>
          <w:color w:val="000000" w:themeColor="text1"/>
          <w14:textFill>
            <w14:solidFill>
              <w14:schemeClr w14:val="tx1"/>
            </w14:solidFill>
          </w14:textFill>
        </w:rPr>
      </w:pPr>
      <w:r>
        <w:rPr>
          <w:rFonts w:hint="eastAsia"/>
          <w:color w:val="000000" w:themeColor="text1"/>
          <w14:textFill>
            <w14:solidFill>
              <w14:schemeClr w14:val="tx1"/>
            </w14:solidFill>
          </w14:textFill>
        </w:rPr>
        <w:t>预制舱设计应符合</w:t>
      </w:r>
      <w:r>
        <w:rPr>
          <w:color w:val="000000" w:themeColor="text1"/>
          <w14:textFill>
            <w14:solidFill>
              <w14:schemeClr w14:val="tx1"/>
            </w14:solidFill>
          </w14:textFill>
        </w:rPr>
        <w:t>GB 50011</w:t>
      </w:r>
      <w:r>
        <w:rPr>
          <w:rFonts w:hint="eastAsia"/>
          <w:color w:val="000000" w:themeColor="text1"/>
          <w14:textFill>
            <w14:solidFill>
              <w14:schemeClr w14:val="tx1"/>
            </w14:solidFill>
          </w14:textFill>
        </w:rPr>
        <w:t>《建筑抗震设计规范》等相关标准，舱体应按照设防烈度</w:t>
      </w:r>
      <w:r>
        <w:rPr>
          <w:color w:val="000000" w:themeColor="text1"/>
          <w14:textFill>
            <w14:solidFill>
              <w14:schemeClr w14:val="tx1"/>
            </w14:solidFill>
          </w14:textFill>
        </w:rPr>
        <w:t>9</w:t>
      </w:r>
      <w:r>
        <w:rPr>
          <w:rFonts w:hint="eastAsia"/>
          <w:color w:val="000000" w:themeColor="text1"/>
          <w14:textFill>
            <w14:solidFill>
              <w14:schemeClr w14:val="tx1"/>
            </w14:solidFill>
          </w14:textFill>
        </w:rPr>
        <w:t>度</w:t>
      </w:r>
      <w:r>
        <w:rPr>
          <w:color w:val="000000" w:themeColor="text1"/>
          <w14:textFill>
            <w14:solidFill>
              <w14:schemeClr w14:val="tx1"/>
            </w14:solidFill>
          </w14:textFill>
        </w:rPr>
        <w:t>(0.5g)</w:t>
      </w:r>
      <w:r>
        <w:rPr>
          <w:rFonts w:hint="eastAsia"/>
          <w:color w:val="000000" w:themeColor="text1"/>
          <w14:textFill>
            <w14:solidFill>
              <w14:schemeClr w14:val="tx1"/>
            </w14:solidFill>
          </w14:textFill>
        </w:rPr>
        <w:t>进行地震设计，并提供相应第三方计算报告。对于由于尺寸原因不具备试验条件的舱体</w:t>
      </w:r>
      <w:r>
        <w:rPr>
          <w:color w:val="000000" w:themeColor="text1"/>
          <w14:textFill>
            <w14:solidFill>
              <w14:schemeClr w14:val="tx1"/>
            </w14:solidFill>
          </w14:textFill>
        </w:rPr>
        <w:t>,</w:t>
      </w:r>
      <w:r>
        <w:rPr>
          <w:rFonts w:hint="eastAsia"/>
          <w:color w:val="000000" w:themeColor="text1"/>
          <w14:textFill>
            <w14:solidFill>
              <w14:schemeClr w14:val="tx1"/>
            </w14:solidFill>
          </w14:textFill>
        </w:rPr>
        <w:t>舱体框架本身的抗震性能可采用仿真分析验证。</w:t>
      </w:r>
    </w:p>
    <w:p>
      <w:pPr>
        <w:tabs>
          <w:tab w:val="left" w:pos="1267"/>
        </w:tabs>
        <w:spacing w:line="360" w:lineRule="auto"/>
        <w:ind w:firstLine="420" w:firstLineChars="200"/>
        <w:rPr>
          <w:color w:val="000000" w:themeColor="text1"/>
          <w14:textFill>
            <w14:solidFill>
              <w14:schemeClr w14:val="tx1"/>
            </w14:solidFill>
          </w14:textFill>
        </w:rPr>
      </w:pPr>
      <w:r>
        <w:rPr>
          <w:color w:val="000000" w:themeColor="text1"/>
          <w14:textFill>
            <w14:solidFill>
              <w14:schemeClr w14:val="tx1"/>
            </w14:solidFill>
          </w14:textFill>
        </w:rPr>
        <w:t>6</w:t>
      </w:r>
      <w:r>
        <w:rPr>
          <w:rFonts w:hint="eastAsia"/>
          <w:color w:val="000000" w:themeColor="text1"/>
          <w14:textFill>
            <w14:solidFill>
              <w14:schemeClr w14:val="tx1"/>
            </w14:solidFill>
          </w14:textFill>
        </w:rPr>
        <w:t>）舱体护栏与检修爬梯：对于立体建站模式，顶层舱体需设置防护围栏，方便运维以及保证安全。检修爬梯顶部踏板与护栏的底座齐平，脚踏为格栅式，坡度不大于</w:t>
      </w:r>
      <w:r>
        <w:rPr>
          <w:color w:val="000000" w:themeColor="text1"/>
          <w14:textFill>
            <w14:solidFill>
              <w14:schemeClr w14:val="tx1"/>
            </w14:solidFill>
          </w14:textFill>
        </w:rPr>
        <w:t>55</w:t>
      </w:r>
      <w:r>
        <w:rPr>
          <w:rFonts w:hint="eastAsia"/>
          <w:color w:val="000000" w:themeColor="text1"/>
          <w14:textFill>
            <w14:solidFill>
              <w14:schemeClr w14:val="tx1"/>
            </w14:solidFill>
          </w14:textFill>
        </w:rPr>
        <w:t>°，脚踏宽度不小于</w:t>
      </w:r>
      <w:r>
        <w:rPr>
          <w:color w:val="000000" w:themeColor="text1"/>
          <w14:textFill>
            <w14:solidFill>
              <w14:schemeClr w14:val="tx1"/>
            </w14:solidFill>
          </w14:textFill>
        </w:rPr>
        <w:t>250mm</w:t>
      </w:r>
      <w:r>
        <w:rPr>
          <w:rFonts w:hint="eastAsia"/>
          <w:color w:val="000000" w:themeColor="text1"/>
          <w14:textFill>
            <w14:solidFill>
              <w14:schemeClr w14:val="tx1"/>
            </w14:solidFill>
          </w14:textFill>
        </w:rPr>
        <w:t>，脚踏间高度差不大于</w:t>
      </w:r>
      <w:r>
        <w:rPr>
          <w:color w:val="000000" w:themeColor="text1"/>
          <w14:textFill>
            <w14:solidFill>
              <w14:schemeClr w14:val="tx1"/>
            </w14:solidFill>
          </w14:textFill>
        </w:rPr>
        <w:t>180mm</w:t>
      </w:r>
      <w:r>
        <w:rPr>
          <w:rFonts w:hint="eastAsia"/>
          <w:color w:val="000000" w:themeColor="text1"/>
          <w14:textFill>
            <w14:solidFill>
              <w14:schemeClr w14:val="tx1"/>
            </w14:solidFill>
          </w14:textFill>
        </w:rPr>
        <w:t>，楼梯净宽不小于</w:t>
      </w:r>
      <w:r>
        <w:rPr>
          <w:color w:val="000000" w:themeColor="text1"/>
          <w14:textFill>
            <w14:solidFill>
              <w14:schemeClr w14:val="tx1"/>
            </w14:solidFill>
          </w14:textFill>
        </w:rPr>
        <w:t>900mm</w:t>
      </w:r>
      <w:r>
        <w:rPr>
          <w:rFonts w:hint="eastAsia"/>
          <w:color w:val="000000" w:themeColor="text1"/>
          <w14:textFill>
            <w14:solidFill>
              <w14:schemeClr w14:val="tx1"/>
            </w14:solidFill>
          </w14:textFill>
        </w:rPr>
        <w:t>，检修爬梯两侧设置扶栏等防护措施。</w:t>
      </w:r>
    </w:p>
    <w:p>
      <w:pPr>
        <w:tabs>
          <w:tab w:val="left" w:pos="1267"/>
        </w:tabs>
        <w:spacing w:line="360" w:lineRule="auto"/>
        <w:ind w:firstLine="420" w:firstLineChars="200"/>
        <w:rPr>
          <w:color w:val="000000" w:themeColor="text1"/>
          <w14:textFill>
            <w14:solidFill>
              <w14:schemeClr w14:val="tx1"/>
            </w14:solidFill>
          </w14:textFill>
        </w:rPr>
      </w:pPr>
      <w:bookmarkStart w:id="74" w:name="_Toc119049811"/>
      <w:bookmarkStart w:id="75" w:name="_Toc11848748"/>
      <w:r>
        <w:rPr>
          <w:rFonts w:hint="eastAsia"/>
          <w:color w:val="000000" w:themeColor="text1"/>
          <w14:textFill>
            <w14:solidFill>
              <w14:schemeClr w14:val="tx1"/>
            </w14:solidFill>
          </w14:textFill>
        </w:rPr>
        <w:t>（</w:t>
      </w:r>
      <w:r>
        <w:rPr>
          <w:color w:val="000000" w:themeColor="text1"/>
          <w14:textFill>
            <w14:solidFill>
              <w14:schemeClr w14:val="tx1"/>
            </w14:solidFill>
          </w14:textFill>
        </w:rPr>
        <w:t>7</w:t>
      </w:r>
      <w:r>
        <w:rPr>
          <w:rFonts w:hint="eastAsia"/>
          <w:color w:val="000000" w:themeColor="text1"/>
          <w14:textFill>
            <w14:solidFill>
              <w14:schemeClr w14:val="tx1"/>
            </w14:solidFill>
          </w14:textFill>
        </w:rPr>
        <w:t>）线缆通道的要求</w:t>
      </w:r>
      <w:bookmarkEnd w:id="74"/>
      <w:bookmarkEnd w:id="75"/>
    </w:p>
    <w:p>
      <w:pPr>
        <w:tabs>
          <w:tab w:val="left" w:pos="1267"/>
        </w:tabs>
        <w:spacing w:line="360" w:lineRule="auto"/>
        <w:ind w:firstLine="420" w:firstLineChars="200"/>
        <w:rPr>
          <w:color w:val="000000" w:themeColor="text1"/>
          <w14:textFill>
            <w14:solidFill>
              <w14:schemeClr w14:val="tx1"/>
            </w14:solidFill>
          </w14:textFill>
        </w:rPr>
      </w:pPr>
      <w:r>
        <w:rPr>
          <w:color w:val="000000" w:themeColor="text1"/>
          <w14:textFill>
            <w14:solidFill>
              <w14:schemeClr w14:val="tx1"/>
            </w14:solidFill>
          </w14:textFill>
        </w:rPr>
        <w:t>1</w:t>
      </w:r>
      <w:r>
        <w:rPr>
          <w:rFonts w:hint="eastAsia"/>
          <w:color w:val="000000" w:themeColor="text1"/>
          <w14:textFill>
            <w14:solidFill>
              <w14:schemeClr w14:val="tx1"/>
            </w14:solidFill>
          </w14:textFill>
        </w:rPr>
        <w:t>）预制舱内的一、二次线缆的敷设需有专用的线缆通道，且相互独立、密闭，采用防火分隔技术，线缆通道内需设置电缆固定支架等电缆固定措施，线缆通道需采用开门或可拆盖板等方便打开的结构，方便人员运维检修。</w:t>
      </w:r>
    </w:p>
    <w:p>
      <w:pPr>
        <w:tabs>
          <w:tab w:val="left" w:pos="1267"/>
        </w:tabs>
        <w:spacing w:line="360" w:lineRule="auto"/>
        <w:ind w:firstLine="420" w:firstLineChars="200"/>
        <w:rPr>
          <w:color w:val="000000" w:themeColor="text1"/>
          <w14:textFill>
            <w14:solidFill>
              <w14:schemeClr w14:val="tx1"/>
            </w14:solidFill>
          </w14:textFill>
        </w:rPr>
      </w:pPr>
      <w:r>
        <w:rPr>
          <w:color w:val="000000" w:themeColor="text1"/>
          <w14:textFill>
            <w14:solidFill>
              <w14:schemeClr w14:val="tx1"/>
            </w14:solidFill>
          </w14:textFill>
        </w:rPr>
        <w:t>2</w:t>
      </w:r>
      <w:r>
        <w:rPr>
          <w:rFonts w:hint="eastAsia"/>
          <w:color w:val="000000" w:themeColor="text1"/>
          <w14:textFill>
            <w14:solidFill>
              <w14:schemeClr w14:val="tx1"/>
            </w14:solidFill>
          </w14:textFill>
        </w:rPr>
        <w:t>）电缆通道尺寸应满足电缆敷设以及合理弯曲半径要求设计，并在预制舱内合理布局。</w:t>
      </w:r>
    </w:p>
    <w:p>
      <w:pPr>
        <w:tabs>
          <w:tab w:val="left" w:pos="1267"/>
        </w:tabs>
        <w:spacing w:line="360" w:lineRule="auto"/>
        <w:ind w:firstLine="420" w:firstLineChars="200"/>
        <w:rPr>
          <w:color w:val="000000" w:themeColor="text1"/>
          <w14:textFill>
            <w14:solidFill>
              <w14:schemeClr w14:val="tx1"/>
            </w14:solidFill>
          </w14:textFill>
        </w:rPr>
      </w:pPr>
      <w:r>
        <w:rPr>
          <w:color w:val="000000" w:themeColor="text1"/>
          <w14:textFill>
            <w14:solidFill>
              <w14:schemeClr w14:val="tx1"/>
            </w14:solidFill>
          </w14:textFill>
        </w:rPr>
        <w:t>3</w:t>
      </w:r>
      <w:r>
        <w:rPr>
          <w:rFonts w:hint="eastAsia"/>
          <w:color w:val="000000" w:themeColor="text1"/>
          <w14:textFill>
            <w14:solidFill>
              <w14:schemeClr w14:val="tx1"/>
            </w14:solidFill>
          </w14:textFill>
        </w:rPr>
        <w:t>）各舱室电缆敷设需满足南方电网有限责任公司，办生技</w:t>
      </w:r>
      <w:r>
        <w:rPr>
          <w:color w:val="000000" w:themeColor="text1"/>
          <w14:textFill>
            <w14:solidFill>
              <w14:schemeClr w14:val="tx1"/>
            </w14:solidFill>
          </w14:textFill>
        </w:rPr>
        <w:t>[2019]22</w:t>
      </w:r>
      <w:r>
        <w:rPr>
          <w:rFonts w:hint="eastAsia"/>
          <w:color w:val="000000" w:themeColor="text1"/>
          <w14:textFill>
            <w14:solidFill>
              <w14:schemeClr w14:val="tx1"/>
            </w14:solidFill>
          </w14:textFill>
        </w:rPr>
        <w:t>号关于印发《变电站电气火灾防控技术要求（试行）》的通知要求。</w:t>
      </w:r>
    </w:p>
    <w:p>
      <w:pPr>
        <w:tabs>
          <w:tab w:val="left" w:pos="1267"/>
        </w:tabs>
        <w:spacing w:line="360" w:lineRule="auto"/>
        <w:ind w:firstLine="420" w:firstLineChars="200"/>
        <w:rPr>
          <w:color w:val="000000" w:themeColor="text1"/>
          <w14:textFill>
            <w14:solidFill>
              <w14:schemeClr w14:val="tx1"/>
            </w14:solidFill>
          </w14:textFill>
        </w:rPr>
      </w:pPr>
      <w:bookmarkStart w:id="76" w:name="_Toc119049812"/>
      <w:bookmarkStart w:id="77" w:name="_Toc11848749"/>
      <w:r>
        <w:rPr>
          <w:rFonts w:hint="eastAsia"/>
          <w:color w:val="000000" w:themeColor="text1"/>
          <w14:textFill>
            <w14:solidFill>
              <w14:schemeClr w14:val="tx1"/>
            </w14:solidFill>
          </w14:textFill>
        </w:rPr>
        <w:t>（</w:t>
      </w:r>
      <w:r>
        <w:rPr>
          <w:color w:val="000000" w:themeColor="text1"/>
          <w14:textFill>
            <w14:solidFill>
              <w14:schemeClr w14:val="tx1"/>
            </w14:solidFill>
          </w14:textFill>
        </w:rPr>
        <w:t>8</w:t>
      </w:r>
      <w:r>
        <w:rPr>
          <w:rFonts w:hint="eastAsia"/>
          <w:color w:val="000000" w:themeColor="text1"/>
          <w14:textFill>
            <w14:solidFill>
              <w14:schemeClr w14:val="tx1"/>
            </w14:solidFill>
          </w14:textFill>
        </w:rPr>
        <w:t>）预制舱环评要求</w:t>
      </w:r>
      <w:bookmarkEnd w:id="76"/>
      <w:bookmarkEnd w:id="77"/>
    </w:p>
    <w:p>
      <w:pPr>
        <w:tabs>
          <w:tab w:val="left" w:pos="1267"/>
        </w:tabs>
        <w:spacing w:line="360" w:lineRule="auto"/>
        <w:ind w:firstLine="420" w:firstLineChars="200"/>
        <w:rPr>
          <w:color w:val="000000" w:themeColor="text1"/>
          <w14:textFill>
            <w14:solidFill>
              <w14:schemeClr w14:val="tx1"/>
            </w14:solidFill>
          </w14:textFill>
        </w:rPr>
      </w:pPr>
      <w:r>
        <w:rPr>
          <w:rFonts w:hint="eastAsia"/>
          <w:color w:val="000000" w:themeColor="text1"/>
          <w14:textFill>
            <w14:solidFill>
              <w14:schemeClr w14:val="tx1"/>
            </w14:solidFill>
          </w14:textFill>
        </w:rPr>
        <w:t>预制舱应具备良好的电磁屏蔽及消音降噪功能，根据内部设备的性能参数，合理设计预制舱舱体外壳结构，使预制舱符合</w:t>
      </w:r>
      <w:r>
        <w:rPr>
          <w:color w:val="000000" w:themeColor="text1"/>
          <w14:textFill>
            <w14:solidFill>
              <w14:schemeClr w14:val="tx1"/>
            </w14:solidFill>
          </w14:textFill>
        </w:rPr>
        <w:t xml:space="preserve">GB12348-2008 </w:t>
      </w:r>
      <w:r>
        <w:rPr>
          <w:rFonts w:hint="eastAsia"/>
          <w:color w:val="000000" w:themeColor="text1"/>
          <w14:textFill>
            <w14:solidFill>
              <w14:schemeClr w14:val="tx1"/>
            </w14:solidFill>
          </w14:textFill>
        </w:rPr>
        <w:t>《工业企业厂界环境噪声排放标准》、</w:t>
      </w:r>
      <w:r>
        <w:rPr>
          <w:color w:val="000000" w:themeColor="text1"/>
          <w14:textFill>
            <w14:solidFill>
              <w14:schemeClr w14:val="tx1"/>
            </w14:solidFill>
          </w14:textFill>
        </w:rPr>
        <w:t>GB8702-2014</w:t>
      </w:r>
      <w:r>
        <w:rPr>
          <w:rFonts w:hint="eastAsia"/>
          <w:color w:val="000000" w:themeColor="text1"/>
          <w14:textFill>
            <w14:solidFill>
              <w14:schemeClr w14:val="tx1"/>
            </w14:solidFill>
          </w14:textFill>
        </w:rPr>
        <w:t>《电磁环境控制限制》等标准要求。在设备投运情况下，预制舱外噪音不大于</w:t>
      </w:r>
      <w:r>
        <w:rPr>
          <w:color w:val="000000" w:themeColor="text1"/>
          <w14:textFill>
            <w14:solidFill>
              <w14:schemeClr w14:val="tx1"/>
            </w14:solidFill>
          </w14:textFill>
        </w:rPr>
        <w:t>55dB</w:t>
      </w:r>
      <w:r>
        <w:rPr>
          <w:rFonts w:hint="eastAsia"/>
          <w:color w:val="000000" w:themeColor="text1"/>
          <w14:textFill>
            <w14:solidFill>
              <w14:schemeClr w14:val="tx1"/>
            </w14:solidFill>
          </w14:textFill>
        </w:rPr>
        <w:t>，电场强度小于</w:t>
      </w:r>
      <w:r>
        <w:rPr>
          <w:color w:val="000000" w:themeColor="text1"/>
          <w14:textFill>
            <w14:solidFill>
              <w14:schemeClr w14:val="tx1"/>
            </w14:solidFill>
          </w14:textFill>
        </w:rPr>
        <w:t>4kV/m</w:t>
      </w:r>
      <w:r>
        <w:rPr>
          <w:rFonts w:hint="eastAsia"/>
          <w:color w:val="000000" w:themeColor="text1"/>
          <w14:textFill>
            <w14:solidFill>
              <w14:schemeClr w14:val="tx1"/>
            </w14:solidFill>
          </w14:textFill>
        </w:rPr>
        <w:t>，磁场强度小于</w:t>
      </w:r>
      <w:r>
        <w:rPr>
          <w:color w:val="000000" w:themeColor="text1"/>
          <w14:textFill>
            <w14:solidFill>
              <w14:schemeClr w14:val="tx1"/>
            </w14:solidFill>
          </w14:textFill>
        </w:rPr>
        <w:t>100</w:t>
      </w:r>
      <w:r>
        <w:rPr>
          <w:rFonts w:hint="eastAsia"/>
          <w:color w:val="000000" w:themeColor="text1"/>
          <w14:textFill>
            <w14:solidFill>
              <w14:schemeClr w14:val="tx1"/>
            </w14:solidFill>
          </w14:textFill>
        </w:rPr>
        <w:t>μ</w:t>
      </w:r>
      <w:r>
        <w:rPr>
          <w:color w:val="000000" w:themeColor="text1"/>
          <w14:textFill>
            <w14:solidFill>
              <w14:schemeClr w14:val="tx1"/>
            </w14:solidFill>
          </w14:textFill>
        </w:rPr>
        <w:t>T</w:t>
      </w:r>
      <w:r>
        <w:rPr>
          <w:rFonts w:hint="eastAsia"/>
          <w:color w:val="000000" w:themeColor="text1"/>
          <w14:textFill>
            <w14:solidFill>
              <w14:schemeClr w14:val="tx1"/>
            </w14:solidFill>
          </w14:textFill>
        </w:rPr>
        <w:t>。</w:t>
      </w:r>
    </w:p>
    <w:p>
      <w:pPr>
        <w:tabs>
          <w:tab w:val="left" w:pos="1267"/>
        </w:tabs>
        <w:spacing w:line="360" w:lineRule="auto"/>
        <w:ind w:firstLine="420" w:firstLineChars="200"/>
        <w:rPr>
          <w:color w:val="000000" w:themeColor="text1"/>
          <w14:textFill>
            <w14:solidFill>
              <w14:schemeClr w14:val="tx1"/>
            </w14:solidFill>
          </w14:textFill>
        </w:rPr>
      </w:pPr>
      <w:r>
        <w:rPr>
          <w:rFonts w:hint="eastAsia"/>
          <w:color w:val="000000" w:themeColor="text1"/>
          <w14:textFill>
            <w14:solidFill>
              <w14:schemeClr w14:val="tx1"/>
            </w14:solidFill>
          </w14:textFill>
        </w:rPr>
        <w:t>☆投标方需在投标文件中提供保证报告。</w:t>
      </w:r>
    </w:p>
    <w:p>
      <w:pPr>
        <w:tabs>
          <w:tab w:val="left" w:pos="1267"/>
        </w:tabs>
        <w:spacing w:line="360" w:lineRule="auto"/>
        <w:ind w:firstLine="420" w:firstLineChars="200"/>
        <w:rPr>
          <w:color w:val="000000" w:themeColor="text1"/>
          <w14:textFill>
            <w14:solidFill>
              <w14:schemeClr w14:val="tx1"/>
            </w14:solidFill>
          </w14:textFill>
        </w:rPr>
      </w:pPr>
      <w:bookmarkStart w:id="78" w:name="_Toc11848750"/>
      <w:bookmarkStart w:id="79" w:name="_Toc119049813"/>
      <w:r>
        <w:rPr>
          <w:rFonts w:hint="eastAsia"/>
          <w:color w:val="000000" w:themeColor="text1"/>
          <w14:textFill>
            <w14:solidFill>
              <w14:schemeClr w14:val="tx1"/>
            </w14:solidFill>
          </w14:textFill>
        </w:rPr>
        <w:t>（</w:t>
      </w:r>
      <w:r>
        <w:rPr>
          <w:color w:val="000000" w:themeColor="text1"/>
          <w14:textFill>
            <w14:solidFill>
              <w14:schemeClr w14:val="tx1"/>
            </w14:solidFill>
          </w14:textFill>
        </w:rPr>
        <w:t>9</w:t>
      </w:r>
      <w:r>
        <w:rPr>
          <w:rFonts w:hint="eastAsia"/>
          <w:color w:val="000000" w:themeColor="text1"/>
          <w14:textFill>
            <w14:solidFill>
              <w14:schemeClr w14:val="tx1"/>
            </w14:solidFill>
          </w14:textFill>
        </w:rPr>
        <w:t>）预制舱紧急逃生措施</w:t>
      </w:r>
      <w:bookmarkEnd w:id="78"/>
      <w:bookmarkEnd w:id="79"/>
    </w:p>
    <w:p>
      <w:pPr>
        <w:tabs>
          <w:tab w:val="left" w:pos="1267"/>
        </w:tabs>
        <w:spacing w:line="360" w:lineRule="auto"/>
        <w:ind w:firstLine="420" w:firstLineChars="200"/>
        <w:rPr>
          <w:color w:val="000000" w:themeColor="text1"/>
          <w14:textFill>
            <w14:solidFill>
              <w14:schemeClr w14:val="tx1"/>
            </w14:solidFill>
          </w14:textFill>
        </w:rPr>
      </w:pPr>
      <w:r>
        <w:rPr>
          <w:color w:val="000000" w:themeColor="text1"/>
          <w14:textFill>
            <w14:solidFill>
              <w14:schemeClr w14:val="tx1"/>
            </w14:solidFill>
          </w14:textFill>
        </w:rPr>
        <w:t>1</w:t>
      </w:r>
      <w:r>
        <w:rPr>
          <w:rFonts w:hint="eastAsia"/>
          <w:color w:val="000000" w:themeColor="text1"/>
          <w14:textFill>
            <w14:solidFill>
              <w14:schemeClr w14:val="tx1"/>
            </w14:solidFill>
          </w14:textFill>
        </w:rPr>
        <w:t>）预制舱通道门板上需设置“推杠式”紧急逃生门锁，满足人员紧急逃生要求。门锁需满足防火要求，高可靠，长寿命。</w:t>
      </w:r>
    </w:p>
    <w:p>
      <w:pPr>
        <w:tabs>
          <w:tab w:val="left" w:pos="1267"/>
        </w:tabs>
        <w:spacing w:line="360" w:lineRule="auto"/>
        <w:ind w:firstLine="420" w:firstLineChars="200"/>
        <w:rPr>
          <w:color w:val="000000" w:themeColor="text1"/>
          <w14:textFill>
            <w14:solidFill>
              <w14:schemeClr w14:val="tx1"/>
            </w14:solidFill>
          </w14:textFill>
        </w:rPr>
      </w:pPr>
      <w:r>
        <w:rPr>
          <w:color w:val="000000" w:themeColor="text1"/>
          <w14:textFill>
            <w14:solidFill>
              <w14:schemeClr w14:val="tx1"/>
            </w14:solidFill>
          </w14:textFill>
        </w:rPr>
        <w:t>2</w:t>
      </w:r>
      <w:r>
        <w:rPr>
          <w:rFonts w:hint="eastAsia"/>
          <w:color w:val="000000" w:themeColor="text1"/>
          <w14:textFill>
            <w14:solidFill>
              <w14:schemeClr w14:val="tx1"/>
            </w14:solidFill>
          </w14:textFill>
        </w:rPr>
        <w:t>）紧急逃生通道设置醒目的安全出口指示，相关通道指示设备均需考虑应急电源，以保证其可靠指示。</w:t>
      </w:r>
    </w:p>
    <w:p>
      <w:pPr>
        <w:tabs>
          <w:tab w:val="left" w:pos="1267"/>
        </w:tabs>
        <w:spacing w:line="360" w:lineRule="auto"/>
        <w:ind w:firstLine="420" w:firstLineChars="200"/>
        <w:rPr>
          <w:color w:val="000000" w:themeColor="text1"/>
          <w14:textFill>
            <w14:solidFill>
              <w14:schemeClr w14:val="tx1"/>
            </w14:solidFill>
          </w14:textFill>
        </w:rPr>
      </w:pPr>
      <w:bookmarkStart w:id="80" w:name="_Toc119049814"/>
      <w:bookmarkStart w:id="81" w:name="_Toc11848751"/>
      <w:r>
        <w:rPr>
          <w:rFonts w:hint="eastAsia"/>
          <w:color w:val="000000" w:themeColor="text1"/>
          <w14:textFill>
            <w14:solidFill>
              <w14:schemeClr w14:val="tx1"/>
            </w14:solidFill>
          </w14:textFill>
        </w:rPr>
        <w:t>（</w:t>
      </w:r>
      <w:r>
        <w:rPr>
          <w:color w:val="000000" w:themeColor="text1"/>
          <w14:textFill>
            <w14:solidFill>
              <w14:schemeClr w14:val="tx1"/>
            </w14:solidFill>
          </w14:textFill>
        </w:rPr>
        <w:t>10</w:t>
      </w:r>
      <w:r>
        <w:rPr>
          <w:rFonts w:hint="eastAsia"/>
          <w:color w:val="000000" w:themeColor="text1"/>
          <w14:textFill>
            <w14:solidFill>
              <w14:schemeClr w14:val="tx1"/>
            </w14:solidFill>
          </w14:textFill>
        </w:rPr>
        <w:t>）预制舱防火性能</w:t>
      </w:r>
      <w:bookmarkEnd w:id="80"/>
      <w:bookmarkEnd w:id="81"/>
    </w:p>
    <w:p>
      <w:pPr>
        <w:tabs>
          <w:tab w:val="left" w:pos="1267"/>
        </w:tabs>
        <w:spacing w:line="360" w:lineRule="auto"/>
        <w:ind w:firstLine="420" w:firstLineChars="200"/>
        <w:rPr>
          <w:color w:val="000000" w:themeColor="text1"/>
          <w14:textFill>
            <w14:solidFill>
              <w14:schemeClr w14:val="tx1"/>
            </w14:solidFill>
          </w14:textFill>
        </w:rPr>
      </w:pPr>
      <w:r>
        <w:rPr>
          <w:color w:val="000000" w:themeColor="text1"/>
          <w14:textFill>
            <w14:solidFill>
              <w14:schemeClr w14:val="tx1"/>
            </w14:solidFill>
          </w14:textFill>
        </w:rPr>
        <w:t>1</w:t>
      </w:r>
      <w:r>
        <w:rPr>
          <w:rFonts w:hint="eastAsia"/>
          <w:color w:val="000000" w:themeColor="text1"/>
          <w14:textFill>
            <w14:solidFill>
              <w14:schemeClr w14:val="tx1"/>
            </w14:solidFill>
          </w14:textFill>
        </w:rPr>
        <w:t>）预制舱应保证良好的防火性能，壁板厚度不小于</w:t>
      </w:r>
      <w:r>
        <w:rPr>
          <w:color w:val="000000" w:themeColor="text1"/>
          <w14:textFill>
            <w14:solidFill>
              <w14:schemeClr w14:val="tx1"/>
            </w14:solidFill>
          </w14:textFill>
        </w:rPr>
        <w:t>120mm</w:t>
      </w:r>
      <w:r>
        <w:rPr>
          <w:rFonts w:hint="eastAsia"/>
          <w:color w:val="000000" w:themeColor="text1"/>
          <w14:textFill>
            <w14:solidFill>
              <w14:schemeClr w14:val="tx1"/>
            </w14:solidFill>
          </w14:textFill>
        </w:rPr>
        <w:t>，有防火要求的舱体壁板、防火密封胶及舱门需采用外部喷涂防火涂料或增加防火材料等措施保证内部或者外部着火时的最低性能水平为耐火</w:t>
      </w:r>
      <w:r>
        <w:rPr>
          <w:color w:val="000000" w:themeColor="text1"/>
          <w14:textFill>
            <w14:solidFill>
              <w14:schemeClr w14:val="tx1"/>
            </w14:solidFill>
          </w14:textFill>
        </w:rPr>
        <w:t>3</w:t>
      </w:r>
      <w:r>
        <w:rPr>
          <w:rFonts w:hint="eastAsia"/>
          <w:color w:val="000000" w:themeColor="text1"/>
          <w14:textFill>
            <w14:solidFill>
              <w14:schemeClr w14:val="tx1"/>
            </w14:solidFill>
          </w14:textFill>
        </w:rPr>
        <w:t>小时以上</w:t>
      </w:r>
      <w:r>
        <w:rPr>
          <w:color w:val="000000" w:themeColor="text1"/>
          <w14:textFill>
            <w14:solidFill>
              <w14:schemeClr w14:val="tx1"/>
            </w14:solidFill>
          </w14:textFill>
        </w:rPr>
        <w:t>,3</w:t>
      </w:r>
      <w:r>
        <w:rPr>
          <w:rFonts w:hint="eastAsia"/>
          <w:color w:val="000000" w:themeColor="text1"/>
          <w14:textFill>
            <w14:solidFill>
              <w14:schemeClr w14:val="tx1"/>
            </w14:solidFill>
          </w14:textFill>
        </w:rPr>
        <w:t>小时内舱体外壳具有完整性及防火性。</w:t>
      </w:r>
    </w:p>
    <w:p>
      <w:pPr>
        <w:tabs>
          <w:tab w:val="left" w:pos="1267"/>
        </w:tabs>
        <w:spacing w:line="360" w:lineRule="auto"/>
        <w:ind w:firstLine="420" w:firstLineChars="200"/>
        <w:rPr>
          <w:color w:val="000000" w:themeColor="text1"/>
          <w14:textFill>
            <w14:solidFill>
              <w14:schemeClr w14:val="tx1"/>
            </w14:solidFill>
          </w14:textFill>
        </w:rPr>
      </w:pPr>
      <w:r>
        <w:rPr>
          <w:rFonts w:hint="eastAsia"/>
          <w:color w:val="000000" w:themeColor="text1"/>
          <w14:textFill>
            <w14:solidFill>
              <w14:schemeClr w14:val="tx1"/>
            </w14:solidFill>
          </w14:textFill>
        </w:rPr>
        <w:t>☆投标厂家需提供由专业第三方机构出具预制舱壁板及舱门防火等相关检测试验报告。</w:t>
      </w:r>
    </w:p>
    <w:p>
      <w:pPr>
        <w:tabs>
          <w:tab w:val="left" w:pos="1267"/>
        </w:tabs>
        <w:spacing w:line="360" w:lineRule="auto"/>
        <w:ind w:firstLine="420" w:firstLineChars="200"/>
        <w:rPr>
          <w:color w:val="000000" w:themeColor="text1"/>
          <w14:textFill>
            <w14:solidFill>
              <w14:schemeClr w14:val="tx1"/>
            </w14:solidFill>
          </w14:textFill>
        </w:rPr>
      </w:pPr>
      <w:r>
        <w:rPr>
          <w:color w:val="000000" w:themeColor="text1"/>
          <w14:textFill>
            <w14:solidFill>
              <w14:schemeClr w14:val="tx1"/>
            </w14:solidFill>
          </w14:textFill>
        </w:rPr>
        <w:t>2</w:t>
      </w:r>
      <w:r>
        <w:rPr>
          <w:rFonts w:hint="eastAsia"/>
          <w:color w:val="000000" w:themeColor="text1"/>
          <w14:textFill>
            <w14:solidFill>
              <w14:schemeClr w14:val="tx1"/>
            </w14:solidFill>
          </w14:textFill>
        </w:rPr>
        <w:t>）预制舱排烟设计应符合现行国家标准</w:t>
      </w:r>
      <w:r>
        <w:rPr>
          <w:color w:val="000000" w:themeColor="text1"/>
          <w14:textFill>
            <w14:solidFill>
              <w14:schemeClr w14:val="tx1"/>
            </w14:solidFill>
          </w14:textFill>
        </w:rPr>
        <w:t xml:space="preserve"> GB50016</w:t>
      </w:r>
      <w:r>
        <w:rPr>
          <w:rFonts w:hint="eastAsia"/>
          <w:color w:val="000000" w:themeColor="text1"/>
          <w14:textFill>
            <w14:solidFill>
              <w14:schemeClr w14:val="tx1"/>
            </w14:solidFill>
          </w14:textFill>
        </w:rPr>
        <w:t>《建筑设计防火规范》和</w:t>
      </w:r>
      <w:r>
        <w:rPr>
          <w:color w:val="000000" w:themeColor="text1"/>
          <w14:textFill>
            <w14:solidFill>
              <w14:schemeClr w14:val="tx1"/>
            </w14:solidFill>
          </w14:textFill>
        </w:rPr>
        <w:t>GB55037</w:t>
      </w:r>
      <w:r>
        <w:rPr>
          <w:rFonts w:hint="eastAsia"/>
          <w:color w:val="000000" w:themeColor="text1"/>
          <w14:textFill>
            <w14:solidFill>
              <w14:schemeClr w14:val="tx1"/>
            </w14:solidFill>
          </w14:textFill>
        </w:rPr>
        <w:t>《建筑防火通用规范》的规定，当火灾发生时，送、排风系统、空调系统应能自动停止运行。</w:t>
      </w:r>
    </w:p>
    <w:p>
      <w:pPr>
        <w:tabs>
          <w:tab w:val="left" w:pos="1267"/>
        </w:tabs>
        <w:spacing w:line="360" w:lineRule="auto"/>
        <w:ind w:firstLine="420" w:firstLineChars="200"/>
        <w:rPr>
          <w:color w:val="000000" w:themeColor="text1"/>
          <w14:textFill>
            <w14:solidFill>
              <w14:schemeClr w14:val="tx1"/>
            </w14:solidFill>
          </w14:textFill>
        </w:rPr>
      </w:pPr>
      <w:r>
        <w:rPr>
          <w:color w:val="000000" w:themeColor="text1"/>
          <w14:textFill>
            <w14:solidFill>
              <w14:schemeClr w14:val="tx1"/>
            </w14:solidFill>
          </w14:textFill>
        </w:rPr>
        <w:t>3</w:t>
      </w:r>
      <w:r>
        <w:rPr>
          <w:rFonts w:hint="eastAsia"/>
          <w:color w:val="000000" w:themeColor="text1"/>
          <w14:textFill>
            <w14:solidFill>
              <w14:schemeClr w14:val="tx1"/>
            </w14:solidFill>
          </w14:textFill>
        </w:rPr>
        <w:t>）预制舱消防供电及应急照明设计应符合现行国家标准</w:t>
      </w:r>
      <w:r>
        <w:rPr>
          <w:color w:val="000000" w:themeColor="text1"/>
          <w14:textFill>
            <w14:solidFill>
              <w14:schemeClr w14:val="tx1"/>
            </w14:solidFill>
          </w14:textFill>
        </w:rPr>
        <w:t>GB50229-2019</w:t>
      </w:r>
      <w:r>
        <w:rPr>
          <w:rFonts w:hint="eastAsia"/>
          <w:color w:val="000000" w:themeColor="text1"/>
          <w14:textFill>
            <w14:solidFill>
              <w14:schemeClr w14:val="tx1"/>
            </w14:solidFill>
          </w14:textFill>
        </w:rPr>
        <w:t>《火力发电厂与变电站设计防火标准》的规定。</w:t>
      </w:r>
    </w:p>
    <w:p>
      <w:pPr>
        <w:tabs>
          <w:tab w:val="left" w:pos="1267"/>
        </w:tabs>
        <w:spacing w:line="360" w:lineRule="auto"/>
        <w:ind w:firstLine="420" w:firstLineChars="200"/>
        <w:rPr>
          <w:color w:val="000000" w:themeColor="text1"/>
          <w14:textFill>
            <w14:solidFill>
              <w14:schemeClr w14:val="tx1"/>
            </w14:solidFill>
          </w14:textFill>
        </w:rPr>
      </w:pPr>
      <w:bookmarkStart w:id="82" w:name="_Toc11848752"/>
      <w:bookmarkStart w:id="83" w:name="_Toc119049815"/>
      <w:r>
        <w:rPr>
          <w:rFonts w:hint="eastAsia"/>
          <w:color w:val="000000" w:themeColor="text1"/>
          <w14:textFill>
            <w14:solidFill>
              <w14:schemeClr w14:val="tx1"/>
            </w14:solidFill>
          </w14:textFill>
        </w:rPr>
        <w:t>（</w:t>
      </w:r>
      <w:r>
        <w:rPr>
          <w:color w:val="000000" w:themeColor="text1"/>
          <w14:textFill>
            <w14:solidFill>
              <w14:schemeClr w14:val="tx1"/>
            </w14:solidFill>
          </w14:textFill>
        </w:rPr>
        <w:t>11</w:t>
      </w:r>
      <w:r>
        <w:rPr>
          <w:rFonts w:hint="eastAsia"/>
          <w:color w:val="000000" w:themeColor="text1"/>
          <w14:textFill>
            <w14:solidFill>
              <w14:schemeClr w14:val="tx1"/>
            </w14:solidFill>
          </w14:textFill>
        </w:rPr>
        <w:t>）预制舱照明</w:t>
      </w:r>
      <w:bookmarkEnd w:id="82"/>
      <w:bookmarkEnd w:id="83"/>
    </w:p>
    <w:p>
      <w:pPr>
        <w:tabs>
          <w:tab w:val="left" w:pos="1267"/>
        </w:tabs>
        <w:spacing w:line="360" w:lineRule="auto"/>
        <w:ind w:firstLine="420" w:firstLineChars="200"/>
        <w:rPr>
          <w:color w:val="000000" w:themeColor="text1"/>
          <w14:textFill>
            <w14:solidFill>
              <w14:schemeClr w14:val="tx1"/>
            </w14:solidFill>
          </w14:textFill>
        </w:rPr>
      </w:pPr>
      <w:r>
        <w:rPr>
          <w:color w:val="000000" w:themeColor="text1"/>
          <w14:textFill>
            <w14:solidFill>
              <w14:schemeClr w14:val="tx1"/>
            </w14:solidFill>
          </w14:textFill>
        </w:rPr>
        <w:t>1</w:t>
      </w:r>
      <w:r>
        <w:rPr>
          <w:rFonts w:hint="eastAsia"/>
          <w:color w:val="000000" w:themeColor="text1"/>
          <w14:textFill>
            <w14:solidFill>
              <w14:schemeClr w14:val="tx1"/>
            </w14:solidFill>
          </w14:textFill>
        </w:rPr>
        <w:t>）预制舱检修走廊内设置通道照明灯，保证足够的照度，方便舱体内部的检修和试验。照明应满足《火力发电厂及变电照明设计技术规定》</w:t>
      </w:r>
      <w:r>
        <w:rPr>
          <w:color w:val="000000" w:themeColor="text1"/>
          <w14:textFill>
            <w14:solidFill>
              <w14:schemeClr w14:val="tx1"/>
            </w14:solidFill>
          </w14:textFill>
        </w:rPr>
        <w:t>DL/T 5390</w:t>
      </w:r>
      <w:r>
        <w:rPr>
          <w:rFonts w:hint="eastAsia"/>
          <w:color w:val="000000" w:themeColor="text1"/>
          <w14:textFill>
            <w14:solidFill>
              <w14:schemeClr w14:val="tx1"/>
            </w14:solidFill>
          </w14:textFill>
        </w:rPr>
        <w:t>、《建筑照明设计标准》</w:t>
      </w:r>
      <w:r>
        <w:rPr>
          <w:color w:val="000000" w:themeColor="text1"/>
          <w14:textFill>
            <w14:solidFill>
              <w14:schemeClr w14:val="tx1"/>
            </w14:solidFill>
          </w14:textFill>
        </w:rPr>
        <w:t>GB50034</w:t>
      </w:r>
      <w:r>
        <w:rPr>
          <w:rFonts w:hint="eastAsia"/>
          <w:color w:val="000000" w:themeColor="text1"/>
          <w14:textFill>
            <w14:solidFill>
              <w14:schemeClr w14:val="tx1"/>
            </w14:solidFill>
          </w14:textFill>
        </w:rPr>
        <w:t>、《低压配电设计规范》</w:t>
      </w:r>
      <w:r>
        <w:rPr>
          <w:color w:val="000000" w:themeColor="text1"/>
          <w14:textFill>
            <w14:solidFill>
              <w14:schemeClr w14:val="tx1"/>
            </w14:solidFill>
          </w14:textFill>
        </w:rPr>
        <w:t>GB50054</w:t>
      </w:r>
      <w:r>
        <w:rPr>
          <w:rFonts w:hint="eastAsia"/>
          <w:color w:val="000000" w:themeColor="text1"/>
          <w14:textFill>
            <w14:solidFill>
              <w14:schemeClr w14:val="tx1"/>
            </w14:solidFill>
          </w14:textFill>
        </w:rPr>
        <w:t>、《消防应急灯具》</w:t>
      </w:r>
      <w:r>
        <w:rPr>
          <w:color w:val="000000" w:themeColor="text1"/>
          <w14:textFill>
            <w14:solidFill>
              <w14:schemeClr w14:val="tx1"/>
            </w14:solidFill>
          </w14:textFill>
        </w:rPr>
        <w:t>GB17945</w:t>
      </w:r>
      <w:r>
        <w:rPr>
          <w:rFonts w:hint="eastAsia"/>
          <w:color w:val="000000" w:themeColor="text1"/>
          <w14:textFill>
            <w14:solidFill>
              <w14:schemeClr w14:val="tx1"/>
            </w14:solidFill>
          </w14:textFill>
        </w:rPr>
        <w:t>等相关规程规范的要求，舱内</w:t>
      </w:r>
      <w:r>
        <w:rPr>
          <w:color w:val="000000" w:themeColor="text1"/>
          <w14:textFill>
            <w14:solidFill>
              <w14:schemeClr w14:val="tx1"/>
            </w14:solidFill>
          </w14:textFill>
        </w:rPr>
        <w:t>0.75m</w:t>
      </w:r>
      <w:r>
        <w:rPr>
          <w:rFonts w:hint="eastAsia"/>
          <w:color w:val="000000" w:themeColor="text1"/>
          <w14:textFill>
            <w14:solidFill>
              <w14:schemeClr w14:val="tx1"/>
            </w14:solidFill>
          </w14:textFill>
        </w:rPr>
        <w:t>（米）水平面的照度不小于</w:t>
      </w:r>
      <w:r>
        <w:rPr>
          <w:color w:val="000000" w:themeColor="text1"/>
          <w14:textFill>
            <w14:solidFill>
              <w14:schemeClr w14:val="tx1"/>
            </w14:solidFill>
          </w14:textFill>
        </w:rPr>
        <w:t>200lx</w:t>
      </w:r>
      <w:r>
        <w:rPr>
          <w:rFonts w:hint="eastAsia"/>
          <w:color w:val="000000" w:themeColor="text1"/>
          <w14:textFill>
            <w14:solidFill>
              <w14:schemeClr w14:val="tx1"/>
            </w14:solidFill>
          </w14:textFill>
        </w:rPr>
        <w:t>，满足相关疏散照明要求。</w:t>
      </w:r>
    </w:p>
    <w:p>
      <w:pPr>
        <w:tabs>
          <w:tab w:val="left" w:pos="1267"/>
        </w:tabs>
        <w:spacing w:line="360" w:lineRule="auto"/>
        <w:ind w:firstLine="420" w:firstLineChars="200"/>
        <w:rPr>
          <w:color w:val="000000" w:themeColor="text1"/>
          <w14:textFill>
            <w14:solidFill>
              <w14:schemeClr w14:val="tx1"/>
            </w14:solidFill>
          </w14:textFill>
        </w:rPr>
      </w:pPr>
      <w:r>
        <w:rPr>
          <w:color w:val="000000" w:themeColor="text1"/>
          <w14:textFill>
            <w14:solidFill>
              <w14:schemeClr w14:val="tx1"/>
            </w14:solidFill>
          </w14:textFill>
        </w:rPr>
        <w:t>2</w:t>
      </w:r>
      <w:r>
        <w:rPr>
          <w:rFonts w:hint="eastAsia"/>
          <w:color w:val="000000" w:themeColor="text1"/>
          <w14:textFill>
            <w14:solidFill>
              <w14:schemeClr w14:val="tx1"/>
            </w14:solidFill>
          </w14:textFill>
        </w:rPr>
        <w:t>）预制舱检修走廊两端分别设置事故照明，并在全站停电的情况下能够自动启动，保证检修走廊内的事故照明。消防应急照明、疏散指示标志应采用蓄电池直流系统供电</w:t>
      </w:r>
      <w:r>
        <w:rPr>
          <w:color w:val="000000" w:themeColor="text1"/>
          <w14:textFill>
            <w14:solidFill>
              <w14:schemeClr w14:val="tx1"/>
            </w14:solidFill>
          </w14:textFill>
        </w:rPr>
        <w:t>,</w:t>
      </w:r>
      <w:r>
        <w:rPr>
          <w:rFonts w:hint="eastAsia"/>
          <w:color w:val="000000" w:themeColor="text1"/>
          <w14:textFill>
            <w14:solidFill>
              <w14:schemeClr w14:val="tx1"/>
            </w14:solidFill>
          </w14:textFill>
        </w:rPr>
        <w:t>疏散通道应急照明、疏散指示标志的连续供电时间不应少于</w:t>
      </w:r>
      <w:r>
        <w:rPr>
          <w:color w:val="000000" w:themeColor="text1"/>
          <w14:textFill>
            <w14:solidFill>
              <w14:schemeClr w14:val="tx1"/>
            </w14:solidFill>
          </w14:textFill>
        </w:rPr>
        <w:t>30min,</w:t>
      </w:r>
      <w:r>
        <w:rPr>
          <w:rFonts w:hint="eastAsia"/>
          <w:color w:val="000000" w:themeColor="text1"/>
          <w14:textFill>
            <w14:solidFill>
              <w14:schemeClr w14:val="tx1"/>
            </w14:solidFill>
          </w14:textFill>
        </w:rPr>
        <w:t>继续工作应急照明连续供电时间不应少于</w:t>
      </w:r>
      <w:r>
        <w:rPr>
          <w:color w:val="000000" w:themeColor="text1"/>
          <w14:textFill>
            <w14:solidFill>
              <w14:schemeClr w14:val="tx1"/>
            </w14:solidFill>
          </w14:textFill>
        </w:rPr>
        <w:t>3h</w:t>
      </w:r>
      <w:r>
        <w:rPr>
          <w:rFonts w:hint="eastAsia"/>
          <w:color w:val="000000" w:themeColor="text1"/>
          <w14:textFill>
            <w14:solidFill>
              <w14:schemeClr w14:val="tx1"/>
            </w14:solidFill>
          </w14:textFill>
        </w:rPr>
        <w:t>。</w:t>
      </w:r>
    </w:p>
    <w:p>
      <w:pPr>
        <w:tabs>
          <w:tab w:val="left" w:pos="1267"/>
        </w:tabs>
        <w:spacing w:line="360" w:lineRule="auto"/>
        <w:ind w:firstLine="420" w:firstLineChars="200"/>
        <w:rPr>
          <w:color w:val="000000" w:themeColor="text1"/>
          <w14:textFill>
            <w14:solidFill>
              <w14:schemeClr w14:val="tx1"/>
            </w14:solidFill>
          </w14:textFill>
        </w:rPr>
      </w:pPr>
      <w:r>
        <w:rPr>
          <w:color w:val="000000" w:themeColor="text1"/>
          <w14:textFill>
            <w14:solidFill>
              <w14:schemeClr w14:val="tx1"/>
            </w14:solidFill>
          </w14:textFill>
        </w:rPr>
        <w:t>3</w:t>
      </w:r>
      <w:r>
        <w:rPr>
          <w:rFonts w:hint="eastAsia"/>
          <w:color w:val="000000" w:themeColor="text1"/>
          <w14:textFill>
            <w14:solidFill>
              <w14:schemeClr w14:val="tx1"/>
            </w14:solidFill>
          </w14:textFill>
        </w:rPr>
        <w:t>）照明开关安装在预制舱出口内侧，开关边缘距门框边缘约</w:t>
      </w:r>
      <w:r>
        <w:rPr>
          <w:color w:val="000000" w:themeColor="text1"/>
          <w14:textFill>
            <w14:solidFill>
              <w14:schemeClr w14:val="tx1"/>
            </w14:solidFill>
          </w14:textFill>
        </w:rPr>
        <w:t>0.2m</w:t>
      </w:r>
      <w:r>
        <w:rPr>
          <w:rFonts w:hint="eastAsia"/>
          <w:color w:val="000000" w:themeColor="text1"/>
          <w14:textFill>
            <w14:solidFill>
              <w14:schemeClr w14:val="tx1"/>
            </w14:solidFill>
          </w14:textFill>
        </w:rPr>
        <w:t>，安装高度为距室内地面</w:t>
      </w:r>
      <w:r>
        <w:rPr>
          <w:color w:val="000000" w:themeColor="text1"/>
          <w14:textFill>
            <w14:solidFill>
              <w14:schemeClr w14:val="tx1"/>
            </w14:solidFill>
          </w14:textFill>
        </w:rPr>
        <w:t>1.3m</w:t>
      </w:r>
      <w:r>
        <w:rPr>
          <w:rFonts w:hint="eastAsia"/>
          <w:color w:val="000000" w:themeColor="text1"/>
          <w14:textFill>
            <w14:solidFill>
              <w14:schemeClr w14:val="tx1"/>
            </w14:solidFill>
          </w14:textFill>
        </w:rPr>
        <w:t>。</w:t>
      </w:r>
    </w:p>
    <w:p>
      <w:pPr>
        <w:tabs>
          <w:tab w:val="left" w:pos="1267"/>
        </w:tabs>
        <w:spacing w:line="360" w:lineRule="auto"/>
        <w:ind w:firstLine="420" w:firstLineChars="200"/>
        <w:rPr>
          <w:color w:val="000000" w:themeColor="text1"/>
          <w14:textFill>
            <w14:solidFill>
              <w14:schemeClr w14:val="tx1"/>
            </w14:solidFill>
          </w14:textFill>
        </w:rPr>
      </w:pPr>
      <w:r>
        <w:rPr>
          <w:color w:val="000000" w:themeColor="text1"/>
          <w14:textFill>
            <w14:solidFill>
              <w14:schemeClr w14:val="tx1"/>
            </w14:solidFill>
          </w14:textFill>
        </w:rPr>
        <w:t>4</w:t>
      </w:r>
      <w:r>
        <w:rPr>
          <w:rFonts w:hint="eastAsia"/>
          <w:color w:val="000000" w:themeColor="text1"/>
          <w14:textFill>
            <w14:solidFill>
              <w14:schemeClr w14:val="tx1"/>
            </w14:solidFill>
          </w14:textFill>
        </w:rPr>
        <w:t>）各拼接完后的预制舱内应设检修、动力、照明等专用电源箱（盒），电源箱（盒）至舱内插座、灯具、空调、风机等用电设施间的缆线及安装由预制舱厂家完成，电源箱（盒）底部距舱内地面高度为</w:t>
      </w:r>
      <w:r>
        <w:rPr>
          <w:color w:val="000000" w:themeColor="text1"/>
          <w14:textFill>
            <w14:solidFill>
              <w14:schemeClr w14:val="tx1"/>
            </w14:solidFill>
          </w14:textFill>
        </w:rPr>
        <w:t>1.3m</w:t>
      </w:r>
      <w:r>
        <w:rPr>
          <w:rFonts w:hint="eastAsia"/>
          <w:color w:val="000000" w:themeColor="text1"/>
          <w14:textFill>
            <w14:solidFill>
              <w14:schemeClr w14:val="tx1"/>
            </w14:solidFill>
          </w14:textFill>
        </w:rPr>
        <w:t>，插座底边距舱内地面高度</w:t>
      </w:r>
      <w:r>
        <w:rPr>
          <w:color w:val="000000" w:themeColor="text1"/>
          <w14:textFill>
            <w14:solidFill>
              <w14:schemeClr w14:val="tx1"/>
            </w14:solidFill>
          </w14:textFill>
        </w:rPr>
        <w:t>0.5m</w:t>
      </w:r>
      <w:r>
        <w:rPr>
          <w:rFonts w:hint="eastAsia"/>
          <w:color w:val="000000" w:themeColor="text1"/>
          <w14:textFill>
            <w14:solidFill>
              <w14:schemeClr w14:val="tx1"/>
            </w14:solidFill>
          </w14:textFill>
        </w:rPr>
        <w:t>。</w:t>
      </w:r>
    </w:p>
    <w:p>
      <w:pPr>
        <w:tabs>
          <w:tab w:val="left" w:pos="1267"/>
        </w:tabs>
        <w:spacing w:line="360" w:lineRule="auto"/>
        <w:ind w:firstLine="420" w:firstLineChars="200"/>
        <w:rPr>
          <w:color w:val="000000" w:themeColor="text1"/>
          <w14:textFill>
            <w14:solidFill>
              <w14:schemeClr w14:val="tx1"/>
            </w14:solidFill>
          </w14:textFill>
        </w:rPr>
      </w:pPr>
      <w:bookmarkStart w:id="84" w:name="_Toc119049816"/>
      <w:bookmarkStart w:id="85" w:name="_Toc11848753"/>
      <w:r>
        <w:rPr>
          <w:rFonts w:hint="eastAsia"/>
          <w:color w:val="000000" w:themeColor="text1"/>
          <w14:textFill>
            <w14:solidFill>
              <w14:schemeClr w14:val="tx1"/>
            </w14:solidFill>
          </w14:textFill>
        </w:rPr>
        <w:t>（</w:t>
      </w:r>
      <w:r>
        <w:rPr>
          <w:color w:val="000000" w:themeColor="text1"/>
          <w14:textFill>
            <w14:solidFill>
              <w14:schemeClr w14:val="tx1"/>
            </w14:solidFill>
          </w14:textFill>
        </w:rPr>
        <w:t>12</w:t>
      </w:r>
      <w:r>
        <w:rPr>
          <w:rFonts w:hint="eastAsia"/>
          <w:color w:val="000000" w:themeColor="text1"/>
          <w14:textFill>
            <w14:solidFill>
              <w14:schemeClr w14:val="tx1"/>
            </w14:solidFill>
          </w14:textFill>
        </w:rPr>
        <w:t>）舱体运维与检修</w:t>
      </w:r>
      <w:bookmarkEnd w:id="84"/>
      <w:bookmarkEnd w:id="85"/>
    </w:p>
    <w:p>
      <w:pPr>
        <w:tabs>
          <w:tab w:val="left" w:pos="1267"/>
        </w:tabs>
        <w:spacing w:line="360" w:lineRule="auto"/>
        <w:ind w:firstLine="420" w:firstLineChars="200"/>
        <w:rPr>
          <w:color w:val="000000" w:themeColor="text1"/>
          <w14:textFill>
            <w14:solidFill>
              <w14:schemeClr w14:val="tx1"/>
            </w14:solidFill>
          </w14:textFill>
        </w:rPr>
      </w:pPr>
      <w:r>
        <w:rPr>
          <w:color w:val="000000" w:themeColor="text1"/>
          <w14:textFill>
            <w14:solidFill>
              <w14:schemeClr w14:val="tx1"/>
            </w14:solidFill>
          </w14:textFill>
        </w:rPr>
        <w:t>1</w:t>
      </w:r>
      <w:r>
        <w:rPr>
          <w:rFonts w:hint="eastAsia"/>
          <w:color w:val="000000" w:themeColor="text1"/>
          <w14:textFill>
            <w14:solidFill>
              <w14:schemeClr w14:val="tx1"/>
            </w14:solidFill>
          </w14:textFill>
        </w:rPr>
        <w:t>）舱体护栏与检修爬梯</w:t>
      </w:r>
    </w:p>
    <w:p>
      <w:pPr>
        <w:tabs>
          <w:tab w:val="left" w:pos="1267"/>
        </w:tabs>
        <w:spacing w:line="360" w:lineRule="auto"/>
        <w:ind w:firstLine="420" w:firstLineChars="200"/>
        <w:rPr>
          <w:color w:val="000000" w:themeColor="text1"/>
          <w14:textFill>
            <w14:solidFill>
              <w14:schemeClr w14:val="tx1"/>
            </w14:solidFill>
          </w14:textFill>
        </w:rPr>
      </w:pPr>
      <w:r>
        <w:rPr>
          <w:rFonts w:hint="eastAsia"/>
          <w:color w:val="000000" w:themeColor="text1"/>
          <w14:textFill>
            <w14:solidFill>
              <w14:schemeClr w14:val="tx1"/>
            </w14:solidFill>
          </w14:textFill>
        </w:rPr>
        <w:t>对于立体建站模式，顶层舱体需设置防护围栏，方便运维以及保证安全。检修爬梯顶部踏板与护栏的底座齐平，脚踏为格栅式，坡度≯</w:t>
      </w:r>
      <w:r>
        <w:rPr>
          <w:color w:val="000000" w:themeColor="text1"/>
          <w14:textFill>
            <w14:solidFill>
              <w14:schemeClr w14:val="tx1"/>
            </w14:solidFill>
          </w14:textFill>
        </w:rPr>
        <w:t>55</w:t>
      </w:r>
      <w:r>
        <w:rPr>
          <w:rFonts w:hint="eastAsia"/>
          <w:color w:val="000000" w:themeColor="text1"/>
          <w14:textFill>
            <w14:solidFill>
              <w14:schemeClr w14:val="tx1"/>
            </w14:solidFill>
          </w14:textFill>
        </w:rPr>
        <w:t>°，脚踏宽度≮</w:t>
      </w:r>
      <w:r>
        <w:rPr>
          <w:color w:val="000000" w:themeColor="text1"/>
          <w14:textFill>
            <w14:solidFill>
              <w14:schemeClr w14:val="tx1"/>
            </w14:solidFill>
          </w14:textFill>
        </w:rPr>
        <w:t>250mm</w:t>
      </w:r>
      <w:r>
        <w:rPr>
          <w:rFonts w:hint="eastAsia"/>
          <w:color w:val="000000" w:themeColor="text1"/>
          <w14:textFill>
            <w14:solidFill>
              <w14:schemeClr w14:val="tx1"/>
            </w14:solidFill>
          </w14:textFill>
        </w:rPr>
        <w:t>，脚踏间高度差≯</w:t>
      </w:r>
      <w:r>
        <w:rPr>
          <w:color w:val="000000" w:themeColor="text1"/>
          <w14:textFill>
            <w14:solidFill>
              <w14:schemeClr w14:val="tx1"/>
            </w14:solidFill>
          </w14:textFill>
        </w:rPr>
        <w:t>300mm</w:t>
      </w:r>
      <w:r>
        <w:rPr>
          <w:rFonts w:hint="eastAsia"/>
          <w:color w:val="000000" w:themeColor="text1"/>
          <w14:textFill>
            <w14:solidFill>
              <w14:schemeClr w14:val="tx1"/>
            </w14:solidFill>
          </w14:textFill>
        </w:rPr>
        <w:t>，检修爬梯两侧设置扶栏等防护措施。</w:t>
      </w:r>
    </w:p>
    <w:p>
      <w:pPr>
        <w:tabs>
          <w:tab w:val="left" w:pos="1267"/>
        </w:tabs>
        <w:spacing w:line="360" w:lineRule="auto"/>
        <w:ind w:firstLine="420" w:firstLineChars="200"/>
        <w:rPr>
          <w:color w:val="000000" w:themeColor="text1"/>
          <w14:textFill>
            <w14:solidFill>
              <w14:schemeClr w14:val="tx1"/>
            </w14:solidFill>
          </w14:textFill>
        </w:rPr>
      </w:pPr>
      <w:r>
        <w:rPr>
          <w:color w:val="000000" w:themeColor="text1"/>
          <w14:textFill>
            <w14:solidFill>
              <w14:schemeClr w14:val="tx1"/>
            </w14:solidFill>
          </w14:textFill>
        </w:rPr>
        <w:t>2</w:t>
      </w:r>
      <w:r>
        <w:rPr>
          <w:rFonts w:hint="eastAsia"/>
          <w:color w:val="000000" w:themeColor="text1"/>
          <w14:textFill>
            <w14:solidFill>
              <w14:schemeClr w14:val="tx1"/>
            </w14:solidFill>
          </w14:textFill>
        </w:rPr>
        <w:t>）设备检修</w:t>
      </w:r>
    </w:p>
    <w:p>
      <w:pPr>
        <w:tabs>
          <w:tab w:val="left" w:pos="1267"/>
        </w:tabs>
        <w:spacing w:line="360" w:lineRule="auto"/>
        <w:ind w:firstLine="420" w:firstLineChars="200"/>
        <w:rPr>
          <w:color w:val="000000" w:themeColor="text1"/>
          <w14:textFill>
            <w14:solidFill>
              <w14:schemeClr w14:val="tx1"/>
            </w14:solidFill>
          </w14:textFill>
        </w:rPr>
      </w:pPr>
      <w:r>
        <w:rPr>
          <w:rFonts w:hint="eastAsia"/>
          <w:color w:val="000000" w:themeColor="text1"/>
          <w14:textFill>
            <w14:solidFill>
              <w14:schemeClr w14:val="tx1"/>
            </w14:solidFill>
          </w14:textFill>
        </w:rPr>
        <w:t>为方便预制舱内部设备检修，预制舱设计时应具备内部设备单独移出条件，内部设备可方便转移至舱外，具备设备整体更换的功能。</w:t>
      </w:r>
    </w:p>
    <w:p>
      <w:pPr>
        <w:tabs>
          <w:tab w:val="left" w:pos="1267"/>
        </w:tabs>
        <w:spacing w:line="360" w:lineRule="auto"/>
        <w:ind w:firstLine="420" w:firstLineChars="200"/>
        <w:rPr>
          <w:color w:val="000000" w:themeColor="text1"/>
          <w14:textFill>
            <w14:solidFill>
              <w14:schemeClr w14:val="tx1"/>
            </w14:solidFill>
          </w14:textFill>
        </w:rPr>
      </w:pPr>
      <w:r>
        <w:rPr>
          <w:rFonts w:hint="eastAsia"/>
          <w:color w:val="000000" w:themeColor="text1"/>
          <w14:textFill>
            <w14:solidFill>
              <w14:schemeClr w14:val="tx1"/>
            </w14:solidFill>
          </w14:textFill>
        </w:rPr>
        <w:t>舱体顶盖为可拆卸设计，拆卸后满足吊装要求，同时，舱体顶盖可分开拆装，且满足防渗漏措施确保层叠部位的可靠密封。</w:t>
      </w:r>
    </w:p>
    <w:p>
      <w:pPr>
        <w:tabs>
          <w:tab w:val="left" w:pos="1267"/>
        </w:tabs>
        <w:spacing w:line="360" w:lineRule="auto"/>
        <w:ind w:firstLine="420" w:firstLineChars="200"/>
        <w:rPr>
          <w:color w:val="000000" w:themeColor="text1"/>
          <w14:textFill>
            <w14:solidFill>
              <w14:schemeClr w14:val="tx1"/>
            </w14:solidFill>
          </w14:textFill>
        </w:rPr>
      </w:pPr>
      <w:r>
        <w:rPr>
          <w:rFonts w:hint="eastAsia"/>
          <w:color w:val="000000" w:themeColor="text1"/>
          <w14:textFill>
            <w14:solidFill>
              <w14:schemeClr w14:val="tx1"/>
            </w14:solidFill>
          </w14:textFill>
        </w:rPr>
        <w:t>供货方应提供后续检修维护的设备拆吊装方案，而且需满足长时间运行后（</w:t>
      </w:r>
      <w:r>
        <w:rPr>
          <w:color w:val="000000" w:themeColor="text1"/>
          <w14:textFill>
            <w14:solidFill>
              <w14:schemeClr w14:val="tx1"/>
            </w14:solidFill>
          </w14:textFill>
        </w:rPr>
        <w:t>30</w:t>
      </w:r>
      <w:r>
        <w:rPr>
          <w:rFonts w:hint="eastAsia"/>
          <w:color w:val="000000" w:themeColor="text1"/>
          <w14:textFill>
            <w14:solidFill>
              <w14:schemeClr w14:val="tx1"/>
            </w14:solidFill>
          </w14:textFill>
        </w:rPr>
        <w:t>年运维周期内）简易、可靠的拆装操作性，即足够可公差配合抵消形变。</w:t>
      </w:r>
    </w:p>
    <w:p>
      <w:pPr>
        <w:tabs>
          <w:tab w:val="left" w:pos="1267"/>
        </w:tabs>
        <w:spacing w:line="360" w:lineRule="auto"/>
        <w:ind w:firstLine="420" w:firstLineChars="200"/>
        <w:rPr>
          <w:color w:val="000000" w:themeColor="text1"/>
          <w14:textFill>
            <w14:solidFill>
              <w14:schemeClr w14:val="tx1"/>
            </w14:solidFill>
          </w14:textFill>
        </w:rPr>
      </w:pPr>
      <w:bookmarkStart w:id="86" w:name="_Toc11848755"/>
      <w:bookmarkStart w:id="87" w:name="_Toc119049818"/>
      <w:r>
        <w:rPr>
          <w:rFonts w:hint="eastAsia"/>
          <w:color w:val="000000" w:themeColor="text1"/>
          <w14:textFill>
            <w14:solidFill>
              <w14:schemeClr w14:val="tx1"/>
            </w14:solidFill>
          </w14:textFill>
        </w:rPr>
        <w:t>（</w:t>
      </w:r>
      <w:r>
        <w:rPr>
          <w:color w:val="000000" w:themeColor="text1"/>
          <w14:textFill>
            <w14:solidFill>
              <w14:schemeClr w14:val="tx1"/>
            </w14:solidFill>
          </w14:textFill>
        </w:rPr>
        <w:t>14</w:t>
      </w:r>
      <w:r>
        <w:rPr>
          <w:rFonts w:hint="eastAsia"/>
          <w:color w:val="000000" w:themeColor="text1"/>
          <w14:textFill>
            <w14:solidFill>
              <w14:schemeClr w14:val="tx1"/>
            </w14:solidFill>
          </w14:textFill>
        </w:rPr>
        <w:t>）预制舱防雷接地</w:t>
      </w:r>
      <w:bookmarkEnd w:id="86"/>
      <w:bookmarkEnd w:id="87"/>
    </w:p>
    <w:p>
      <w:pPr>
        <w:tabs>
          <w:tab w:val="left" w:pos="1267"/>
        </w:tabs>
        <w:spacing w:line="360" w:lineRule="auto"/>
        <w:ind w:firstLine="420" w:firstLineChars="200"/>
        <w:rPr>
          <w:color w:val="000000" w:themeColor="text1"/>
          <w14:textFill>
            <w14:solidFill>
              <w14:schemeClr w14:val="tx1"/>
            </w14:solidFill>
          </w14:textFill>
        </w:rPr>
      </w:pPr>
      <w:r>
        <w:rPr>
          <w:color w:val="000000" w:themeColor="text1"/>
          <w14:textFill>
            <w14:solidFill>
              <w14:schemeClr w14:val="tx1"/>
            </w14:solidFill>
          </w14:textFill>
        </w:rPr>
        <w:t>1</w:t>
      </w:r>
      <w:r>
        <w:rPr>
          <w:rFonts w:hint="eastAsia"/>
          <w:color w:val="000000" w:themeColor="text1"/>
          <w14:textFill>
            <w14:solidFill>
              <w14:schemeClr w14:val="tx1"/>
            </w14:solidFill>
          </w14:textFill>
        </w:rPr>
        <w:t>）一次防雷接地</w:t>
      </w:r>
    </w:p>
    <w:p>
      <w:pPr>
        <w:tabs>
          <w:tab w:val="left" w:pos="1267"/>
        </w:tabs>
        <w:spacing w:line="360" w:lineRule="auto"/>
        <w:ind w:firstLine="420" w:firstLineChars="200"/>
        <w:rPr>
          <w:color w:val="000000" w:themeColor="text1"/>
          <w14:textFill>
            <w14:solidFill>
              <w14:schemeClr w14:val="tx1"/>
            </w14:solidFill>
          </w14:textFill>
        </w:rPr>
      </w:pPr>
      <w:r>
        <w:rPr>
          <w:rFonts w:hint="eastAsia"/>
          <w:color w:val="000000" w:themeColor="text1"/>
          <w14:textFill>
            <w14:solidFill>
              <w14:schemeClr w14:val="tx1"/>
            </w14:solidFill>
          </w14:textFill>
        </w:rPr>
        <w:t>a</w:t>
      </w:r>
      <w:r>
        <w:rPr>
          <w:color w:val="000000" w:themeColor="text1"/>
          <w14:textFill>
            <w14:solidFill>
              <w14:schemeClr w14:val="tx1"/>
            </w14:solidFill>
          </w14:textFill>
        </w:rPr>
        <w:t>)</w:t>
      </w:r>
      <w:r>
        <w:rPr>
          <w:rFonts w:hint="eastAsia"/>
          <w:color w:val="000000" w:themeColor="text1"/>
          <w14:textFill>
            <w14:solidFill>
              <w14:schemeClr w14:val="tx1"/>
            </w14:solidFill>
          </w14:textFill>
        </w:rPr>
        <w:t>接地</w:t>
      </w:r>
    </w:p>
    <w:p>
      <w:pPr>
        <w:tabs>
          <w:tab w:val="left" w:pos="1267"/>
        </w:tabs>
        <w:spacing w:line="360" w:lineRule="auto"/>
        <w:ind w:firstLine="420" w:firstLineChars="200"/>
        <w:rPr>
          <w:color w:val="000000" w:themeColor="text1"/>
          <w14:textFill>
            <w14:solidFill>
              <w14:schemeClr w14:val="tx1"/>
            </w14:solidFill>
          </w14:textFill>
        </w:rPr>
      </w:pPr>
      <w:r>
        <w:rPr>
          <w:rFonts w:hint="eastAsia"/>
          <w:color w:val="000000" w:themeColor="text1"/>
          <w14:textFill>
            <w14:solidFill>
              <w14:schemeClr w14:val="tx1"/>
            </w14:solidFill>
          </w14:textFill>
        </w:rPr>
        <w:t>预制舱接地设计应符合</w:t>
      </w:r>
      <w:r>
        <w:rPr>
          <w:color w:val="000000" w:themeColor="text1"/>
          <w14:textFill>
            <w14:solidFill>
              <w14:schemeClr w14:val="tx1"/>
            </w14:solidFill>
          </w14:textFill>
        </w:rPr>
        <w:t>GB T50065</w:t>
      </w:r>
      <w:r>
        <w:rPr>
          <w:rFonts w:hint="eastAsia"/>
          <w:color w:val="000000" w:themeColor="text1"/>
          <w14:textFill>
            <w14:solidFill>
              <w14:schemeClr w14:val="tx1"/>
            </w14:solidFill>
          </w14:textFill>
        </w:rPr>
        <w:t>《交流电气装置的接地设计规范》的要求，预制舱的箱体底架外侧应设不少于</w:t>
      </w:r>
      <w:r>
        <w:rPr>
          <w:color w:val="000000" w:themeColor="text1"/>
          <w14:textFill>
            <w14:solidFill>
              <w14:schemeClr w14:val="tx1"/>
            </w14:solidFill>
          </w14:textFill>
        </w:rPr>
        <w:t>6</w:t>
      </w:r>
      <w:r>
        <w:rPr>
          <w:rFonts w:hint="eastAsia"/>
          <w:color w:val="000000" w:themeColor="text1"/>
          <w14:textFill>
            <w14:solidFill>
              <w14:schemeClr w14:val="tx1"/>
            </w14:solidFill>
          </w14:textFill>
        </w:rPr>
        <w:t>个专用接地端子，均匀分布，并应有明显的接地标志，各接地端子应与舱体内的环形接地母线可靠连接，舱体安装就位后还应将此端子与储能站主接地网可靠相连。</w:t>
      </w:r>
    </w:p>
    <w:p>
      <w:pPr>
        <w:tabs>
          <w:tab w:val="left" w:pos="1267"/>
        </w:tabs>
        <w:spacing w:line="360" w:lineRule="auto"/>
        <w:ind w:firstLine="420" w:firstLineChars="200"/>
        <w:rPr>
          <w:color w:val="000000" w:themeColor="text1"/>
          <w14:textFill>
            <w14:solidFill>
              <w14:schemeClr w14:val="tx1"/>
            </w14:solidFill>
          </w14:textFill>
        </w:rPr>
      </w:pPr>
      <w:r>
        <w:rPr>
          <w:rFonts w:hint="eastAsia"/>
          <w:color w:val="000000" w:themeColor="text1"/>
          <w14:textFill>
            <w14:solidFill>
              <w14:schemeClr w14:val="tx1"/>
            </w14:solidFill>
          </w14:textFill>
        </w:rPr>
        <w:t>预制舱舱体的所有金属部分均应采用专用导体做好等电位连接，各舱内的金属设备支架及构件均应有符合规范的接地端子，并与专用接地导体可靠地连接在一起。</w:t>
      </w:r>
    </w:p>
    <w:p>
      <w:pPr>
        <w:tabs>
          <w:tab w:val="left" w:pos="1267"/>
        </w:tabs>
        <w:spacing w:line="360" w:lineRule="auto"/>
        <w:ind w:firstLine="420" w:firstLineChars="200"/>
        <w:rPr>
          <w:color w:val="000000" w:themeColor="text1"/>
          <w14:textFill>
            <w14:solidFill>
              <w14:schemeClr w14:val="tx1"/>
            </w14:solidFill>
          </w14:textFill>
        </w:rPr>
      </w:pPr>
      <w:r>
        <w:rPr>
          <w:rFonts w:hint="eastAsia"/>
          <w:color w:val="000000" w:themeColor="text1"/>
          <w14:textFill>
            <w14:solidFill>
              <w14:schemeClr w14:val="tx1"/>
            </w14:solidFill>
          </w14:textFill>
        </w:rPr>
        <w:t>预制舱内设环形接地网，环形地网采用</w:t>
      </w:r>
      <w:r>
        <w:rPr>
          <w:color w:val="000000" w:themeColor="text1"/>
          <w14:textFill>
            <w14:solidFill>
              <w14:schemeClr w14:val="tx1"/>
            </w14:solidFill>
          </w14:textFill>
        </w:rPr>
        <w:t>-50</w:t>
      </w:r>
      <w:r>
        <w:rPr>
          <w:rFonts w:hint="eastAsia"/>
          <w:color w:val="000000" w:themeColor="text1"/>
          <w14:textFill>
            <w14:solidFill>
              <w14:schemeClr w14:val="tx1"/>
            </w14:solidFill>
          </w14:textFill>
        </w:rPr>
        <w:t>×</w:t>
      </w:r>
      <w:r>
        <w:rPr>
          <w:color w:val="000000" w:themeColor="text1"/>
          <w14:textFill>
            <w14:solidFill>
              <w14:schemeClr w14:val="tx1"/>
            </w14:solidFill>
          </w14:textFill>
        </w:rPr>
        <w:t>5</w:t>
      </w:r>
      <w:r>
        <w:rPr>
          <w:rFonts w:hint="eastAsia"/>
          <w:color w:val="000000" w:themeColor="text1"/>
          <w14:textFill>
            <w14:solidFill>
              <w14:schemeClr w14:val="tx1"/>
            </w14:solidFill>
          </w14:textFill>
        </w:rPr>
        <w:t>热镀锌扁钢沿舱壁四周明敷，高出室内地面</w:t>
      </w:r>
      <w:r>
        <w:rPr>
          <w:color w:val="000000" w:themeColor="text1"/>
          <w14:textFill>
            <w14:solidFill>
              <w14:schemeClr w14:val="tx1"/>
            </w14:solidFill>
          </w14:textFill>
        </w:rPr>
        <w:t>200mm</w:t>
      </w:r>
      <w:r>
        <w:rPr>
          <w:rFonts w:hint="eastAsia"/>
          <w:color w:val="000000" w:themeColor="text1"/>
          <w14:textFill>
            <w14:solidFill>
              <w14:schemeClr w14:val="tx1"/>
            </w14:solidFill>
          </w14:textFill>
        </w:rPr>
        <w:t>。镀层厚度符合</w:t>
      </w:r>
      <w:r>
        <w:rPr>
          <w:color w:val="000000" w:themeColor="text1"/>
          <w14:textFill>
            <w14:solidFill>
              <w14:schemeClr w14:val="tx1"/>
            </w14:solidFill>
          </w14:textFill>
        </w:rPr>
        <w:t xml:space="preserve"> DL/T 1342 </w:t>
      </w:r>
      <w:r>
        <w:rPr>
          <w:rFonts w:hint="eastAsia"/>
          <w:color w:val="000000" w:themeColor="text1"/>
          <w14:textFill>
            <w14:solidFill>
              <w14:schemeClr w14:val="tx1"/>
            </w14:solidFill>
          </w14:textFill>
        </w:rPr>
        <w:t>的</w:t>
      </w:r>
      <w:r>
        <w:rPr>
          <w:color w:val="000000" w:themeColor="text1"/>
          <w14:textFill>
            <w14:solidFill>
              <w14:schemeClr w14:val="tx1"/>
            </w14:solidFill>
          </w14:textFill>
        </w:rPr>
        <w:t>6.1</w:t>
      </w:r>
      <w:r>
        <w:rPr>
          <w:rFonts w:hint="eastAsia"/>
          <w:color w:val="000000" w:themeColor="text1"/>
          <w14:textFill>
            <w14:solidFill>
              <w14:schemeClr w14:val="tx1"/>
            </w14:solidFill>
          </w14:textFill>
        </w:rPr>
        <w:t>规定。并在设备间预留设备接地柱。</w:t>
      </w:r>
    </w:p>
    <w:p>
      <w:pPr>
        <w:tabs>
          <w:tab w:val="left" w:pos="1267"/>
        </w:tabs>
        <w:spacing w:line="360" w:lineRule="auto"/>
        <w:ind w:firstLine="420" w:firstLineChars="200"/>
        <w:rPr>
          <w:color w:val="000000" w:themeColor="text1"/>
          <w14:textFill>
            <w14:solidFill>
              <w14:schemeClr w14:val="tx1"/>
            </w14:solidFill>
          </w14:textFill>
        </w:rPr>
      </w:pPr>
      <w:r>
        <w:rPr>
          <w:rFonts w:hint="eastAsia"/>
          <w:color w:val="000000" w:themeColor="text1"/>
          <w14:textFill>
            <w14:solidFill>
              <w14:schemeClr w14:val="tx1"/>
            </w14:solidFill>
          </w14:textFill>
        </w:rPr>
        <w:t>b</w:t>
      </w:r>
      <w:r>
        <w:rPr>
          <w:color w:val="000000" w:themeColor="text1"/>
          <w14:textFill>
            <w14:solidFill>
              <w14:schemeClr w14:val="tx1"/>
            </w14:solidFill>
          </w14:textFill>
        </w:rPr>
        <w:t>)</w:t>
      </w:r>
      <w:r>
        <w:rPr>
          <w:rFonts w:hint="eastAsia"/>
          <w:color w:val="000000" w:themeColor="text1"/>
          <w14:textFill>
            <w14:solidFill>
              <w14:schemeClr w14:val="tx1"/>
            </w14:solidFill>
          </w14:textFill>
        </w:rPr>
        <w:t>防雷</w:t>
      </w:r>
    </w:p>
    <w:p>
      <w:pPr>
        <w:tabs>
          <w:tab w:val="left" w:pos="1267"/>
        </w:tabs>
        <w:spacing w:line="360" w:lineRule="auto"/>
        <w:ind w:firstLine="420" w:firstLineChars="200"/>
        <w:rPr>
          <w:color w:val="000000" w:themeColor="text1"/>
          <w14:textFill>
            <w14:solidFill>
              <w14:schemeClr w14:val="tx1"/>
            </w14:solidFill>
          </w14:textFill>
        </w:rPr>
      </w:pPr>
      <w:r>
        <w:rPr>
          <w:rFonts w:hint="eastAsia"/>
          <w:color w:val="000000" w:themeColor="text1"/>
          <w14:textFill>
            <w14:solidFill>
              <w14:schemeClr w14:val="tx1"/>
            </w14:solidFill>
          </w14:textFill>
        </w:rPr>
        <w:t>预制舱顶设置天面避雷带，避雷带网格大小不大于1</w:t>
      </w:r>
      <w:r>
        <w:rPr>
          <w:color w:val="000000" w:themeColor="text1"/>
          <w14:textFill>
            <w14:solidFill>
              <w14:schemeClr w14:val="tx1"/>
            </w14:solidFill>
          </w14:textFill>
        </w:rPr>
        <w:t>0</w:t>
      </w:r>
      <w:r>
        <w:rPr>
          <w:rFonts w:hint="eastAsia"/>
          <w:color w:val="000000" w:themeColor="text1"/>
          <w14:textFill>
            <w14:solidFill>
              <w14:schemeClr w14:val="tx1"/>
            </w14:solidFill>
          </w14:textFill>
        </w:rPr>
        <w:t>m</w:t>
      </w:r>
      <w:r>
        <w:rPr>
          <w:color w:val="000000" w:themeColor="text1"/>
          <w14:textFill>
            <w14:solidFill>
              <w14:schemeClr w14:val="tx1"/>
            </w14:solidFill>
          </w14:textFill>
        </w:rPr>
        <w:t>x10m</w:t>
      </w:r>
      <w:r>
        <w:rPr>
          <w:rFonts w:hint="eastAsia"/>
          <w:color w:val="000000" w:themeColor="text1"/>
          <w14:textFill>
            <w14:solidFill>
              <w14:schemeClr w14:val="tx1"/>
            </w14:solidFill>
          </w14:textFill>
        </w:rPr>
        <w:t>，由</w:t>
      </w:r>
      <w:r>
        <w:rPr>
          <w:rFonts w:hint="eastAsia" w:ascii="MS Gothic" w:hAnsi="MS Gothic" w:eastAsia="MS Gothic" w:cs="MS Gothic"/>
          <w:color w:val="000000" w:themeColor="text1"/>
          <w14:textFill>
            <w14:solidFill>
              <w14:schemeClr w14:val="tx1"/>
            </w14:solidFill>
          </w14:textFill>
        </w:rPr>
        <w:t>∅</w:t>
      </w:r>
      <w:r>
        <w:rPr>
          <w:color w:val="000000" w:themeColor="text1"/>
          <w14:textFill>
            <w14:solidFill>
              <w14:schemeClr w14:val="tx1"/>
            </w14:solidFill>
          </w14:textFill>
        </w:rPr>
        <w:t>16</w:t>
      </w:r>
      <w:r>
        <w:rPr>
          <w:rFonts w:hint="eastAsia"/>
          <w:color w:val="000000" w:themeColor="text1"/>
          <w14:textFill>
            <w14:solidFill>
              <w14:schemeClr w14:val="tx1"/>
            </w14:solidFill>
          </w14:textFill>
        </w:rPr>
        <w:t>镀锌圆钢搭接焊而成，搭接长度不小于圆钢直径的6倍。避雷带应焊接在支座上，支座间距不应大于1m。</w:t>
      </w:r>
    </w:p>
    <w:p>
      <w:pPr>
        <w:tabs>
          <w:tab w:val="left" w:pos="1267"/>
        </w:tabs>
        <w:spacing w:line="360" w:lineRule="auto"/>
        <w:ind w:firstLine="420" w:firstLineChars="200"/>
        <w:rPr>
          <w:color w:val="000000" w:themeColor="text1"/>
          <w14:textFill>
            <w14:solidFill>
              <w14:schemeClr w14:val="tx1"/>
            </w14:solidFill>
          </w14:textFill>
        </w:rPr>
      </w:pPr>
      <w:r>
        <w:rPr>
          <w:rFonts w:hint="eastAsia"/>
          <w:color w:val="000000" w:themeColor="text1"/>
          <w14:textFill>
            <w14:solidFill>
              <w14:schemeClr w14:val="tx1"/>
            </w14:solidFill>
          </w14:textFill>
        </w:rPr>
        <w:t>避雷带应设引下线，引下线之间的间距不大于18m，引下时避开门窗，引下线用</w:t>
      </w:r>
      <w:r>
        <w:rPr>
          <w:rFonts w:hint="eastAsia" w:ascii="MS Gothic" w:hAnsi="MS Gothic" w:eastAsia="MS Gothic" w:cs="MS Gothic"/>
          <w:color w:val="000000" w:themeColor="text1"/>
          <w14:textFill>
            <w14:solidFill>
              <w14:schemeClr w14:val="tx1"/>
            </w14:solidFill>
          </w14:textFill>
        </w:rPr>
        <w:t>∅</w:t>
      </w:r>
      <w:r>
        <w:rPr>
          <w:color w:val="000000" w:themeColor="text1"/>
          <w14:textFill>
            <w14:solidFill>
              <w14:schemeClr w14:val="tx1"/>
            </w14:solidFill>
          </w14:textFill>
        </w:rPr>
        <w:t>16</w:t>
      </w:r>
      <w:r>
        <w:rPr>
          <w:rFonts w:hint="eastAsia"/>
          <w:color w:val="000000" w:themeColor="text1"/>
          <w14:textFill>
            <w14:solidFill>
              <w14:schemeClr w14:val="tx1"/>
            </w14:solidFill>
          </w14:textFill>
        </w:rPr>
        <w:t>热镀锌圆钢沿舱壁敷设，由避雷带接至主接地网，使避雷带与主接地网有多点连接。引下线支撑点每1.0m设置一个，转弯处每0.5m设置一个。</w:t>
      </w:r>
    </w:p>
    <w:p>
      <w:pPr>
        <w:tabs>
          <w:tab w:val="left" w:pos="1267"/>
        </w:tabs>
        <w:spacing w:line="360" w:lineRule="auto"/>
        <w:ind w:firstLine="420" w:firstLineChars="200"/>
        <w:rPr>
          <w:color w:val="000000" w:themeColor="text1"/>
          <w14:textFill>
            <w14:solidFill>
              <w14:schemeClr w14:val="tx1"/>
            </w14:solidFill>
          </w14:textFill>
        </w:rPr>
      </w:pPr>
      <w:r>
        <w:rPr>
          <w:color w:val="000000" w:themeColor="text1"/>
          <w14:textFill>
            <w14:solidFill>
              <w14:schemeClr w14:val="tx1"/>
            </w14:solidFill>
          </w14:textFill>
        </w:rPr>
        <w:t>2</w:t>
      </w:r>
      <w:r>
        <w:rPr>
          <w:rFonts w:hint="eastAsia"/>
          <w:color w:val="000000" w:themeColor="text1"/>
          <w14:textFill>
            <w14:solidFill>
              <w14:schemeClr w14:val="tx1"/>
            </w14:solidFill>
          </w14:textFill>
        </w:rPr>
        <w:t>）二次接地</w:t>
      </w:r>
    </w:p>
    <w:p>
      <w:pPr>
        <w:tabs>
          <w:tab w:val="left" w:pos="1267"/>
        </w:tabs>
        <w:spacing w:line="360" w:lineRule="auto"/>
        <w:ind w:firstLine="420" w:firstLineChars="200"/>
        <w:rPr>
          <w:color w:val="000000" w:themeColor="text1"/>
          <w14:textFill>
            <w14:solidFill>
              <w14:schemeClr w14:val="tx1"/>
            </w14:solidFill>
          </w14:textFill>
        </w:rPr>
      </w:pPr>
      <w:r>
        <w:rPr>
          <w:rFonts w:hint="eastAsia"/>
          <w:color w:val="000000" w:themeColor="text1"/>
          <w14:textFill>
            <w14:solidFill>
              <w14:schemeClr w14:val="tx1"/>
            </w14:solidFill>
          </w14:textFill>
        </w:rPr>
        <w:t>二次接地网应满足《广东省电力系统继电保护反事故措施</w:t>
      </w:r>
      <w:r>
        <w:rPr>
          <w:color w:val="000000" w:themeColor="text1"/>
          <w14:textFill>
            <w14:solidFill>
              <w14:schemeClr w14:val="tx1"/>
            </w14:solidFill>
          </w14:textFill>
        </w:rPr>
        <w:t>2007</w:t>
      </w:r>
      <w:r>
        <w:rPr>
          <w:rFonts w:hint="eastAsia"/>
          <w:color w:val="000000" w:themeColor="text1"/>
          <w14:textFill>
            <w14:solidFill>
              <w14:schemeClr w14:val="tx1"/>
            </w14:solidFill>
          </w14:textFill>
        </w:rPr>
        <w:t>版》的要求。</w:t>
      </w:r>
    </w:p>
    <w:p>
      <w:pPr>
        <w:tabs>
          <w:tab w:val="left" w:pos="1267"/>
        </w:tabs>
        <w:spacing w:line="360" w:lineRule="auto"/>
        <w:ind w:firstLine="420" w:firstLineChars="200"/>
        <w:rPr>
          <w:color w:val="000000" w:themeColor="text1"/>
          <w14:textFill>
            <w14:solidFill>
              <w14:schemeClr w14:val="tx1"/>
            </w14:solidFill>
          </w14:textFill>
        </w:rPr>
      </w:pPr>
      <w:r>
        <w:rPr>
          <w:rFonts w:hint="eastAsia"/>
          <w:color w:val="000000" w:themeColor="text1"/>
          <w14:textFill>
            <w14:solidFill>
              <w14:schemeClr w14:val="tx1"/>
            </w14:solidFill>
          </w14:textFill>
        </w:rPr>
        <w:t>二次防雷总体要求</w:t>
      </w:r>
    </w:p>
    <w:p>
      <w:pPr>
        <w:tabs>
          <w:tab w:val="left" w:pos="1267"/>
        </w:tabs>
        <w:spacing w:line="360" w:lineRule="auto"/>
        <w:ind w:firstLine="420" w:firstLineChars="200"/>
        <w:rPr>
          <w:color w:val="000000" w:themeColor="text1"/>
          <w14:textFill>
            <w14:solidFill>
              <w14:schemeClr w14:val="tx1"/>
            </w14:solidFill>
          </w14:textFill>
        </w:rPr>
      </w:pPr>
      <w:r>
        <w:rPr>
          <w:rFonts w:hint="eastAsia"/>
          <w:color w:val="000000" w:themeColor="text1"/>
          <w14:textFill>
            <w14:solidFill>
              <w14:schemeClr w14:val="tx1"/>
            </w14:solidFill>
          </w14:textFill>
        </w:rPr>
        <w:t>变电站二次系统的雷电电磁脉冲防护（以下简称为防雷）应做到统筹规划、整体设计，从接地、屏蔽、均压、限幅及隔离五个方面来采取综合防护措施，满足《广东电力系统防雷规范配置指导意见》的要求。</w:t>
      </w:r>
    </w:p>
    <w:p>
      <w:pPr>
        <w:tabs>
          <w:tab w:val="left" w:pos="1267"/>
        </w:tabs>
        <w:spacing w:line="360" w:lineRule="auto"/>
        <w:ind w:firstLine="420" w:firstLineChars="200"/>
        <w:rPr>
          <w:color w:val="000000" w:themeColor="text1"/>
          <w14:textFill>
            <w14:solidFill>
              <w14:schemeClr w14:val="tx1"/>
            </w14:solidFill>
          </w14:textFill>
        </w:rPr>
      </w:pPr>
      <w:r>
        <w:rPr>
          <w:rFonts w:hint="eastAsia"/>
          <w:color w:val="000000" w:themeColor="text1"/>
          <w14:textFill>
            <w14:solidFill>
              <w14:schemeClr w14:val="tx1"/>
            </w14:solidFill>
          </w14:textFill>
        </w:rPr>
        <w:t>⑵变电站二次系统雷电防护区的划分应符合</w:t>
      </w:r>
      <w:r>
        <w:rPr>
          <w:color w:val="000000" w:themeColor="text1"/>
          <w14:textFill>
            <w14:solidFill>
              <w14:schemeClr w14:val="tx1"/>
            </w14:solidFill>
          </w14:textFill>
        </w:rPr>
        <w:t>GB 50343-2012</w:t>
      </w:r>
      <w:r>
        <w:rPr>
          <w:rFonts w:hint="eastAsia"/>
          <w:color w:val="000000" w:themeColor="text1"/>
          <w14:textFill>
            <w14:solidFill>
              <w14:schemeClr w14:val="tx1"/>
            </w14:solidFill>
          </w14:textFill>
        </w:rPr>
        <w:t>建筑物电子信息系统防雷技术规范的要求，根据雷电防护区的划分原则，变电站二次系统的防雷工作应减少直击雷（试验波形</w:t>
      </w:r>
      <w:r>
        <w:rPr>
          <w:color w:val="000000" w:themeColor="text1"/>
          <w14:textFill>
            <w14:solidFill>
              <w14:schemeClr w14:val="tx1"/>
            </w14:solidFill>
          </w14:textFill>
        </w:rPr>
        <w:t>10/350μs</w:t>
      </w:r>
      <w:r>
        <w:rPr>
          <w:rFonts w:hint="eastAsia"/>
          <w:color w:val="000000" w:themeColor="text1"/>
          <w14:textFill>
            <w14:solidFill>
              <w14:schemeClr w14:val="tx1"/>
            </w14:solidFill>
          </w14:textFill>
        </w:rPr>
        <w:t>）和雷电电磁脉冲（试验波形</w:t>
      </w:r>
      <w:r>
        <w:rPr>
          <w:color w:val="000000" w:themeColor="text1"/>
          <w14:textFill>
            <w14:solidFill>
              <w14:schemeClr w14:val="tx1"/>
            </w14:solidFill>
          </w14:textFill>
        </w:rPr>
        <w:t>8/20μs</w:t>
      </w:r>
      <w:r>
        <w:rPr>
          <w:rFonts w:hint="eastAsia"/>
          <w:color w:val="000000" w:themeColor="text1"/>
          <w14:textFill>
            <w14:solidFill>
              <w14:schemeClr w14:val="tx1"/>
            </w14:solidFill>
          </w14:textFill>
        </w:rPr>
        <w:t>）对二次系统造成的危害。</w:t>
      </w:r>
    </w:p>
    <w:p>
      <w:pPr>
        <w:tabs>
          <w:tab w:val="left" w:pos="1267"/>
        </w:tabs>
        <w:spacing w:line="360" w:lineRule="auto"/>
        <w:ind w:firstLine="420" w:firstLineChars="200"/>
        <w:rPr>
          <w:color w:val="000000" w:themeColor="text1"/>
          <w14:textFill>
            <w14:solidFill>
              <w14:schemeClr w14:val="tx1"/>
            </w14:solidFill>
          </w14:textFill>
        </w:rPr>
      </w:pPr>
      <w:r>
        <w:rPr>
          <w:rFonts w:hint="eastAsia"/>
          <w:color w:val="000000" w:themeColor="text1"/>
          <w14:textFill>
            <w14:solidFill>
              <w14:schemeClr w14:val="tx1"/>
            </w14:solidFill>
          </w14:textFill>
        </w:rPr>
        <w:t>⑶控制室内应使用限压型或组合型的具有能量自动配合功能的</w:t>
      </w:r>
      <w:r>
        <w:rPr>
          <w:color w:val="000000" w:themeColor="text1"/>
          <w14:textFill>
            <w14:solidFill>
              <w14:schemeClr w14:val="tx1"/>
            </w14:solidFill>
          </w14:textFill>
        </w:rPr>
        <w:t>SPD</w:t>
      </w:r>
      <w:r>
        <w:rPr>
          <w:rFonts w:hint="eastAsia"/>
          <w:color w:val="000000" w:themeColor="text1"/>
          <w14:textFill>
            <w14:solidFill>
              <w14:schemeClr w14:val="tx1"/>
            </w14:solidFill>
          </w14:textFill>
        </w:rPr>
        <w:t>，禁止在回路上加装退耦元件。</w:t>
      </w:r>
    </w:p>
    <w:p>
      <w:pPr>
        <w:tabs>
          <w:tab w:val="left" w:pos="1267"/>
        </w:tabs>
        <w:spacing w:line="360" w:lineRule="auto"/>
        <w:ind w:firstLine="420" w:firstLineChars="200"/>
        <w:rPr>
          <w:color w:val="000000" w:themeColor="text1"/>
          <w14:textFill>
            <w14:solidFill>
              <w14:schemeClr w14:val="tx1"/>
            </w14:solidFill>
          </w14:textFill>
        </w:rPr>
      </w:pPr>
      <w:r>
        <w:rPr>
          <w:rFonts w:hint="eastAsia"/>
          <w:color w:val="000000" w:themeColor="text1"/>
          <w14:textFill>
            <w14:solidFill>
              <w14:schemeClr w14:val="tx1"/>
            </w14:solidFill>
          </w14:textFill>
        </w:rPr>
        <w:t>⑷变电站二次系统的雷电防护应遵循从加强设备自身抗雷电电磁干扰能力入手，以加装</w:t>
      </w:r>
      <w:r>
        <w:rPr>
          <w:color w:val="000000" w:themeColor="text1"/>
          <w14:textFill>
            <w14:solidFill>
              <w14:schemeClr w14:val="tx1"/>
            </w14:solidFill>
          </w14:textFill>
        </w:rPr>
        <w:t xml:space="preserve">SPD </w:t>
      </w:r>
      <w:r>
        <w:rPr>
          <w:rFonts w:hint="eastAsia"/>
          <w:color w:val="000000" w:themeColor="text1"/>
          <w14:textFill>
            <w14:solidFill>
              <w14:schemeClr w14:val="tx1"/>
            </w14:solidFill>
          </w14:textFill>
        </w:rPr>
        <w:t>防雷器件为补充的原则。</w:t>
      </w:r>
    </w:p>
    <w:p>
      <w:pPr>
        <w:tabs>
          <w:tab w:val="left" w:pos="1267"/>
        </w:tabs>
        <w:spacing w:line="360" w:lineRule="auto"/>
        <w:ind w:firstLine="420" w:firstLineChars="200"/>
        <w:rPr>
          <w:color w:val="000000" w:themeColor="text1"/>
          <w14:textFill>
            <w14:solidFill>
              <w14:schemeClr w14:val="tx1"/>
            </w14:solidFill>
          </w14:textFill>
        </w:rPr>
      </w:pPr>
      <w:r>
        <w:rPr>
          <w:color w:val="000000" w:themeColor="text1"/>
          <w14:textFill>
            <w14:solidFill>
              <w14:schemeClr w14:val="tx1"/>
            </w14:solidFill>
          </w14:textFill>
        </w:rPr>
        <w:t>2</w:t>
      </w:r>
      <w:r>
        <w:rPr>
          <w:rFonts w:hint="eastAsia"/>
          <w:color w:val="000000" w:themeColor="text1"/>
          <w14:textFill>
            <w14:solidFill>
              <w14:schemeClr w14:val="tx1"/>
            </w14:solidFill>
          </w14:textFill>
        </w:rPr>
        <w:t>）信号系统防雷</w:t>
      </w:r>
    </w:p>
    <w:p>
      <w:pPr>
        <w:tabs>
          <w:tab w:val="left" w:pos="1267"/>
        </w:tabs>
        <w:spacing w:line="360" w:lineRule="auto"/>
        <w:ind w:firstLine="420" w:firstLineChars="200"/>
        <w:rPr>
          <w:color w:val="000000" w:themeColor="text1"/>
          <w14:textFill>
            <w14:solidFill>
              <w14:schemeClr w14:val="tx1"/>
            </w14:solidFill>
          </w14:textFill>
        </w:rPr>
      </w:pPr>
      <w:r>
        <w:rPr>
          <w:rFonts w:hint="eastAsia"/>
          <w:color w:val="000000" w:themeColor="text1"/>
          <w14:textFill>
            <w14:solidFill>
              <w14:schemeClr w14:val="tx1"/>
            </w14:solidFill>
          </w14:textFill>
        </w:rPr>
        <w:t>⑴在时间同步系统主时钟的天线接口处应安装最大放电电流不小于</w:t>
      </w:r>
      <w:r>
        <w:rPr>
          <w:color w:val="000000" w:themeColor="text1"/>
          <w14:textFill>
            <w14:solidFill>
              <w14:schemeClr w14:val="tx1"/>
            </w14:solidFill>
          </w14:textFill>
        </w:rPr>
        <w:t>15kA</w:t>
      </w:r>
      <w:r>
        <w:rPr>
          <w:rFonts w:hint="eastAsia"/>
          <w:color w:val="000000" w:themeColor="text1"/>
          <w14:textFill>
            <w14:solidFill>
              <w14:schemeClr w14:val="tx1"/>
            </w14:solidFill>
          </w14:textFill>
        </w:rPr>
        <w:t>（</w:t>
      </w:r>
      <w:r>
        <w:rPr>
          <w:color w:val="000000" w:themeColor="text1"/>
          <w14:textFill>
            <w14:solidFill>
              <w14:schemeClr w14:val="tx1"/>
            </w14:solidFill>
          </w14:textFill>
        </w:rPr>
        <w:t>8/20μs</w:t>
      </w:r>
      <w:r>
        <w:rPr>
          <w:rFonts w:hint="eastAsia"/>
          <w:color w:val="000000" w:themeColor="text1"/>
          <w14:textFill>
            <w14:solidFill>
              <w14:schemeClr w14:val="tx1"/>
            </w14:solidFill>
          </w14:textFill>
        </w:rPr>
        <w:t>）的相应信号</w:t>
      </w:r>
      <w:r>
        <w:rPr>
          <w:color w:val="000000" w:themeColor="text1"/>
          <w14:textFill>
            <w14:solidFill>
              <w14:schemeClr w14:val="tx1"/>
            </w14:solidFill>
          </w14:textFill>
        </w:rPr>
        <w:t>SPD</w:t>
      </w:r>
      <w:r>
        <w:rPr>
          <w:rFonts w:hint="eastAsia"/>
          <w:color w:val="000000" w:themeColor="text1"/>
          <w14:textFill>
            <w14:solidFill>
              <w14:schemeClr w14:val="tx1"/>
            </w14:solidFill>
          </w14:textFill>
        </w:rPr>
        <w:t>。</w:t>
      </w:r>
    </w:p>
    <w:p>
      <w:pPr>
        <w:tabs>
          <w:tab w:val="left" w:pos="1267"/>
        </w:tabs>
        <w:spacing w:line="360" w:lineRule="auto"/>
        <w:ind w:firstLine="420" w:firstLineChars="200"/>
        <w:rPr>
          <w:color w:val="000000" w:themeColor="text1"/>
          <w14:textFill>
            <w14:solidFill>
              <w14:schemeClr w14:val="tx1"/>
            </w14:solidFill>
          </w14:textFill>
        </w:rPr>
      </w:pPr>
      <w:r>
        <w:rPr>
          <w:rFonts w:hint="eastAsia"/>
          <w:color w:val="000000" w:themeColor="text1"/>
          <w14:textFill>
            <w14:solidFill>
              <w14:schemeClr w14:val="tx1"/>
            </w14:solidFill>
          </w14:textFill>
        </w:rPr>
        <w:t>⑵继电器及通信室远动屏至通信屏的语音线或</w:t>
      </w:r>
      <w:r>
        <w:rPr>
          <w:color w:val="000000" w:themeColor="text1"/>
          <w14:textFill>
            <w14:solidFill>
              <w14:schemeClr w14:val="tx1"/>
            </w14:solidFill>
          </w14:textFill>
        </w:rPr>
        <w:t xml:space="preserve">RS232 </w:t>
      </w:r>
      <w:r>
        <w:rPr>
          <w:rFonts w:hint="eastAsia"/>
          <w:color w:val="000000" w:themeColor="text1"/>
          <w14:textFill>
            <w14:solidFill>
              <w14:schemeClr w14:val="tx1"/>
            </w14:solidFill>
          </w14:textFill>
        </w:rPr>
        <w:t>等信号线，应在远动屏侧安装标称放电电流不小于</w:t>
      </w:r>
      <w:r>
        <w:rPr>
          <w:color w:val="000000" w:themeColor="text1"/>
          <w14:textFill>
            <w14:solidFill>
              <w14:schemeClr w14:val="tx1"/>
            </w14:solidFill>
          </w14:textFill>
        </w:rPr>
        <w:t>2kA</w:t>
      </w:r>
      <w:r>
        <w:rPr>
          <w:rFonts w:hint="eastAsia"/>
          <w:color w:val="000000" w:themeColor="text1"/>
          <w14:textFill>
            <w14:solidFill>
              <w14:schemeClr w14:val="tx1"/>
            </w14:solidFill>
          </w14:textFill>
        </w:rPr>
        <w:t>（</w:t>
      </w:r>
      <w:r>
        <w:rPr>
          <w:color w:val="000000" w:themeColor="text1"/>
          <w14:textFill>
            <w14:solidFill>
              <w14:schemeClr w14:val="tx1"/>
            </w14:solidFill>
          </w14:textFill>
        </w:rPr>
        <w:t>8/20μs</w:t>
      </w:r>
      <w:r>
        <w:rPr>
          <w:rFonts w:hint="eastAsia"/>
          <w:color w:val="000000" w:themeColor="text1"/>
          <w14:textFill>
            <w14:solidFill>
              <w14:schemeClr w14:val="tx1"/>
            </w14:solidFill>
          </w14:textFill>
        </w:rPr>
        <w:t>）的相应信号</w:t>
      </w:r>
      <w:r>
        <w:rPr>
          <w:color w:val="000000" w:themeColor="text1"/>
          <w14:textFill>
            <w14:solidFill>
              <w14:schemeClr w14:val="tx1"/>
            </w14:solidFill>
          </w14:textFill>
        </w:rPr>
        <w:t>SPD</w:t>
      </w:r>
      <w:r>
        <w:rPr>
          <w:rFonts w:hint="eastAsia"/>
          <w:color w:val="000000" w:themeColor="text1"/>
          <w14:textFill>
            <w14:solidFill>
              <w14:schemeClr w14:val="tx1"/>
            </w14:solidFill>
          </w14:textFill>
        </w:rPr>
        <w:t>。</w:t>
      </w:r>
    </w:p>
    <w:p>
      <w:pPr>
        <w:tabs>
          <w:tab w:val="left" w:pos="1267"/>
        </w:tabs>
        <w:spacing w:line="360" w:lineRule="auto"/>
        <w:ind w:firstLine="420" w:firstLineChars="200"/>
        <w:rPr>
          <w:color w:val="000000" w:themeColor="text1"/>
          <w14:textFill>
            <w14:solidFill>
              <w14:schemeClr w14:val="tx1"/>
            </w14:solidFill>
          </w14:textFill>
        </w:rPr>
      </w:pPr>
      <w:r>
        <w:rPr>
          <w:rFonts w:hint="eastAsia"/>
          <w:color w:val="000000" w:themeColor="text1"/>
          <w14:textFill>
            <w14:solidFill>
              <w14:schemeClr w14:val="tx1"/>
            </w14:solidFill>
          </w14:textFill>
        </w:rPr>
        <w:t>⑶计算机监控系统与其他系统的通信线（如</w:t>
      </w:r>
      <w:r>
        <w:rPr>
          <w:color w:val="000000" w:themeColor="text1"/>
          <w14:textFill>
            <w14:solidFill>
              <w14:schemeClr w14:val="tx1"/>
            </w14:solidFill>
          </w14:textFill>
        </w:rPr>
        <w:t>RS232</w:t>
      </w:r>
      <w:r>
        <w:rPr>
          <w:rFonts w:hint="eastAsia"/>
          <w:color w:val="000000" w:themeColor="text1"/>
          <w14:textFill>
            <w14:solidFill>
              <w14:schemeClr w14:val="tx1"/>
            </w14:solidFill>
          </w14:textFill>
        </w:rPr>
        <w:t>、</w:t>
      </w:r>
      <w:r>
        <w:rPr>
          <w:color w:val="000000" w:themeColor="text1"/>
          <w14:textFill>
            <w14:solidFill>
              <w14:schemeClr w14:val="tx1"/>
            </w14:solidFill>
          </w14:textFill>
        </w:rPr>
        <w:t xml:space="preserve">RS485 </w:t>
      </w:r>
      <w:r>
        <w:rPr>
          <w:rFonts w:hint="eastAsia"/>
          <w:color w:val="000000" w:themeColor="text1"/>
          <w14:textFill>
            <w14:solidFill>
              <w14:schemeClr w14:val="tx1"/>
            </w14:solidFill>
          </w14:textFill>
        </w:rPr>
        <w:t>等）应在两端安装标称放电电流不小于</w:t>
      </w:r>
      <w:r>
        <w:rPr>
          <w:color w:val="000000" w:themeColor="text1"/>
          <w14:textFill>
            <w14:solidFill>
              <w14:schemeClr w14:val="tx1"/>
            </w14:solidFill>
          </w14:textFill>
        </w:rPr>
        <w:t>2kA</w:t>
      </w:r>
      <w:r>
        <w:rPr>
          <w:rFonts w:hint="eastAsia"/>
          <w:color w:val="000000" w:themeColor="text1"/>
          <w14:textFill>
            <w14:solidFill>
              <w14:schemeClr w14:val="tx1"/>
            </w14:solidFill>
          </w14:textFill>
        </w:rPr>
        <w:t>（</w:t>
      </w:r>
      <w:r>
        <w:rPr>
          <w:color w:val="000000" w:themeColor="text1"/>
          <w14:textFill>
            <w14:solidFill>
              <w14:schemeClr w14:val="tx1"/>
            </w14:solidFill>
          </w14:textFill>
        </w:rPr>
        <w:t>8/20μs</w:t>
      </w:r>
      <w:r>
        <w:rPr>
          <w:rFonts w:hint="eastAsia"/>
          <w:color w:val="000000" w:themeColor="text1"/>
          <w14:textFill>
            <w14:solidFill>
              <w14:schemeClr w14:val="tx1"/>
            </w14:solidFill>
          </w14:textFill>
        </w:rPr>
        <w:t>）的相应信号</w:t>
      </w:r>
      <w:r>
        <w:rPr>
          <w:color w:val="000000" w:themeColor="text1"/>
          <w14:textFill>
            <w14:solidFill>
              <w14:schemeClr w14:val="tx1"/>
            </w14:solidFill>
          </w14:textFill>
        </w:rPr>
        <w:t>SPD</w:t>
      </w:r>
      <w:r>
        <w:rPr>
          <w:rFonts w:hint="eastAsia"/>
          <w:color w:val="000000" w:themeColor="text1"/>
          <w14:textFill>
            <w14:solidFill>
              <w14:schemeClr w14:val="tx1"/>
            </w14:solidFill>
          </w14:textFill>
        </w:rPr>
        <w:t>。</w:t>
      </w:r>
    </w:p>
    <w:p>
      <w:pPr>
        <w:tabs>
          <w:tab w:val="left" w:pos="1267"/>
        </w:tabs>
        <w:spacing w:line="360" w:lineRule="auto"/>
        <w:ind w:firstLine="420" w:firstLineChars="200"/>
        <w:rPr>
          <w:color w:val="000000" w:themeColor="text1"/>
          <w14:textFill>
            <w14:solidFill>
              <w14:schemeClr w14:val="tx1"/>
            </w14:solidFill>
          </w14:textFill>
        </w:rPr>
      </w:pPr>
      <w:r>
        <w:rPr>
          <w:rFonts w:hint="eastAsia"/>
          <w:color w:val="000000" w:themeColor="text1"/>
          <w14:textFill>
            <w14:solidFill>
              <w14:schemeClr w14:val="tx1"/>
            </w14:solidFill>
          </w14:textFill>
        </w:rPr>
        <w:t>⑷从高压场地到控制室的通信线路（如</w:t>
      </w:r>
      <w:r>
        <w:rPr>
          <w:color w:val="000000" w:themeColor="text1"/>
          <w14:textFill>
            <w14:solidFill>
              <w14:schemeClr w14:val="tx1"/>
            </w14:solidFill>
          </w14:textFill>
        </w:rPr>
        <w:t>RS232</w:t>
      </w:r>
      <w:r>
        <w:rPr>
          <w:rFonts w:hint="eastAsia"/>
          <w:color w:val="000000" w:themeColor="text1"/>
          <w14:textFill>
            <w14:solidFill>
              <w14:schemeClr w14:val="tx1"/>
            </w14:solidFill>
          </w14:textFill>
        </w:rPr>
        <w:t>、</w:t>
      </w:r>
      <w:r>
        <w:rPr>
          <w:color w:val="000000" w:themeColor="text1"/>
          <w14:textFill>
            <w14:solidFill>
              <w14:schemeClr w14:val="tx1"/>
            </w14:solidFill>
          </w14:textFill>
        </w:rPr>
        <w:t>RS485</w:t>
      </w:r>
      <w:r>
        <w:rPr>
          <w:rFonts w:hint="eastAsia"/>
          <w:color w:val="000000" w:themeColor="text1"/>
          <w14:textFill>
            <w14:solidFill>
              <w14:schemeClr w14:val="tx1"/>
            </w14:solidFill>
          </w14:textFill>
        </w:rPr>
        <w:t>、</w:t>
      </w:r>
      <w:r>
        <w:rPr>
          <w:color w:val="000000" w:themeColor="text1"/>
          <w14:textFill>
            <w14:solidFill>
              <w14:schemeClr w14:val="tx1"/>
            </w14:solidFill>
          </w14:textFill>
        </w:rPr>
        <w:t xml:space="preserve">CAN </w:t>
      </w:r>
      <w:r>
        <w:rPr>
          <w:rFonts w:hint="eastAsia"/>
          <w:color w:val="000000" w:themeColor="text1"/>
          <w14:textFill>
            <w14:solidFill>
              <w14:schemeClr w14:val="tx1"/>
            </w14:solidFill>
          </w14:textFill>
        </w:rPr>
        <w:t>总线等）应在控制室相应屏柜处安装标称放电电流不小于</w:t>
      </w:r>
      <w:r>
        <w:rPr>
          <w:color w:val="000000" w:themeColor="text1"/>
          <w14:textFill>
            <w14:solidFill>
              <w14:schemeClr w14:val="tx1"/>
            </w14:solidFill>
          </w14:textFill>
        </w:rPr>
        <w:t>5kA</w:t>
      </w:r>
      <w:r>
        <w:rPr>
          <w:rFonts w:hint="eastAsia"/>
          <w:color w:val="000000" w:themeColor="text1"/>
          <w14:textFill>
            <w14:solidFill>
              <w14:schemeClr w14:val="tx1"/>
            </w14:solidFill>
          </w14:textFill>
        </w:rPr>
        <w:t>（</w:t>
      </w:r>
      <w:r>
        <w:rPr>
          <w:color w:val="000000" w:themeColor="text1"/>
          <w14:textFill>
            <w14:solidFill>
              <w14:schemeClr w14:val="tx1"/>
            </w14:solidFill>
          </w14:textFill>
        </w:rPr>
        <w:t>8/20μs</w:t>
      </w:r>
      <w:r>
        <w:rPr>
          <w:rFonts w:hint="eastAsia"/>
          <w:color w:val="000000" w:themeColor="text1"/>
          <w14:textFill>
            <w14:solidFill>
              <w14:schemeClr w14:val="tx1"/>
            </w14:solidFill>
          </w14:textFill>
        </w:rPr>
        <w:t>）的信号</w:t>
      </w:r>
      <w:r>
        <w:rPr>
          <w:color w:val="000000" w:themeColor="text1"/>
          <w14:textFill>
            <w14:solidFill>
              <w14:schemeClr w14:val="tx1"/>
            </w14:solidFill>
          </w14:textFill>
        </w:rPr>
        <w:t>SPD</w:t>
      </w:r>
      <w:r>
        <w:rPr>
          <w:rFonts w:hint="eastAsia"/>
          <w:color w:val="000000" w:themeColor="text1"/>
          <w14:textFill>
            <w14:solidFill>
              <w14:schemeClr w14:val="tx1"/>
            </w14:solidFill>
          </w14:textFill>
        </w:rPr>
        <w:t>。</w:t>
      </w:r>
    </w:p>
    <w:p>
      <w:pPr>
        <w:tabs>
          <w:tab w:val="left" w:pos="1267"/>
        </w:tabs>
        <w:spacing w:line="360" w:lineRule="auto"/>
        <w:ind w:firstLine="420" w:firstLineChars="200"/>
        <w:rPr>
          <w:color w:val="000000" w:themeColor="text1"/>
          <w14:textFill>
            <w14:solidFill>
              <w14:schemeClr w14:val="tx1"/>
            </w14:solidFill>
          </w14:textFill>
        </w:rPr>
      </w:pPr>
      <w:r>
        <w:rPr>
          <w:rFonts w:hint="eastAsia"/>
          <w:color w:val="000000" w:themeColor="text1"/>
          <w14:textFill>
            <w14:solidFill>
              <w14:schemeClr w14:val="tx1"/>
            </w14:solidFill>
          </w14:textFill>
        </w:rPr>
        <w:t>⑸从场地引入的监控线（如视频及环境监控系统视频线等）应在监控屏内安装标称放电电流不小于</w:t>
      </w:r>
      <w:r>
        <w:rPr>
          <w:color w:val="000000" w:themeColor="text1"/>
          <w14:textFill>
            <w14:solidFill>
              <w14:schemeClr w14:val="tx1"/>
            </w14:solidFill>
          </w14:textFill>
        </w:rPr>
        <w:t>5kA</w:t>
      </w:r>
      <w:r>
        <w:rPr>
          <w:rFonts w:hint="eastAsia"/>
          <w:color w:val="000000" w:themeColor="text1"/>
          <w14:textFill>
            <w14:solidFill>
              <w14:schemeClr w14:val="tx1"/>
            </w14:solidFill>
          </w14:textFill>
        </w:rPr>
        <w:t>（</w:t>
      </w:r>
      <w:r>
        <w:rPr>
          <w:color w:val="000000" w:themeColor="text1"/>
          <w14:textFill>
            <w14:solidFill>
              <w14:schemeClr w14:val="tx1"/>
            </w14:solidFill>
          </w14:textFill>
        </w:rPr>
        <w:t>8/20µs</w:t>
      </w:r>
      <w:r>
        <w:rPr>
          <w:rFonts w:hint="eastAsia"/>
          <w:color w:val="000000" w:themeColor="text1"/>
          <w14:textFill>
            <w14:solidFill>
              <w14:schemeClr w14:val="tx1"/>
            </w14:solidFill>
          </w14:textFill>
        </w:rPr>
        <w:t>）相应的信号</w:t>
      </w:r>
      <w:r>
        <w:rPr>
          <w:color w:val="000000" w:themeColor="text1"/>
          <w14:textFill>
            <w14:solidFill>
              <w14:schemeClr w14:val="tx1"/>
            </w14:solidFill>
          </w14:textFill>
        </w:rPr>
        <w:t>SPD</w:t>
      </w:r>
      <w:r>
        <w:rPr>
          <w:rFonts w:hint="eastAsia"/>
          <w:color w:val="000000" w:themeColor="text1"/>
          <w14:textFill>
            <w14:solidFill>
              <w14:schemeClr w14:val="tx1"/>
            </w14:solidFill>
          </w14:textFill>
        </w:rPr>
        <w:t>。</w:t>
      </w:r>
    </w:p>
    <w:p>
      <w:pPr>
        <w:tabs>
          <w:tab w:val="left" w:pos="1267"/>
        </w:tabs>
        <w:spacing w:line="360" w:lineRule="auto"/>
        <w:ind w:firstLine="420" w:firstLineChars="200"/>
        <w:rPr>
          <w:color w:val="000000" w:themeColor="text1"/>
          <w14:textFill>
            <w14:solidFill>
              <w14:schemeClr w14:val="tx1"/>
            </w14:solidFill>
          </w14:textFill>
        </w:rPr>
      </w:pPr>
      <w:r>
        <w:rPr>
          <w:color w:val="000000" w:themeColor="text1"/>
          <w14:textFill>
            <w14:solidFill>
              <w14:schemeClr w14:val="tx1"/>
            </w14:solidFill>
          </w14:textFill>
        </w:rPr>
        <w:t xml:space="preserve">(6) SPD </w:t>
      </w:r>
      <w:r>
        <w:rPr>
          <w:rFonts w:hint="eastAsia"/>
          <w:color w:val="000000" w:themeColor="text1"/>
          <w14:textFill>
            <w14:solidFill>
              <w14:schemeClr w14:val="tx1"/>
            </w14:solidFill>
          </w14:textFill>
        </w:rPr>
        <w:t>正常或故障时，应有能正确表示其状态的标志或指示灯，且宜具备远程集中监测或集中告警的接点。</w:t>
      </w:r>
    </w:p>
    <w:p>
      <w:pPr>
        <w:tabs>
          <w:tab w:val="left" w:pos="1267"/>
        </w:tabs>
        <w:spacing w:line="360" w:lineRule="auto"/>
        <w:ind w:firstLine="420" w:firstLineChars="200"/>
        <w:rPr>
          <w:color w:val="000000" w:themeColor="text1"/>
          <w14:textFill>
            <w14:solidFill>
              <w14:schemeClr w14:val="tx1"/>
            </w14:solidFill>
          </w14:textFill>
        </w:rPr>
      </w:pPr>
      <w:r>
        <w:rPr>
          <w:color w:val="000000" w:themeColor="text1"/>
          <w14:textFill>
            <w14:solidFill>
              <w14:schemeClr w14:val="tx1"/>
            </w14:solidFill>
          </w14:textFill>
        </w:rPr>
        <w:t>3</w:t>
      </w:r>
      <w:r>
        <w:rPr>
          <w:rFonts w:hint="eastAsia"/>
          <w:color w:val="000000" w:themeColor="text1"/>
          <w14:textFill>
            <w14:solidFill>
              <w14:schemeClr w14:val="tx1"/>
            </w14:solidFill>
          </w14:textFill>
        </w:rPr>
        <w:t>）电源系统防雷</w:t>
      </w:r>
    </w:p>
    <w:p>
      <w:pPr>
        <w:tabs>
          <w:tab w:val="left" w:pos="1267"/>
        </w:tabs>
        <w:spacing w:line="360" w:lineRule="auto"/>
        <w:ind w:firstLine="420" w:firstLineChars="200"/>
        <w:rPr>
          <w:color w:val="000000" w:themeColor="text1"/>
          <w14:textFill>
            <w14:solidFill>
              <w14:schemeClr w14:val="tx1"/>
            </w14:solidFill>
          </w14:textFill>
        </w:rPr>
      </w:pPr>
      <w:r>
        <w:rPr>
          <w:color w:val="000000" w:themeColor="text1"/>
          <w14:textFill>
            <w14:solidFill>
              <w14:schemeClr w14:val="tx1"/>
            </w14:solidFill>
          </w14:textFill>
        </w:rPr>
        <w:t>a)</w:t>
      </w:r>
      <w:r>
        <w:rPr>
          <w:rFonts w:hint="eastAsia"/>
          <w:color w:val="000000" w:themeColor="text1"/>
          <w14:textFill>
            <w14:solidFill>
              <w14:schemeClr w14:val="tx1"/>
            </w14:solidFill>
          </w14:textFill>
        </w:rPr>
        <w:t>直流充电屏的交流充电电源入口处应安装具备相线与地线（</w:t>
      </w:r>
      <w:r>
        <w:rPr>
          <w:color w:val="000000" w:themeColor="text1"/>
          <w14:textFill>
            <w14:solidFill>
              <w14:schemeClr w14:val="tx1"/>
            </w14:solidFill>
          </w14:textFill>
        </w:rPr>
        <w:t>L-PE</w:t>
      </w:r>
      <w:r>
        <w:rPr>
          <w:rFonts w:hint="eastAsia"/>
          <w:color w:val="000000" w:themeColor="text1"/>
          <w14:textFill>
            <w14:solidFill>
              <w14:schemeClr w14:val="tx1"/>
            </w14:solidFill>
          </w14:textFill>
        </w:rPr>
        <w:t>）、中性线与地线（</w:t>
      </w:r>
      <w:r>
        <w:rPr>
          <w:color w:val="000000" w:themeColor="text1"/>
          <w14:textFill>
            <w14:solidFill>
              <w14:schemeClr w14:val="tx1"/>
            </w14:solidFill>
          </w14:textFill>
        </w:rPr>
        <w:t>N-PE</w:t>
      </w:r>
      <w:r>
        <w:rPr>
          <w:rFonts w:hint="eastAsia"/>
          <w:color w:val="000000" w:themeColor="text1"/>
          <w14:textFill>
            <w14:solidFill>
              <w14:schemeClr w14:val="tx1"/>
            </w14:solidFill>
          </w14:textFill>
        </w:rPr>
        <w:t>）保护模式的标称放电电流不小于</w:t>
      </w:r>
      <w:r>
        <w:rPr>
          <w:color w:val="000000" w:themeColor="text1"/>
          <w14:textFill>
            <w14:solidFill>
              <w14:schemeClr w14:val="tx1"/>
            </w14:solidFill>
          </w14:textFill>
        </w:rPr>
        <w:t>10kA</w:t>
      </w:r>
      <w:r>
        <w:rPr>
          <w:rFonts w:hint="eastAsia"/>
          <w:color w:val="000000" w:themeColor="text1"/>
          <w14:textFill>
            <w14:solidFill>
              <w14:schemeClr w14:val="tx1"/>
            </w14:solidFill>
          </w14:textFill>
        </w:rPr>
        <w:t>（</w:t>
      </w:r>
      <w:r>
        <w:rPr>
          <w:color w:val="000000" w:themeColor="text1"/>
          <w14:textFill>
            <w14:solidFill>
              <w14:schemeClr w14:val="tx1"/>
            </w14:solidFill>
          </w14:textFill>
        </w:rPr>
        <w:t>8/20µs</w:t>
      </w:r>
      <w:r>
        <w:rPr>
          <w:rFonts w:hint="eastAsia"/>
          <w:color w:val="000000" w:themeColor="text1"/>
          <w14:textFill>
            <w14:solidFill>
              <w14:schemeClr w14:val="tx1"/>
            </w14:solidFill>
          </w14:textFill>
        </w:rPr>
        <w:t>）的第三级交流电源电压限制型</w:t>
      </w:r>
      <w:r>
        <w:rPr>
          <w:color w:val="000000" w:themeColor="text1"/>
          <w14:textFill>
            <w14:solidFill>
              <w14:schemeClr w14:val="tx1"/>
            </w14:solidFill>
          </w14:textFill>
        </w:rPr>
        <w:t>SPD</w:t>
      </w:r>
      <w:r>
        <w:rPr>
          <w:rFonts w:hint="eastAsia"/>
          <w:color w:val="000000" w:themeColor="text1"/>
          <w14:textFill>
            <w14:solidFill>
              <w14:schemeClr w14:val="tx1"/>
            </w14:solidFill>
          </w14:textFill>
        </w:rPr>
        <w:t>（电涌保护器）。</w:t>
      </w:r>
    </w:p>
    <w:p>
      <w:pPr>
        <w:tabs>
          <w:tab w:val="left" w:pos="1267"/>
        </w:tabs>
        <w:spacing w:line="360" w:lineRule="auto"/>
        <w:ind w:firstLine="420" w:firstLineChars="200"/>
        <w:rPr>
          <w:color w:val="000000" w:themeColor="text1"/>
          <w14:textFill>
            <w14:solidFill>
              <w14:schemeClr w14:val="tx1"/>
            </w14:solidFill>
          </w14:textFill>
        </w:rPr>
      </w:pPr>
      <w:r>
        <w:rPr>
          <w:color w:val="000000" w:themeColor="text1"/>
          <w14:textFill>
            <w14:solidFill>
              <w14:schemeClr w14:val="tx1"/>
            </w14:solidFill>
          </w14:textFill>
        </w:rPr>
        <w:t>b)</w:t>
      </w:r>
      <w:r>
        <w:rPr>
          <w:rFonts w:hint="eastAsia"/>
          <w:color w:val="000000" w:themeColor="text1"/>
          <w14:textFill>
            <w14:solidFill>
              <w14:schemeClr w14:val="tx1"/>
            </w14:solidFill>
          </w14:textFill>
        </w:rPr>
        <w:t>直流屏的直流母线输出端宜安装具有正极对地、负极对地保护模式的标称放电电流不小于</w:t>
      </w:r>
      <w:r>
        <w:rPr>
          <w:color w:val="000000" w:themeColor="text1"/>
          <w14:textFill>
            <w14:solidFill>
              <w14:schemeClr w14:val="tx1"/>
            </w14:solidFill>
          </w14:textFill>
        </w:rPr>
        <w:t>10kA</w:t>
      </w:r>
      <w:r>
        <w:rPr>
          <w:rFonts w:hint="eastAsia"/>
          <w:color w:val="000000" w:themeColor="text1"/>
          <w14:textFill>
            <w14:solidFill>
              <w14:schemeClr w14:val="tx1"/>
            </w14:solidFill>
          </w14:textFill>
        </w:rPr>
        <w:t>（</w:t>
      </w:r>
      <w:r>
        <w:rPr>
          <w:color w:val="000000" w:themeColor="text1"/>
          <w14:textFill>
            <w14:solidFill>
              <w14:schemeClr w14:val="tx1"/>
            </w14:solidFill>
          </w14:textFill>
        </w:rPr>
        <w:t>8/20µs</w:t>
      </w:r>
      <w:r>
        <w:rPr>
          <w:rFonts w:hint="eastAsia"/>
          <w:color w:val="000000" w:themeColor="text1"/>
          <w14:textFill>
            <w14:solidFill>
              <w14:schemeClr w14:val="tx1"/>
            </w14:solidFill>
          </w14:textFill>
        </w:rPr>
        <w:t>）的直流电源</w:t>
      </w:r>
      <w:r>
        <w:rPr>
          <w:color w:val="000000" w:themeColor="text1"/>
          <w14:textFill>
            <w14:solidFill>
              <w14:schemeClr w14:val="tx1"/>
            </w14:solidFill>
          </w14:textFill>
        </w:rPr>
        <w:t>SPD</w:t>
      </w:r>
      <w:r>
        <w:rPr>
          <w:rFonts w:hint="eastAsia"/>
          <w:color w:val="000000" w:themeColor="text1"/>
          <w14:textFill>
            <w14:solidFill>
              <w14:schemeClr w14:val="tx1"/>
            </w14:solidFill>
          </w14:textFill>
        </w:rPr>
        <w:t>。</w:t>
      </w:r>
    </w:p>
    <w:p>
      <w:pPr>
        <w:tabs>
          <w:tab w:val="left" w:pos="1267"/>
        </w:tabs>
        <w:spacing w:line="360" w:lineRule="auto"/>
        <w:ind w:firstLine="420" w:firstLineChars="200"/>
        <w:rPr>
          <w:color w:val="000000" w:themeColor="text1"/>
          <w14:textFill>
            <w14:solidFill>
              <w14:schemeClr w14:val="tx1"/>
            </w14:solidFill>
          </w14:textFill>
        </w:rPr>
      </w:pPr>
      <w:r>
        <w:rPr>
          <w:color w:val="000000" w:themeColor="text1"/>
          <w14:textFill>
            <w14:solidFill>
              <w14:schemeClr w14:val="tx1"/>
            </w14:solidFill>
          </w14:textFill>
        </w:rPr>
        <w:t>c)</w:t>
      </w:r>
      <w:r>
        <w:rPr>
          <w:rFonts w:hint="eastAsia"/>
          <w:color w:val="000000" w:themeColor="text1"/>
          <w14:textFill>
            <w14:solidFill>
              <w14:schemeClr w14:val="tx1"/>
            </w14:solidFill>
          </w14:textFill>
        </w:rPr>
        <w:t>独立的二次交流屏各段交流母线应安装相对地、中性线对地保护模式标称放电电流不小于</w:t>
      </w:r>
      <w:r>
        <w:rPr>
          <w:color w:val="000000" w:themeColor="text1"/>
          <w14:textFill>
            <w14:solidFill>
              <w14:schemeClr w14:val="tx1"/>
            </w14:solidFill>
          </w14:textFill>
        </w:rPr>
        <w:t>10kA</w:t>
      </w:r>
      <w:r>
        <w:rPr>
          <w:rFonts w:hint="eastAsia"/>
          <w:color w:val="000000" w:themeColor="text1"/>
          <w14:textFill>
            <w14:solidFill>
              <w14:schemeClr w14:val="tx1"/>
            </w14:solidFill>
          </w14:textFill>
        </w:rPr>
        <w:t>（</w:t>
      </w:r>
      <w:r>
        <w:rPr>
          <w:color w:val="000000" w:themeColor="text1"/>
          <w14:textFill>
            <w14:solidFill>
              <w14:schemeClr w14:val="tx1"/>
            </w14:solidFill>
          </w14:textFill>
        </w:rPr>
        <w:t>8/20μs</w:t>
      </w:r>
      <w:r>
        <w:rPr>
          <w:rFonts w:hint="eastAsia"/>
          <w:color w:val="000000" w:themeColor="text1"/>
          <w14:textFill>
            <w14:solidFill>
              <w14:schemeClr w14:val="tx1"/>
            </w14:solidFill>
          </w14:textFill>
        </w:rPr>
        <w:t>）的第三级交流电源电压限制型</w:t>
      </w:r>
      <w:r>
        <w:rPr>
          <w:color w:val="000000" w:themeColor="text1"/>
          <w14:textFill>
            <w14:solidFill>
              <w14:schemeClr w14:val="tx1"/>
            </w14:solidFill>
          </w14:textFill>
        </w:rPr>
        <w:t>SPD</w:t>
      </w:r>
      <w:r>
        <w:rPr>
          <w:rFonts w:hint="eastAsia"/>
          <w:color w:val="000000" w:themeColor="text1"/>
          <w14:textFill>
            <w14:solidFill>
              <w14:schemeClr w14:val="tx1"/>
            </w14:solidFill>
          </w14:textFill>
        </w:rPr>
        <w:t>（电涌保护器）。</w:t>
      </w:r>
    </w:p>
    <w:p>
      <w:pPr>
        <w:tabs>
          <w:tab w:val="left" w:pos="1267"/>
        </w:tabs>
        <w:spacing w:line="360" w:lineRule="auto"/>
        <w:ind w:firstLine="420" w:firstLineChars="200"/>
        <w:rPr>
          <w:color w:val="000000" w:themeColor="text1"/>
          <w14:textFill>
            <w14:solidFill>
              <w14:schemeClr w14:val="tx1"/>
            </w14:solidFill>
          </w14:textFill>
        </w:rPr>
      </w:pPr>
      <w:r>
        <w:rPr>
          <w:color w:val="000000" w:themeColor="text1"/>
          <w14:textFill>
            <w14:solidFill>
              <w14:schemeClr w14:val="tx1"/>
            </w14:solidFill>
          </w14:textFill>
        </w:rPr>
        <w:t>3</w:t>
      </w:r>
      <w:r>
        <w:rPr>
          <w:rFonts w:hint="eastAsia"/>
          <w:color w:val="000000" w:themeColor="text1"/>
          <w14:textFill>
            <w14:solidFill>
              <w14:schemeClr w14:val="tx1"/>
            </w14:solidFill>
          </w14:textFill>
        </w:rPr>
        <w:t>）预制舱顶根据需要可设置避雷带且不影响预制舱原有性能。</w:t>
      </w:r>
    </w:p>
    <w:bookmarkEnd w:id="55"/>
    <w:bookmarkEnd w:id="56"/>
    <w:bookmarkEnd w:id="57"/>
    <w:bookmarkEnd w:id="59"/>
    <w:p>
      <w:pPr>
        <w:pStyle w:val="3"/>
        <w:numPr>
          <w:ilvl w:val="1"/>
          <w:numId w:val="0"/>
        </w:numPr>
        <w:rPr>
          <w:rFonts w:ascii="黑体" w:hAnsi="黑体" w:eastAsia="黑体"/>
          <w:color w:val="000000" w:themeColor="text1"/>
          <w14:textFill>
            <w14:solidFill>
              <w14:schemeClr w14:val="tx1"/>
            </w14:solidFill>
          </w14:textFill>
        </w:rPr>
      </w:pPr>
      <w:bookmarkStart w:id="88" w:name="_Toc119049819"/>
      <w:bookmarkStart w:id="89" w:name="_Toc177995331"/>
      <w:r>
        <w:rPr>
          <w:rFonts w:ascii="黑体" w:hAnsi="黑体" w:eastAsia="黑体"/>
          <w:color w:val="000000" w:themeColor="text1"/>
          <w14:textFill>
            <w14:solidFill>
              <w14:schemeClr w14:val="tx1"/>
            </w14:solidFill>
          </w14:textFill>
        </w:rPr>
        <w:t>5.3 预制舱辅助控制系统</w:t>
      </w:r>
      <w:bookmarkEnd w:id="88"/>
      <w:bookmarkEnd w:id="89"/>
    </w:p>
    <w:p>
      <w:pPr>
        <w:tabs>
          <w:tab w:val="left" w:pos="1267"/>
        </w:tabs>
        <w:spacing w:line="360" w:lineRule="auto"/>
        <w:ind w:firstLine="420" w:firstLineChars="200"/>
        <w:rPr>
          <w:color w:val="000000" w:themeColor="text1"/>
          <w14:textFill>
            <w14:solidFill>
              <w14:schemeClr w14:val="tx1"/>
            </w14:solidFill>
          </w14:textFill>
        </w:rPr>
      </w:pPr>
      <w:bookmarkStart w:id="90" w:name="_Toc119049820"/>
      <w:r>
        <w:rPr>
          <w:color w:val="000000" w:themeColor="text1"/>
          <w14:textFill>
            <w14:solidFill>
              <w14:schemeClr w14:val="tx1"/>
            </w14:solidFill>
          </w14:textFill>
        </w:rPr>
        <w:t xml:space="preserve">5.3.1  </w:t>
      </w:r>
      <w:r>
        <w:rPr>
          <w:rFonts w:hint="eastAsia"/>
          <w:color w:val="000000" w:themeColor="text1"/>
          <w14:textFill>
            <w14:solidFill>
              <w14:schemeClr w14:val="tx1"/>
            </w14:solidFill>
          </w14:textFill>
        </w:rPr>
        <w:t>舱内辅助系统的设计依据及应遵循的规定</w:t>
      </w:r>
      <w:bookmarkEnd w:id="90"/>
    </w:p>
    <w:p>
      <w:pPr>
        <w:tabs>
          <w:tab w:val="left" w:pos="1267"/>
        </w:tabs>
        <w:spacing w:line="360" w:lineRule="auto"/>
        <w:ind w:firstLine="420" w:firstLineChars="200"/>
        <w:rPr>
          <w:color w:val="000000" w:themeColor="text1"/>
          <w14:textFill>
            <w14:solidFill>
              <w14:schemeClr w14:val="tx1"/>
            </w14:solidFill>
          </w14:textFill>
        </w:rPr>
      </w:pPr>
      <w:r>
        <w:rPr>
          <w:color w:val="000000" w:themeColor="text1"/>
          <w14:textFill>
            <w14:solidFill>
              <w14:schemeClr w14:val="tx1"/>
            </w14:solidFill>
          </w14:textFill>
        </w:rPr>
        <w:t xml:space="preserve">GB16796-2009    </w:t>
      </w:r>
      <w:r>
        <w:rPr>
          <w:rFonts w:hint="eastAsia"/>
          <w:color w:val="000000" w:themeColor="text1"/>
          <w14:textFill>
            <w14:solidFill>
              <w14:schemeClr w14:val="tx1"/>
            </w14:solidFill>
          </w14:textFill>
        </w:rPr>
        <w:t>安全防范报警设备安全要求和试验方法</w:t>
      </w:r>
    </w:p>
    <w:p>
      <w:pPr>
        <w:tabs>
          <w:tab w:val="left" w:pos="1267"/>
        </w:tabs>
        <w:spacing w:line="360" w:lineRule="auto"/>
        <w:ind w:firstLine="420" w:firstLineChars="200"/>
        <w:rPr>
          <w:color w:val="000000" w:themeColor="text1"/>
          <w14:textFill>
            <w14:solidFill>
              <w14:schemeClr w14:val="tx1"/>
            </w14:solidFill>
          </w14:textFill>
        </w:rPr>
      </w:pPr>
      <w:r>
        <w:rPr>
          <w:color w:val="000000" w:themeColor="text1"/>
          <w14:textFill>
            <w14:solidFill>
              <w14:schemeClr w14:val="tx1"/>
            </w14:solidFill>
          </w14:textFill>
        </w:rPr>
        <w:t xml:space="preserve">GB10408.1-2000  </w:t>
      </w:r>
      <w:r>
        <w:rPr>
          <w:rFonts w:hint="eastAsia"/>
          <w:color w:val="000000" w:themeColor="text1"/>
          <w14:textFill>
            <w14:solidFill>
              <w14:schemeClr w14:val="tx1"/>
            </w14:solidFill>
          </w14:textFill>
        </w:rPr>
        <w:t>入侵探测器第</w:t>
      </w:r>
      <w:r>
        <w:rPr>
          <w:color w:val="000000" w:themeColor="text1"/>
          <w14:textFill>
            <w14:solidFill>
              <w14:schemeClr w14:val="tx1"/>
            </w14:solidFill>
          </w14:textFill>
        </w:rPr>
        <w:t>1</w:t>
      </w:r>
      <w:r>
        <w:rPr>
          <w:rFonts w:hint="eastAsia"/>
          <w:color w:val="000000" w:themeColor="text1"/>
          <w14:textFill>
            <w14:solidFill>
              <w14:schemeClr w14:val="tx1"/>
            </w14:solidFill>
          </w14:textFill>
        </w:rPr>
        <w:t>部分：通用要求</w:t>
      </w:r>
    </w:p>
    <w:p>
      <w:pPr>
        <w:tabs>
          <w:tab w:val="left" w:pos="1267"/>
        </w:tabs>
        <w:spacing w:line="360" w:lineRule="auto"/>
        <w:ind w:firstLine="420" w:firstLineChars="200"/>
        <w:rPr>
          <w:color w:val="000000" w:themeColor="text1"/>
          <w14:textFill>
            <w14:solidFill>
              <w14:schemeClr w14:val="tx1"/>
            </w14:solidFill>
          </w14:textFill>
        </w:rPr>
      </w:pPr>
      <w:r>
        <w:rPr>
          <w:color w:val="000000" w:themeColor="text1"/>
          <w14:textFill>
            <w14:solidFill>
              <w14:schemeClr w14:val="tx1"/>
            </w14:solidFill>
          </w14:textFill>
        </w:rPr>
        <w:t xml:space="preserve">GB12663-2007    </w:t>
      </w:r>
      <w:r>
        <w:rPr>
          <w:rFonts w:hint="eastAsia"/>
          <w:color w:val="000000" w:themeColor="text1"/>
          <w14:textFill>
            <w14:solidFill>
              <w14:schemeClr w14:val="tx1"/>
            </w14:solidFill>
          </w14:textFill>
        </w:rPr>
        <w:t>防盗报警控制器通用技术条件</w:t>
      </w:r>
    </w:p>
    <w:p>
      <w:pPr>
        <w:tabs>
          <w:tab w:val="left" w:pos="1267"/>
        </w:tabs>
        <w:spacing w:line="360" w:lineRule="auto"/>
        <w:ind w:firstLine="420" w:firstLineChars="200"/>
        <w:rPr>
          <w:color w:val="000000" w:themeColor="text1"/>
          <w14:textFill>
            <w14:solidFill>
              <w14:schemeClr w14:val="tx1"/>
            </w14:solidFill>
          </w14:textFill>
        </w:rPr>
      </w:pPr>
      <w:r>
        <w:rPr>
          <w:color w:val="000000" w:themeColor="text1"/>
          <w14:textFill>
            <w14:solidFill>
              <w14:schemeClr w14:val="tx1"/>
            </w14:solidFill>
          </w14:textFill>
        </w:rPr>
        <w:t xml:space="preserve">GB4798.4-2007   </w:t>
      </w:r>
      <w:r>
        <w:rPr>
          <w:rFonts w:hint="eastAsia"/>
          <w:color w:val="000000" w:themeColor="text1"/>
          <w14:textFill>
            <w14:solidFill>
              <w14:schemeClr w14:val="tx1"/>
            </w14:solidFill>
          </w14:textFill>
        </w:rPr>
        <w:t>电工电子产品应用环境条件无气候防护场所固定使用</w:t>
      </w:r>
    </w:p>
    <w:p>
      <w:pPr>
        <w:tabs>
          <w:tab w:val="left" w:pos="1267"/>
        </w:tabs>
        <w:spacing w:line="360" w:lineRule="auto"/>
        <w:ind w:firstLine="420" w:firstLineChars="200"/>
        <w:rPr>
          <w:color w:val="000000" w:themeColor="text1"/>
          <w14:textFill>
            <w14:solidFill>
              <w14:schemeClr w14:val="tx1"/>
            </w14:solidFill>
          </w14:textFill>
        </w:rPr>
      </w:pPr>
      <w:r>
        <w:rPr>
          <w:color w:val="000000" w:themeColor="text1"/>
          <w14:textFill>
            <w14:solidFill>
              <w14:schemeClr w14:val="tx1"/>
            </w14:solidFill>
          </w14:textFill>
        </w:rPr>
        <w:t xml:space="preserve">GB2423.10-2008  </w:t>
      </w:r>
      <w:r>
        <w:rPr>
          <w:rFonts w:hint="eastAsia"/>
          <w:color w:val="000000" w:themeColor="text1"/>
          <w14:textFill>
            <w14:solidFill>
              <w14:schemeClr w14:val="tx1"/>
            </w14:solidFill>
          </w14:textFill>
        </w:rPr>
        <w:t>电工电子产品环境试验</w:t>
      </w:r>
    </w:p>
    <w:p>
      <w:pPr>
        <w:tabs>
          <w:tab w:val="left" w:pos="1267"/>
        </w:tabs>
        <w:spacing w:line="360" w:lineRule="auto"/>
        <w:ind w:firstLine="420" w:firstLineChars="200"/>
        <w:rPr>
          <w:color w:val="000000" w:themeColor="text1"/>
          <w14:textFill>
            <w14:solidFill>
              <w14:schemeClr w14:val="tx1"/>
            </w14:solidFill>
          </w14:textFill>
        </w:rPr>
      </w:pPr>
      <w:r>
        <w:rPr>
          <w:color w:val="000000" w:themeColor="text1"/>
          <w14:textFill>
            <w14:solidFill>
              <w14:schemeClr w14:val="tx1"/>
            </w14:solidFill>
          </w14:textFill>
        </w:rPr>
        <w:t xml:space="preserve">IEC364-4-41     </w:t>
      </w:r>
      <w:r>
        <w:rPr>
          <w:rFonts w:hint="eastAsia"/>
          <w:color w:val="000000" w:themeColor="text1"/>
          <w14:textFill>
            <w14:solidFill>
              <w14:schemeClr w14:val="tx1"/>
            </w14:solidFill>
          </w14:textFill>
        </w:rPr>
        <w:t>保护接地和防雷接地标准</w:t>
      </w:r>
    </w:p>
    <w:p>
      <w:pPr>
        <w:tabs>
          <w:tab w:val="left" w:pos="1267"/>
        </w:tabs>
        <w:spacing w:line="360" w:lineRule="auto"/>
        <w:ind w:firstLine="420" w:firstLineChars="200"/>
        <w:rPr>
          <w:color w:val="000000" w:themeColor="text1"/>
          <w14:textFill>
            <w14:solidFill>
              <w14:schemeClr w14:val="tx1"/>
            </w14:solidFill>
          </w14:textFill>
        </w:rPr>
      </w:pPr>
      <w:r>
        <w:rPr>
          <w:color w:val="000000" w:themeColor="text1"/>
          <w14:textFill>
            <w14:solidFill>
              <w14:schemeClr w14:val="tx1"/>
            </w14:solidFill>
          </w14:textFill>
        </w:rPr>
        <w:t xml:space="preserve">GA/T75-94       </w:t>
      </w:r>
      <w:r>
        <w:rPr>
          <w:rFonts w:hint="eastAsia"/>
          <w:color w:val="000000" w:themeColor="text1"/>
          <w14:textFill>
            <w14:solidFill>
              <w14:schemeClr w14:val="tx1"/>
            </w14:solidFill>
          </w14:textFill>
        </w:rPr>
        <w:t>安全防范工程程序与要求</w:t>
      </w:r>
    </w:p>
    <w:p>
      <w:pPr>
        <w:tabs>
          <w:tab w:val="left" w:pos="1267"/>
        </w:tabs>
        <w:spacing w:line="360" w:lineRule="auto"/>
        <w:ind w:firstLine="420" w:firstLineChars="200"/>
        <w:rPr>
          <w:color w:val="000000" w:themeColor="text1"/>
          <w14:textFill>
            <w14:solidFill>
              <w14:schemeClr w14:val="tx1"/>
            </w14:solidFill>
          </w14:textFill>
        </w:rPr>
      </w:pPr>
      <w:r>
        <w:rPr>
          <w:color w:val="000000" w:themeColor="text1"/>
          <w14:textFill>
            <w14:solidFill>
              <w14:schemeClr w14:val="tx1"/>
            </w14:solidFill>
          </w14:textFill>
        </w:rPr>
        <w:t xml:space="preserve">GA308-2001      </w:t>
      </w:r>
      <w:r>
        <w:rPr>
          <w:rFonts w:hint="eastAsia"/>
          <w:color w:val="000000" w:themeColor="text1"/>
          <w14:textFill>
            <w14:solidFill>
              <w14:schemeClr w14:val="tx1"/>
            </w14:solidFill>
          </w14:textFill>
        </w:rPr>
        <w:t>安全防范系统验收规则</w:t>
      </w:r>
    </w:p>
    <w:p>
      <w:pPr>
        <w:tabs>
          <w:tab w:val="left" w:pos="1267"/>
        </w:tabs>
        <w:spacing w:line="360" w:lineRule="auto"/>
        <w:ind w:firstLine="420" w:firstLineChars="200"/>
        <w:rPr>
          <w:color w:val="000000" w:themeColor="text1"/>
          <w14:textFill>
            <w14:solidFill>
              <w14:schemeClr w14:val="tx1"/>
            </w14:solidFill>
          </w14:textFill>
        </w:rPr>
      </w:pPr>
      <w:r>
        <w:rPr>
          <w:color w:val="000000" w:themeColor="text1"/>
          <w14:textFill>
            <w14:solidFill>
              <w14:schemeClr w14:val="tx1"/>
            </w14:solidFill>
          </w14:textFill>
        </w:rPr>
        <w:t xml:space="preserve">GA/T74-2000     </w:t>
      </w:r>
      <w:r>
        <w:rPr>
          <w:rFonts w:hint="eastAsia"/>
          <w:color w:val="000000" w:themeColor="text1"/>
          <w14:textFill>
            <w14:solidFill>
              <w14:schemeClr w14:val="tx1"/>
            </w14:solidFill>
          </w14:textFill>
        </w:rPr>
        <w:t>安全防范系统通用图形符号</w:t>
      </w:r>
    </w:p>
    <w:p>
      <w:pPr>
        <w:tabs>
          <w:tab w:val="left" w:pos="1267"/>
        </w:tabs>
        <w:spacing w:line="360" w:lineRule="auto"/>
        <w:ind w:firstLine="420" w:firstLineChars="200"/>
        <w:rPr>
          <w:color w:val="000000" w:themeColor="text1"/>
          <w14:textFill>
            <w14:solidFill>
              <w14:schemeClr w14:val="tx1"/>
            </w14:solidFill>
          </w14:textFill>
        </w:rPr>
      </w:pPr>
      <w:r>
        <w:rPr>
          <w:color w:val="000000" w:themeColor="text1"/>
          <w14:textFill>
            <w14:solidFill>
              <w14:schemeClr w14:val="tx1"/>
            </w14:solidFill>
          </w14:textFill>
        </w:rPr>
        <w:t xml:space="preserve">GB50115-2009    </w:t>
      </w:r>
      <w:r>
        <w:rPr>
          <w:rFonts w:hint="eastAsia"/>
          <w:color w:val="000000" w:themeColor="text1"/>
          <w14:textFill>
            <w14:solidFill>
              <w14:schemeClr w14:val="tx1"/>
            </w14:solidFill>
          </w14:textFill>
        </w:rPr>
        <w:t>工业电视系统工程设计规范</w:t>
      </w:r>
    </w:p>
    <w:p>
      <w:pPr>
        <w:tabs>
          <w:tab w:val="left" w:pos="1267"/>
        </w:tabs>
        <w:spacing w:line="360" w:lineRule="auto"/>
        <w:ind w:firstLine="420" w:firstLineChars="200"/>
        <w:rPr>
          <w:color w:val="000000" w:themeColor="text1"/>
          <w14:textFill>
            <w14:solidFill>
              <w14:schemeClr w14:val="tx1"/>
            </w14:solidFill>
          </w14:textFill>
        </w:rPr>
      </w:pPr>
      <w:r>
        <w:rPr>
          <w:color w:val="000000" w:themeColor="text1"/>
          <w14:textFill>
            <w14:solidFill>
              <w14:schemeClr w14:val="tx1"/>
            </w14:solidFill>
          </w14:textFill>
        </w:rPr>
        <w:t xml:space="preserve">GB/16677-1996   </w:t>
      </w:r>
      <w:r>
        <w:rPr>
          <w:rFonts w:hint="eastAsia"/>
          <w:color w:val="000000" w:themeColor="text1"/>
          <w14:textFill>
            <w14:solidFill>
              <w14:schemeClr w14:val="tx1"/>
            </w14:solidFill>
          </w14:textFill>
        </w:rPr>
        <w:t>报警图像信号有线传输装置</w:t>
      </w:r>
    </w:p>
    <w:p>
      <w:pPr>
        <w:tabs>
          <w:tab w:val="left" w:pos="1267"/>
        </w:tabs>
        <w:spacing w:line="360" w:lineRule="auto"/>
        <w:ind w:firstLine="420" w:firstLineChars="200"/>
        <w:rPr>
          <w:color w:val="000000" w:themeColor="text1"/>
          <w14:textFill>
            <w14:solidFill>
              <w14:schemeClr w14:val="tx1"/>
            </w14:solidFill>
          </w14:textFill>
        </w:rPr>
      </w:pPr>
      <w:r>
        <w:rPr>
          <w:rFonts w:hint="eastAsia"/>
          <w:color w:val="000000" w:themeColor="text1"/>
          <w14:textFill>
            <w14:solidFill>
              <w14:schemeClr w14:val="tx1"/>
            </w14:solidFill>
          </w14:textFill>
        </w:rPr>
        <w:t>中国南方电网有限责任公司生技</w:t>
      </w:r>
      <w:r>
        <w:rPr>
          <w:color w:val="000000" w:themeColor="text1"/>
          <w14:textFill>
            <w14:solidFill>
              <w14:schemeClr w14:val="tx1"/>
            </w14:solidFill>
          </w14:textFill>
        </w:rPr>
        <w:t>[2019]5</w:t>
      </w:r>
      <w:r>
        <w:rPr>
          <w:rFonts w:hint="eastAsia"/>
          <w:color w:val="000000" w:themeColor="text1"/>
          <w14:textFill>
            <w14:solidFill>
              <w14:schemeClr w14:val="tx1"/>
            </w14:solidFill>
          </w14:textFill>
        </w:rPr>
        <w:t>号、</w:t>
      </w:r>
      <w:r>
        <w:rPr>
          <w:color w:val="000000" w:themeColor="text1"/>
          <w14:textFill>
            <w14:solidFill>
              <w14:schemeClr w14:val="tx1"/>
            </w14:solidFill>
          </w14:textFill>
        </w:rPr>
        <w:t>26</w:t>
      </w:r>
      <w:r>
        <w:rPr>
          <w:rFonts w:hint="eastAsia"/>
          <w:color w:val="000000" w:themeColor="text1"/>
          <w14:textFill>
            <w14:solidFill>
              <w14:schemeClr w14:val="tx1"/>
            </w14:solidFill>
          </w14:textFill>
        </w:rPr>
        <w:t>号文《智能变电站装备技术导则</w:t>
      </w:r>
      <w:r>
        <w:rPr>
          <w:color w:val="000000" w:themeColor="text1"/>
          <w14:textFill>
            <w14:solidFill>
              <w14:schemeClr w14:val="tx1"/>
            </w14:solidFill>
          </w14:textFill>
        </w:rPr>
        <w:t>(</w:t>
      </w:r>
      <w:r>
        <w:rPr>
          <w:rFonts w:hint="eastAsia"/>
          <w:color w:val="000000" w:themeColor="text1"/>
          <w14:textFill>
            <w14:solidFill>
              <w14:schemeClr w14:val="tx1"/>
            </w14:solidFill>
          </w14:textFill>
        </w:rPr>
        <w:t>试行）》、《智能变电站推广应用手册》</w:t>
      </w:r>
    </w:p>
    <w:p>
      <w:pPr>
        <w:widowControl/>
        <w:tabs>
          <w:tab w:val="left" w:pos="1267"/>
        </w:tabs>
        <w:spacing w:line="360" w:lineRule="auto"/>
        <w:ind w:firstLine="420" w:firstLineChars="200"/>
        <w:jc w:val="left"/>
        <w:rPr>
          <w:color w:val="000000" w:themeColor="text1"/>
          <w14:textFill>
            <w14:solidFill>
              <w14:schemeClr w14:val="tx1"/>
            </w14:solidFill>
          </w14:textFill>
        </w:rPr>
      </w:pPr>
      <w:r>
        <w:rPr>
          <w:color w:val="000000" w:themeColor="text1"/>
          <w14:textFill>
            <w14:solidFill>
              <w14:schemeClr w14:val="tx1"/>
            </w14:solidFill>
          </w14:textFill>
        </w:rPr>
        <w:t xml:space="preserve">Q.GDW 688   </w:t>
      </w:r>
      <w:r>
        <w:rPr>
          <w:rFonts w:hint="eastAsia"/>
          <w:color w:val="000000" w:themeColor="text1"/>
          <w14:textFill>
            <w14:solidFill>
              <w14:schemeClr w14:val="tx1"/>
            </w14:solidFill>
          </w14:textFill>
        </w:rPr>
        <w:t>《智能变电站辅助控制系统设计技术规范》。</w:t>
      </w:r>
    </w:p>
    <w:p>
      <w:pPr>
        <w:widowControl/>
        <w:tabs>
          <w:tab w:val="left" w:pos="1267"/>
        </w:tabs>
        <w:spacing w:line="360" w:lineRule="auto"/>
        <w:ind w:firstLine="420" w:firstLineChars="200"/>
        <w:jc w:val="left"/>
        <w:rPr>
          <w:color w:val="000000" w:themeColor="text1"/>
          <w14:textFill>
            <w14:solidFill>
              <w14:schemeClr w14:val="tx1"/>
            </w14:solidFill>
          </w14:textFill>
        </w:rPr>
      </w:pPr>
      <w:r>
        <w:rPr>
          <w:color w:val="000000" w:themeColor="text1"/>
          <w14:textFill>
            <w14:solidFill>
              <w14:schemeClr w14:val="tx1"/>
            </w14:solidFill>
          </w14:textFill>
        </w:rPr>
        <w:t xml:space="preserve">GB/T 40773   </w:t>
      </w:r>
      <w:r>
        <w:rPr>
          <w:rFonts w:hint="eastAsia"/>
          <w:color w:val="000000" w:themeColor="text1"/>
          <w14:textFill>
            <w14:solidFill>
              <w14:schemeClr w14:val="tx1"/>
            </w14:solidFill>
          </w14:textFill>
        </w:rPr>
        <w:t>《变电站辅助设施监控系统技术规范》</w:t>
      </w:r>
    </w:p>
    <w:p>
      <w:pPr>
        <w:widowControl/>
        <w:tabs>
          <w:tab w:val="left" w:pos="1267"/>
        </w:tabs>
        <w:spacing w:line="360" w:lineRule="auto"/>
        <w:ind w:firstLine="420" w:firstLineChars="200"/>
        <w:jc w:val="left"/>
        <w:rPr>
          <w:color w:val="000000" w:themeColor="text1"/>
          <w14:textFill>
            <w14:solidFill>
              <w14:schemeClr w14:val="tx1"/>
            </w14:solidFill>
          </w14:textFill>
        </w:rPr>
      </w:pPr>
      <w:r>
        <w:rPr>
          <w:color w:val="000000" w:themeColor="text1"/>
          <w14:textFill>
            <w14:solidFill>
              <w14:schemeClr w14:val="tx1"/>
            </w14:solidFill>
          </w14:textFill>
        </w:rPr>
        <w:t xml:space="preserve">DL 5027   </w:t>
      </w:r>
      <w:r>
        <w:rPr>
          <w:rFonts w:hint="eastAsia"/>
          <w:color w:val="000000" w:themeColor="text1"/>
          <w14:textFill>
            <w14:solidFill>
              <w14:schemeClr w14:val="tx1"/>
            </w14:solidFill>
          </w14:textFill>
        </w:rPr>
        <w:t>《电力设备典型消防规程》；</w:t>
      </w:r>
    </w:p>
    <w:p>
      <w:pPr>
        <w:widowControl/>
        <w:tabs>
          <w:tab w:val="left" w:pos="1267"/>
        </w:tabs>
        <w:spacing w:line="360" w:lineRule="auto"/>
        <w:ind w:firstLine="420" w:firstLineChars="200"/>
        <w:jc w:val="left"/>
        <w:rPr>
          <w:color w:val="000000" w:themeColor="text1"/>
          <w14:textFill>
            <w14:solidFill>
              <w14:schemeClr w14:val="tx1"/>
            </w14:solidFill>
          </w14:textFill>
        </w:rPr>
      </w:pPr>
      <w:r>
        <w:rPr>
          <w:color w:val="000000" w:themeColor="text1"/>
          <w14:textFill>
            <w14:solidFill>
              <w14:schemeClr w14:val="tx1"/>
            </w14:solidFill>
          </w14:textFill>
        </w:rPr>
        <w:t xml:space="preserve">GB 50229   </w:t>
      </w:r>
      <w:r>
        <w:rPr>
          <w:rFonts w:hint="eastAsia"/>
          <w:color w:val="000000" w:themeColor="text1"/>
          <w14:textFill>
            <w14:solidFill>
              <w14:schemeClr w14:val="tx1"/>
            </w14:solidFill>
          </w14:textFill>
        </w:rPr>
        <w:t>《火力发电厂与变电所设计防火规范》；</w:t>
      </w:r>
    </w:p>
    <w:p>
      <w:pPr>
        <w:widowControl/>
        <w:tabs>
          <w:tab w:val="left" w:pos="1267"/>
        </w:tabs>
        <w:spacing w:line="360" w:lineRule="auto"/>
        <w:ind w:firstLine="420" w:firstLineChars="200"/>
        <w:jc w:val="left"/>
        <w:rPr>
          <w:color w:val="000000" w:themeColor="text1"/>
          <w14:textFill>
            <w14:solidFill>
              <w14:schemeClr w14:val="tx1"/>
            </w14:solidFill>
          </w14:textFill>
        </w:rPr>
      </w:pPr>
      <w:r>
        <w:rPr>
          <w:color w:val="000000" w:themeColor="text1"/>
          <w14:textFill>
            <w14:solidFill>
              <w14:schemeClr w14:val="tx1"/>
            </w14:solidFill>
          </w14:textFill>
        </w:rPr>
        <w:t xml:space="preserve">GB50116   </w:t>
      </w:r>
      <w:r>
        <w:rPr>
          <w:rFonts w:hint="eastAsia"/>
          <w:color w:val="000000" w:themeColor="text1"/>
          <w14:textFill>
            <w14:solidFill>
              <w14:schemeClr w14:val="tx1"/>
            </w14:solidFill>
          </w14:textFill>
        </w:rPr>
        <w:t>《火灾自动报警系统设计规范》；</w:t>
      </w:r>
    </w:p>
    <w:p>
      <w:pPr>
        <w:widowControl/>
        <w:tabs>
          <w:tab w:val="left" w:pos="1267"/>
        </w:tabs>
        <w:spacing w:line="360" w:lineRule="auto"/>
        <w:ind w:firstLine="420" w:firstLineChars="200"/>
        <w:jc w:val="left"/>
        <w:rPr>
          <w:color w:val="000000" w:themeColor="text1"/>
          <w14:textFill>
            <w14:solidFill>
              <w14:schemeClr w14:val="tx1"/>
            </w14:solidFill>
          </w14:textFill>
        </w:rPr>
      </w:pPr>
      <w:r>
        <w:rPr>
          <w:color w:val="000000" w:themeColor="text1"/>
          <w14:textFill>
            <w14:solidFill>
              <w14:schemeClr w14:val="tx1"/>
            </w14:solidFill>
          </w14:textFill>
        </w:rPr>
        <w:t xml:space="preserve">GB50166   </w:t>
      </w:r>
      <w:r>
        <w:rPr>
          <w:rFonts w:hint="eastAsia"/>
          <w:color w:val="000000" w:themeColor="text1"/>
          <w14:textFill>
            <w14:solidFill>
              <w14:schemeClr w14:val="tx1"/>
            </w14:solidFill>
          </w14:textFill>
        </w:rPr>
        <w:t>《火灾自动报警系统施工及验收规范》</w:t>
      </w:r>
      <w:r>
        <w:rPr>
          <w:color w:val="000000" w:themeColor="text1"/>
          <w14:textFill>
            <w14:solidFill>
              <w14:schemeClr w14:val="tx1"/>
            </w14:solidFill>
          </w14:textFill>
        </w:rPr>
        <w:t>.</w:t>
      </w:r>
    </w:p>
    <w:p>
      <w:pPr>
        <w:tabs>
          <w:tab w:val="left" w:pos="1267"/>
        </w:tabs>
        <w:spacing w:line="360" w:lineRule="auto"/>
        <w:ind w:firstLine="420" w:firstLineChars="200"/>
        <w:rPr>
          <w:color w:val="000000" w:themeColor="text1"/>
          <w14:textFill>
            <w14:solidFill>
              <w14:schemeClr w14:val="tx1"/>
            </w14:solidFill>
          </w14:textFill>
        </w:rPr>
      </w:pPr>
      <w:bookmarkStart w:id="91" w:name="_Toc119049821"/>
      <w:bookmarkStart w:id="92" w:name="_Toc1556"/>
      <w:r>
        <w:rPr>
          <w:color w:val="000000" w:themeColor="text1"/>
          <w14:textFill>
            <w14:solidFill>
              <w14:schemeClr w14:val="tx1"/>
            </w14:solidFill>
          </w14:textFill>
        </w:rPr>
        <w:t xml:space="preserve">5.3.2  </w:t>
      </w:r>
      <w:r>
        <w:rPr>
          <w:rFonts w:hint="eastAsia"/>
          <w:color w:val="000000" w:themeColor="text1"/>
          <w14:textFill>
            <w14:solidFill>
              <w14:schemeClr w14:val="tx1"/>
            </w14:solidFill>
          </w14:textFill>
        </w:rPr>
        <w:t>适用环境条件</w:t>
      </w:r>
      <w:bookmarkEnd w:id="91"/>
      <w:bookmarkEnd w:id="92"/>
    </w:p>
    <w:p>
      <w:pPr>
        <w:tabs>
          <w:tab w:val="left" w:pos="1267"/>
        </w:tabs>
        <w:spacing w:line="360" w:lineRule="auto"/>
        <w:ind w:firstLine="420" w:firstLineChars="200"/>
        <w:rPr>
          <w:color w:val="000000" w:themeColor="text1"/>
          <w14:textFill>
            <w14:solidFill>
              <w14:schemeClr w14:val="tx1"/>
            </w14:solidFill>
          </w14:textFill>
        </w:rPr>
      </w:pPr>
      <w:r>
        <w:rPr>
          <w:rFonts w:hint="eastAsia"/>
          <w:color w:val="000000" w:themeColor="text1"/>
          <w14:textFill>
            <w14:solidFill>
              <w14:schemeClr w14:val="tx1"/>
            </w14:solidFill>
          </w14:textFill>
        </w:rPr>
        <w:t>辅助系统应能在非破坏性自然天气条件下正常运行。</w:t>
      </w:r>
    </w:p>
    <w:p>
      <w:pPr>
        <w:tabs>
          <w:tab w:val="left" w:pos="1267"/>
        </w:tabs>
        <w:spacing w:line="360" w:lineRule="auto"/>
        <w:ind w:firstLine="420" w:firstLineChars="200"/>
        <w:rPr>
          <w:color w:val="000000" w:themeColor="text1"/>
          <w14:textFill>
            <w14:solidFill>
              <w14:schemeClr w14:val="tx1"/>
            </w14:solidFill>
          </w14:textFill>
        </w:rPr>
      </w:pPr>
      <w:bookmarkStart w:id="93" w:name="_Toc119049822"/>
      <w:bookmarkStart w:id="94" w:name="_Toc18123"/>
      <w:r>
        <w:rPr>
          <w:color w:val="000000" w:themeColor="text1"/>
          <w14:textFill>
            <w14:solidFill>
              <w14:schemeClr w14:val="tx1"/>
            </w14:solidFill>
          </w14:textFill>
        </w:rPr>
        <w:t xml:space="preserve">5.3.3  </w:t>
      </w:r>
      <w:r>
        <w:rPr>
          <w:rFonts w:hint="eastAsia"/>
          <w:color w:val="000000" w:themeColor="text1"/>
          <w14:textFill>
            <w14:solidFill>
              <w14:schemeClr w14:val="tx1"/>
            </w14:solidFill>
          </w14:textFill>
        </w:rPr>
        <w:t>辅助系统功能目标</w:t>
      </w:r>
      <w:bookmarkEnd w:id="93"/>
      <w:bookmarkEnd w:id="94"/>
    </w:p>
    <w:p>
      <w:pPr>
        <w:tabs>
          <w:tab w:val="left" w:pos="1267"/>
        </w:tabs>
        <w:spacing w:line="360" w:lineRule="auto"/>
        <w:ind w:firstLine="420" w:firstLineChars="200"/>
        <w:rPr>
          <w:color w:val="000000" w:themeColor="text1"/>
          <w14:textFill>
            <w14:solidFill>
              <w14:schemeClr w14:val="tx1"/>
            </w14:solidFill>
          </w14:textFill>
        </w:rPr>
      </w:pPr>
      <w:r>
        <w:rPr>
          <w:color w:val="000000" w:themeColor="text1"/>
          <w14:textFill>
            <w14:solidFill>
              <w14:schemeClr w14:val="tx1"/>
            </w14:solidFill>
          </w14:textFill>
        </w:rPr>
        <w:t xml:space="preserve">5.3.3.1  </w:t>
      </w:r>
      <w:r>
        <w:rPr>
          <w:rFonts w:hint="eastAsia"/>
          <w:color w:val="000000" w:themeColor="text1"/>
          <w14:textFill>
            <w14:solidFill>
              <w14:schemeClr w14:val="tx1"/>
            </w14:solidFill>
          </w14:textFill>
        </w:rPr>
        <w:t>总体要求</w:t>
      </w:r>
    </w:p>
    <w:p>
      <w:pPr>
        <w:numPr>
          <w:ilvl w:val="0"/>
          <w:numId w:val="20"/>
        </w:numPr>
        <w:spacing w:line="360" w:lineRule="auto"/>
        <w:ind w:left="0" w:firstLine="420" w:firstLineChars="200"/>
        <w:rPr>
          <w:color w:val="000000" w:themeColor="text1"/>
          <w14:textFill>
            <w14:solidFill>
              <w14:schemeClr w14:val="tx1"/>
            </w14:solidFill>
          </w14:textFill>
        </w:rPr>
      </w:pPr>
      <w:r>
        <w:rPr>
          <w:rFonts w:hint="eastAsia"/>
          <w:color w:val="000000" w:themeColor="text1"/>
          <w14:textFill>
            <w14:solidFill>
              <w14:schemeClr w14:val="tx1"/>
            </w14:solidFill>
          </w14:textFill>
        </w:rPr>
        <w:t>预制舱应具备出入检测、火灾报警及联动控制</w:t>
      </w:r>
      <w:r>
        <w:rPr>
          <w:rFonts w:hint="eastAsia"/>
          <w:color w:val="000000" w:themeColor="text1"/>
          <w:lang w:bidi="ar"/>
          <w14:textFill>
            <w14:solidFill>
              <w14:schemeClr w14:val="tx1"/>
            </w14:solidFill>
          </w14:textFill>
        </w:rPr>
        <w:t>（含火灾报警内部联动控制及与外部监视设备的联动控制）</w:t>
      </w:r>
      <w:r>
        <w:rPr>
          <w:rFonts w:hint="eastAsia"/>
          <w:color w:val="000000" w:themeColor="text1"/>
          <w14:textFill>
            <w14:solidFill>
              <w14:schemeClr w14:val="tx1"/>
            </w14:solidFill>
          </w14:textFill>
        </w:rPr>
        <w:t>、可燃气体监测、声光告警、就地人为手动报警、烟雾</w:t>
      </w:r>
      <w:r>
        <w:rPr>
          <w:color w:val="000000" w:themeColor="text1"/>
          <w14:textFill>
            <w14:solidFill>
              <w14:schemeClr w14:val="tx1"/>
            </w14:solidFill>
          </w14:textFill>
        </w:rPr>
        <w:t>/</w:t>
      </w:r>
      <w:r>
        <w:rPr>
          <w:rFonts w:hint="eastAsia"/>
          <w:color w:val="000000" w:themeColor="text1"/>
          <w14:textFill>
            <w14:solidFill>
              <w14:schemeClr w14:val="tx1"/>
            </w14:solidFill>
          </w14:textFill>
        </w:rPr>
        <w:t>温度</w:t>
      </w:r>
      <w:r>
        <w:rPr>
          <w:color w:val="000000" w:themeColor="text1"/>
          <w14:textFill>
            <w14:solidFill>
              <w14:schemeClr w14:val="tx1"/>
            </w14:solidFill>
          </w14:textFill>
        </w:rPr>
        <w:t>/</w:t>
      </w:r>
      <w:r>
        <w:rPr>
          <w:rFonts w:hint="eastAsia"/>
          <w:color w:val="000000" w:themeColor="text1"/>
          <w14:textFill>
            <w14:solidFill>
              <w14:schemeClr w14:val="tx1"/>
            </w14:solidFill>
          </w14:textFill>
        </w:rPr>
        <w:t>湿度</w:t>
      </w:r>
      <w:r>
        <w:rPr>
          <w:color w:val="000000" w:themeColor="text1"/>
          <w14:textFill>
            <w14:solidFill>
              <w14:schemeClr w14:val="tx1"/>
            </w14:solidFill>
          </w14:textFill>
        </w:rPr>
        <w:t>/</w:t>
      </w:r>
      <w:r>
        <w:rPr>
          <w:rFonts w:hint="eastAsia"/>
          <w:color w:val="000000" w:themeColor="text1"/>
          <w14:textFill>
            <w14:solidFill>
              <w14:schemeClr w14:val="tx1"/>
            </w14:solidFill>
          </w14:textFill>
        </w:rPr>
        <w:t>风速监测、出入权限管理、配电装置组合舱</w:t>
      </w:r>
      <w:r>
        <w:rPr>
          <w:color w:val="000000" w:themeColor="text1"/>
          <w14:textFill>
            <w14:solidFill>
              <w14:schemeClr w14:val="tx1"/>
            </w14:solidFill>
          </w14:textFill>
        </w:rPr>
        <w:t>/SMES</w:t>
      </w:r>
      <w:r>
        <w:rPr>
          <w:rFonts w:hint="eastAsia"/>
          <w:color w:val="000000" w:themeColor="text1"/>
          <w14:textFill>
            <w14:solidFill>
              <w14:schemeClr w14:val="tx1"/>
            </w14:solidFill>
          </w14:textFill>
        </w:rPr>
        <w:t>组合舱可见光及红外监测（通道两侧）、变压器红外监测、电缆层高温预警、电缆层水位高度预警、超导磁体区域告警、储能站区边界安保监测、主机集成等功能。为实现辅控系统功能所需的终端设备、传感器、线缆、槽盒及管材、相应接口附件等由中标方提供。</w:t>
      </w:r>
    </w:p>
    <w:p>
      <w:pPr>
        <w:numPr>
          <w:ilvl w:val="0"/>
          <w:numId w:val="20"/>
        </w:numPr>
        <w:spacing w:line="360" w:lineRule="auto"/>
        <w:ind w:left="0" w:firstLine="420" w:firstLineChars="200"/>
        <w:rPr>
          <w:color w:val="000000" w:themeColor="text1"/>
          <w14:textFill>
            <w14:solidFill>
              <w14:schemeClr w14:val="tx1"/>
            </w14:solidFill>
          </w14:textFill>
        </w:rPr>
      </w:pPr>
      <w:r>
        <w:rPr>
          <w:rFonts w:hint="eastAsia"/>
          <w:color w:val="000000" w:themeColor="text1"/>
          <w14:textFill>
            <w14:solidFill>
              <w14:schemeClr w14:val="tx1"/>
            </w14:solidFill>
          </w14:textFill>
        </w:rPr>
        <w:t>中标方应提供预制舱储能站区边界安保监测设备，包括定点监测设备及范围检测设备。</w:t>
      </w:r>
    </w:p>
    <w:p>
      <w:pPr>
        <w:numPr>
          <w:ilvl w:val="0"/>
          <w:numId w:val="20"/>
        </w:numPr>
        <w:spacing w:line="360" w:lineRule="auto"/>
        <w:ind w:left="0" w:firstLine="420" w:firstLineChars="200"/>
        <w:rPr>
          <w:color w:val="000000" w:themeColor="text1"/>
          <w14:textFill>
            <w14:solidFill>
              <w14:schemeClr w14:val="tx1"/>
            </w14:solidFill>
          </w14:textFill>
        </w:rPr>
      </w:pPr>
      <w:r>
        <w:rPr>
          <w:rFonts w:hint="eastAsia"/>
          <w:color w:val="000000" w:themeColor="text1"/>
          <w14:textFill>
            <w14:solidFill>
              <w14:schemeClr w14:val="tx1"/>
            </w14:solidFill>
          </w14:textFill>
        </w:rPr>
        <w:t>中标方负责提供辅控系统后台管理主机，以接收舱内及站区范围辅控设备的监测、告警等信号，实现联动控制功能。</w:t>
      </w:r>
    </w:p>
    <w:p>
      <w:pPr>
        <w:numPr>
          <w:ilvl w:val="0"/>
          <w:numId w:val="20"/>
        </w:numPr>
        <w:spacing w:line="360" w:lineRule="auto"/>
        <w:ind w:left="0" w:firstLine="420" w:firstLineChars="200"/>
        <w:rPr>
          <w:color w:val="000000" w:themeColor="text1"/>
          <w14:textFill>
            <w14:solidFill>
              <w14:schemeClr w14:val="tx1"/>
            </w14:solidFill>
          </w14:textFill>
        </w:rPr>
      </w:pPr>
      <w:r>
        <w:rPr>
          <w:rFonts w:hint="eastAsia"/>
          <w:color w:val="000000" w:themeColor="text1"/>
          <w14:textFill>
            <w14:solidFill>
              <w14:schemeClr w14:val="tx1"/>
            </w14:solidFill>
          </w14:textFill>
        </w:rPr>
        <w:t>后台管理主机设置在配电装置组合预制舱</w:t>
      </w:r>
      <w:r>
        <w:rPr>
          <w:color w:val="000000" w:themeColor="text1"/>
          <w14:textFill>
            <w14:solidFill>
              <w14:schemeClr w14:val="tx1"/>
            </w14:solidFill>
          </w14:textFill>
        </w:rPr>
        <w:t>2</w:t>
      </w:r>
      <w:r>
        <w:rPr>
          <w:rFonts w:hint="eastAsia"/>
          <w:color w:val="000000" w:themeColor="text1"/>
          <w14:textFill>
            <w14:solidFill>
              <w14:schemeClr w14:val="tx1"/>
            </w14:solidFill>
          </w14:textFill>
        </w:rPr>
        <w:t>层及</w:t>
      </w:r>
      <w:r>
        <w:rPr>
          <w:color w:val="000000" w:themeColor="text1"/>
          <w14:textFill>
            <w14:solidFill>
              <w14:schemeClr w14:val="tx1"/>
            </w14:solidFill>
          </w14:textFill>
        </w:rPr>
        <w:t>110kV</w:t>
      </w:r>
      <w:r>
        <w:rPr>
          <w:rFonts w:hint="eastAsia"/>
          <w:color w:val="000000" w:themeColor="text1"/>
          <w14:textFill>
            <w14:solidFill>
              <w14:schemeClr w14:val="tx1"/>
            </w14:solidFill>
          </w14:textFill>
        </w:rPr>
        <w:t>滨海站警传室。辅控系统终端设备、传感器等至后台管理主机的线缆及联合调试由中标方提供，舱内部分在场内完成预制，舱外部分在项目现场由施工单位在中标方的指导下完成接线工作。</w:t>
      </w:r>
    </w:p>
    <w:p>
      <w:pPr>
        <w:numPr>
          <w:ilvl w:val="0"/>
          <w:numId w:val="20"/>
        </w:numPr>
        <w:spacing w:line="360" w:lineRule="auto"/>
        <w:ind w:left="0" w:firstLine="420" w:firstLineChars="200"/>
        <w:rPr>
          <w:color w:val="000000" w:themeColor="text1"/>
          <w14:textFill>
            <w14:solidFill>
              <w14:schemeClr w14:val="tx1"/>
            </w14:solidFill>
          </w14:textFill>
        </w:rPr>
      </w:pPr>
      <w:r>
        <w:rPr>
          <w:rFonts w:hint="eastAsia"/>
          <w:color w:val="000000" w:themeColor="text1"/>
          <w14:textFill>
            <w14:solidFill>
              <w14:schemeClr w14:val="tx1"/>
            </w14:solidFill>
          </w14:textFill>
        </w:rPr>
        <w:t>中标方应提供预制舱及站区辅控系统设计图纸（完整的设备布置和敷设图纸）给到招标方及设计方进行图纸审查，必要时可以召开设计联络会沟通确认，确认后由中标方完成安装接线及调试后统一出厂。</w:t>
      </w:r>
    </w:p>
    <w:p>
      <w:pPr>
        <w:numPr>
          <w:ilvl w:val="255"/>
          <w:numId w:val="0"/>
        </w:numPr>
        <w:spacing w:line="360" w:lineRule="auto"/>
        <w:ind w:left="420" w:leftChars="200"/>
        <w:rPr>
          <w:color w:val="000000" w:themeColor="text1"/>
          <w14:textFill>
            <w14:solidFill>
              <w14:schemeClr w14:val="tx1"/>
            </w14:solidFill>
          </w14:textFill>
        </w:rPr>
      </w:pPr>
      <w:r>
        <w:rPr>
          <w:color w:val="000000" w:themeColor="text1"/>
          <w14:textFill>
            <w14:solidFill>
              <w14:schemeClr w14:val="tx1"/>
            </w14:solidFill>
          </w14:textFill>
        </w:rPr>
        <w:t xml:space="preserve">5.3.3.2  </w:t>
      </w:r>
      <w:r>
        <w:rPr>
          <w:rFonts w:hint="eastAsia"/>
          <w:color w:val="000000" w:themeColor="text1"/>
          <w14:textFill>
            <w14:solidFill>
              <w14:schemeClr w14:val="tx1"/>
            </w14:solidFill>
          </w14:textFill>
        </w:rPr>
        <w:t>预制舱火灾报警系统要求</w:t>
      </w:r>
    </w:p>
    <w:p>
      <w:pPr>
        <w:numPr>
          <w:ilvl w:val="0"/>
          <w:numId w:val="21"/>
        </w:numPr>
        <w:spacing w:line="360" w:lineRule="auto"/>
        <w:ind w:left="0" w:firstLine="420" w:firstLineChars="200"/>
        <w:rPr>
          <w:color w:val="000000" w:themeColor="text1"/>
          <w14:textFill>
            <w14:solidFill>
              <w14:schemeClr w14:val="tx1"/>
            </w14:solidFill>
          </w14:textFill>
        </w:rPr>
      </w:pPr>
      <w:r>
        <w:rPr>
          <w:rFonts w:hint="eastAsia"/>
          <w:color w:val="000000" w:themeColor="text1"/>
          <w14:textFill>
            <w14:solidFill>
              <w14:schemeClr w14:val="tx1"/>
            </w14:solidFill>
          </w14:textFill>
        </w:rPr>
        <w:t>火灾报警控制主机设在</w:t>
      </w:r>
      <w:r>
        <w:rPr>
          <w:color w:val="000000" w:themeColor="text1"/>
          <w14:textFill>
            <w14:solidFill>
              <w14:schemeClr w14:val="tx1"/>
            </w14:solidFill>
          </w14:textFill>
        </w:rPr>
        <w:t>110kV</w:t>
      </w:r>
      <w:r>
        <w:rPr>
          <w:rFonts w:hint="eastAsia"/>
          <w:color w:val="000000" w:themeColor="text1"/>
          <w14:textFill>
            <w14:solidFill>
              <w14:schemeClr w14:val="tx1"/>
            </w14:solidFill>
          </w14:textFill>
        </w:rPr>
        <w:t>滨海站警传室，报警系统线路设置为环状。</w:t>
      </w:r>
    </w:p>
    <w:p>
      <w:pPr>
        <w:numPr>
          <w:ilvl w:val="0"/>
          <w:numId w:val="21"/>
        </w:numPr>
        <w:spacing w:line="360" w:lineRule="auto"/>
        <w:ind w:left="0" w:firstLine="420" w:firstLineChars="200"/>
        <w:rPr>
          <w:color w:val="000000" w:themeColor="text1"/>
          <w14:textFill>
            <w14:solidFill>
              <w14:schemeClr w14:val="tx1"/>
            </w14:solidFill>
          </w14:textFill>
        </w:rPr>
      </w:pPr>
      <w:r>
        <w:rPr>
          <w:rFonts w:hint="eastAsia"/>
          <w:color w:val="000000" w:themeColor="text1"/>
          <w14:textFill>
            <w14:solidFill>
              <w14:schemeClr w14:val="tx1"/>
            </w14:solidFill>
          </w14:textFill>
        </w:rPr>
        <w:t>探测器等动作讯号等均接入总线制的报警系统中，按报警讯号报警。</w:t>
      </w:r>
    </w:p>
    <w:p>
      <w:pPr>
        <w:numPr>
          <w:ilvl w:val="0"/>
          <w:numId w:val="21"/>
        </w:numPr>
        <w:spacing w:line="360" w:lineRule="auto"/>
        <w:ind w:left="0" w:firstLine="420" w:firstLineChars="200"/>
        <w:rPr>
          <w:color w:val="000000" w:themeColor="text1"/>
          <w14:textFill>
            <w14:solidFill>
              <w14:schemeClr w14:val="tx1"/>
            </w14:solidFill>
          </w14:textFill>
        </w:rPr>
      </w:pPr>
      <w:r>
        <w:rPr>
          <w:rFonts w:hint="eastAsia"/>
          <w:color w:val="000000" w:themeColor="text1"/>
          <w14:textFill>
            <w14:solidFill>
              <w14:schemeClr w14:val="tx1"/>
            </w14:solidFill>
          </w14:textFill>
        </w:rPr>
        <w:t>各舱需设置独立模块箱，模块箱箱底距地为</w:t>
      </w:r>
      <w:r>
        <w:rPr>
          <w:color w:val="000000" w:themeColor="text1"/>
          <w14:textFill>
            <w14:solidFill>
              <w14:schemeClr w14:val="tx1"/>
            </w14:solidFill>
          </w14:textFill>
        </w:rPr>
        <w:t>1.3m</w:t>
      </w:r>
      <w:r>
        <w:rPr>
          <w:rFonts w:hint="eastAsia"/>
          <w:color w:val="000000" w:themeColor="text1"/>
          <w14:textFill>
            <w14:solidFill>
              <w14:schemeClr w14:val="tx1"/>
            </w14:solidFill>
          </w14:textFill>
        </w:rPr>
        <w:t>安装，内置总线隔离及功能模块。</w:t>
      </w:r>
    </w:p>
    <w:p>
      <w:pPr>
        <w:numPr>
          <w:ilvl w:val="0"/>
          <w:numId w:val="21"/>
        </w:numPr>
        <w:spacing w:line="360" w:lineRule="auto"/>
        <w:ind w:left="0" w:firstLine="420" w:firstLineChars="200"/>
        <w:rPr>
          <w:color w:val="000000" w:themeColor="text1"/>
          <w14:textFill>
            <w14:solidFill>
              <w14:schemeClr w14:val="tx1"/>
            </w14:solidFill>
          </w14:textFill>
        </w:rPr>
      </w:pPr>
      <w:r>
        <w:rPr>
          <w:rFonts w:hint="eastAsia"/>
          <w:color w:val="000000" w:themeColor="text1"/>
          <w14:textFill>
            <w14:solidFill>
              <w14:schemeClr w14:val="tx1"/>
            </w14:solidFill>
          </w14:textFill>
        </w:rPr>
        <w:t>火灾自动报警系统的有关电线电缆不得与其它用途的电线电缆一起敷设。所有线路都采用穿镀锌钢管或</w:t>
      </w:r>
      <w:r>
        <w:rPr>
          <w:color w:val="000000" w:themeColor="text1"/>
          <w14:textFill>
            <w14:solidFill>
              <w14:schemeClr w14:val="tx1"/>
            </w14:solidFill>
          </w14:textFill>
        </w:rPr>
        <w:t>B1</w:t>
      </w:r>
      <w:r>
        <w:rPr>
          <w:rFonts w:hint="eastAsia"/>
          <w:color w:val="000000" w:themeColor="text1"/>
          <w14:textFill>
            <w14:solidFill>
              <w14:schemeClr w14:val="tx1"/>
            </w14:solidFill>
          </w14:textFill>
        </w:rPr>
        <w:t>级以上钢性阻燃塑料管。</w:t>
      </w:r>
    </w:p>
    <w:p>
      <w:pPr>
        <w:numPr>
          <w:ilvl w:val="0"/>
          <w:numId w:val="21"/>
        </w:numPr>
        <w:spacing w:line="360" w:lineRule="auto"/>
        <w:ind w:left="0" w:firstLine="420" w:firstLineChars="200"/>
        <w:rPr>
          <w:color w:val="000000" w:themeColor="text1"/>
          <w14:textFill>
            <w14:solidFill>
              <w14:schemeClr w14:val="tx1"/>
            </w14:solidFill>
          </w14:textFill>
        </w:rPr>
      </w:pPr>
      <w:r>
        <w:rPr>
          <w:rFonts w:hint="eastAsia"/>
          <w:color w:val="000000" w:themeColor="text1"/>
          <w14:textFill>
            <w14:solidFill>
              <w14:schemeClr w14:val="tx1"/>
            </w14:solidFill>
          </w14:textFill>
        </w:rPr>
        <w:t>探测器在天花吊顶吸顶安装时，接至探测器的导线穿金属软管保护，软管表面应刷防火涂料。</w:t>
      </w:r>
    </w:p>
    <w:p>
      <w:pPr>
        <w:numPr>
          <w:ilvl w:val="0"/>
          <w:numId w:val="21"/>
        </w:numPr>
        <w:spacing w:line="360" w:lineRule="auto"/>
        <w:ind w:left="0" w:firstLine="420" w:firstLineChars="200"/>
        <w:rPr>
          <w:color w:val="000000" w:themeColor="text1"/>
          <w14:textFill>
            <w14:solidFill>
              <w14:schemeClr w14:val="tx1"/>
            </w14:solidFill>
          </w14:textFill>
        </w:rPr>
      </w:pPr>
      <w:r>
        <w:rPr>
          <w:rFonts w:hint="eastAsia"/>
          <w:color w:val="000000" w:themeColor="text1"/>
          <w14:textFill>
            <w14:solidFill>
              <w14:schemeClr w14:val="tx1"/>
            </w14:solidFill>
          </w14:textFill>
        </w:rPr>
        <w:t>预制舱内火灾报警设备（如火灾报警控制器、气体灭火主机等）所需交流</w:t>
      </w:r>
      <w:r>
        <w:rPr>
          <w:color w:val="000000" w:themeColor="text1"/>
          <w14:textFill>
            <w14:solidFill>
              <w14:schemeClr w14:val="tx1"/>
            </w14:solidFill>
          </w14:textFill>
        </w:rPr>
        <w:t>220V</w:t>
      </w:r>
      <w:r>
        <w:rPr>
          <w:rFonts w:hint="eastAsia"/>
          <w:color w:val="000000" w:themeColor="text1"/>
          <w14:textFill>
            <w14:solidFill>
              <w14:schemeClr w14:val="tx1"/>
            </w14:solidFill>
          </w14:textFill>
        </w:rPr>
        <w:t>电源由二次舱继电器及通信室内交流不间断电源屏引接。</w:t>
      </w:r>
      <w:r>
        <w:rPr>
          <w:color w:val="000000" w:themeColor="text1"/>
          <w14:textFill>
            <w14:solidFill>
              <w14:schemeClr w14:val="tx1"/>
            </w14:solidFill>
          </w14:textFill>
        </w:rPr>
        <w:t xml:space="preserve"> </w:t>
      </w:r>
      <w:r>
        <w:rPr>
          <w:rFonts w:hint="eastAsia"/>
          <w:color w:val="000000" w:themeColor="text1"/>
          <w14:textFill>
            <w14:solidFill>
              <w14:schemeClr w14:val="tx1"/>
            </w14:solidFill>
          </w14:textFill>
        </w:rPr>
        <w:t>火灾自动报警控制器的主电源引入线，应直接与消防电源连接，严禁使用电源插头。主电源应有明显标志，联动电源盒容量按</w:t>
      </w:r>
      <w:r>
        <w:rPr>
          <w:color w:val="000000" w:themeColor="text1"/>
          <w14:textFill>
            <w14:solidFill>
              <w14:schemeClr w14:val="tx1"/>
            </w14:solidFill>
          </w14:textFill>
        </w:rPr>
        <w:t>300VA</w:t>
      </w:r>
      <w:r>
        <w:rPr>
          <w:rFonts w:hint="eastAsia"/>
          <w:color w:val="000000" w:themeColor="text1"/>
          <w14:textFill>
            <w14:solidFill>
              <w14:schemeClr w14:val="tx1"/>
            </w14:solidFill>
          </w14:textFill>
        </w:rPr>
        <w:t>考虑。</w:t>
      </w:r>
    </w:p>
    <w:p>
      <w:pPr>
        <w:numPr>
          <w:ilvl w:val="0"/>
          <w:numId w:val="21"/>
        </w:numPr>
        <w:spacing w:line="360" w:lineRule="auto"/>
        <w:ind w:left="0" w:firstLine="420" w:firstLineChars="200"/>
        <w:rPr>
          <w:color w:val="000000" w:themeColor="text1"/>
          <w14:textFill>
            <w14:solidFill>
              <w14:schemeClr w14:val="tx1"/>
            </w14:solidFill>
          </w14:textFill>
        </w:rPr>
      </w:pPr>
      <w:r>
        <w:rPr>
          <w:rFonts w:hint="eastAsia"/>
          <w:color w:val="000000" w:themeColor="text1"/>
          <w14:textFill>
            <w14:solidFill>
              <w14:schemeClr w14:val="tx1"/>
            </w14:solidFill>
          </w14:textFill>
        </w:rPr>
        <w:t>火灾自动报警系统的接地应接在共用接地装置上。共用接地端子排的接地电阻不大于</w:t>
      </w:r>
      <w:r>
        <w:rPr>
          <w:color w:val="000000" w:themeColor="text1"/>
          <w14:textFill>
            <w14:solidFill>
              <w14:schemeClr w14:val="tx1"/>
            </w14:solidFill>
          </w14:textFill>
        </w:rPr>
        <w:t>1</w:t>
      </w:r>
      <w:r>
        <w:rPr>
          <w:rFonts w:hint="eastAsia"/>
          <w:color w:val="000000" w:themeColor="text1"/>
          <w14:textFill>
            <w14:solidFill>
              <w14:schemeClr w14:val="tx1"/>
            </w14:solidFill>
          </w14:textFill>
        </w:rPr>
        <w:t>欧姆，各系统的穿线金属管、金属接线盒等均应做好电气连接并接地</w:t>
      </w:r>
      <w:r>
        <w:rPr>
          <w:color w:val="000000" w:themeColor="text1"/>
          <w14:textFill>
            <w14:solidFill>
              <w14:schemeClr w14:val="tx1"/>
            </w14:solidFill>
          </w14:textFill>
        </w:rPr>
        <w:t>,</w:t>
      </w:r>
      <w:r>
        <w:rPr>
          <w:rFonts w:hint="eastAsia"/>
          <w:color w:val="000000" w:themeColor="text1"/>
          <w14:textFill>
            <w14:solidFill>
              <w14:schemeClr w14:val="tx1"/>
            </w14:solidFill>
          </w14:textFill>
        </w:rPr>
        <w:t>明敷钢管如通过接线盒的</w:t>
      </w:r>
      <w:r>
        <w:rPr>
          <w:color w:val="000000" w:themeColor="text1"/>
          <w14:textFill>
            <w14:solidFill>
              <w14:schemeClr w14:val="tx1"/>
            </w14:solidFill>
          </w14:textFill>
        </w:rPr>
        <w:t>,</w:t>
      </w:r>
      <w:r>
        <w:rPr>
          <w:rFonts w:hint="eastAsia"/>
          <w:color w:val="000000" w:themeColor="text1"/>
          <w14:textFill>
            <w14:solidFill>
              <w14:schemeClr w14:val="tx1"/>
            </w14:solidFill>
          </w14:textFill>
        </w:rPr>
        <w:t>管与管的连接采用丝扣连接，并在接头两端设置跨接线，使用专用的跨接线卡固定，跨接铜芯线截面不少于</w:t>
      </w:r>
      <w:r>
        <w:rPr>
          <w:color w:val="000000" w:themeColor="text1"/>
          <w14:textFill>
            <w14:solidFill>
              <w14:schemeClr w14:val="tx1"/>
            </w14:solidFill>
          </w14:textFill>
        </w:rPr>
        <w:t>2.5mm</w:t>
      </w:r>
      <w:r>
        <w:rPr>
          <w:color w:val="000000" w:themeColor="text1"/>
          <w:vertAlign w:val="superscript"/>
          <w14:textFill>
            <w14:solidFill>
              <w14:schemeClr w14:val="tx1"/>
            </w14:solidFill>
          </w14:textFill>
        </w:rPr>
        <w:t>2</w:t>
      </w:r>
      <w:r>
        <w:rPr>
          <w:rFonts w:hint="eastAsia"/>
          <w:color w:val="000000" w:themeColor="text1"/>
          <w14:textFill>
            <w14:solidFill>
              <w14:schemeClr w14:val="tx1"/>
            </w14:solidFill>
          </w14:textFill>
        </w:rPr>
        <w:t>，严禁采用焊接跨接。</w:t>
      </w:r>
    </w:p>
    <w:p>
      <w:pPr>
        <w:numPr>
          <w:ilvl w:val="0"/>
          <w:numId w:val="21"/>
        </w:numPr>
        <w:spacing w:line="360" w:lineRule="auto"/>
        <w:ind w:left="0" w:firstLine="420" w:firstLineChars="200"/>
        <w:rPr>
          <w:color w:val="000000" w:themeColor="text1"/>
          <w14:textFill>
            <w14:solidFill>
              <w14:schemeClr w14:val="tx1"/>
            </w14:solidFill>
          </w14:textFill>
        </w:rPr>
      </w:pPr>
      <w:r>
        <w:rPr>
          <w:rFonts w:hint="eastAsia"/>
          <w:color w:val="000000" w:themeColor="text1"/>
          <w14:textFill>
            <w14:solidFill>
              <w14:schemeClr w14:val="tx1"/>
            </w14:solidFill>
          </w14:textFill>
        </w:rPr>
        <w:t>当舱内某处发生火灾时，火灾报警系统需通过控制电源配电箱的分励脱扣装置切除相应区域的动力和照明配电箱总电源开关，实现风机、空调、照明动力等非消防电源切除，并接收其动作信号。</w:t>
      </w:r>
    </w:p>
    <w:p>
      <w:pPr>
        <w:numPr>
          <w:ilvl w:val="0"/>
          <w:numId w:val="21"/>
        </w:numPr>
        <w:spacing w:line="360" w:lineRule="auto"/>
        <w:ind w:left="0" w:firstLine="420" w:firstLineChars="200"/>
        <w:rPr>
          <w:color w:val="000000" w:themeColor="text1"/>
          <w14:textFill>
            <w14:solidFill>
              <w14:schemeClr w14:val="tx1"/>
            </w14:solidFill>
          </w14:textFill>
        </w:rPr>
      </w:pPr>
      <w:r>
        <w:rPr>
          <w:rFonts w:hint="eastAsia"/>
          <w:color w:val="000000" w:themeColor="text1"/>
          <w14:textFill>
            <w14:solidFill>
              <w14:schemeClr w14:val="tx1"/>
            </w14:solidFill>
          </w14:textFill>
        </w:rPr>
        <w:t>设有消防专用电话系统</w:t>
      </w:r>
      <w:r>
        <w:rPr>
          <w:color w:val="000000" w:themeColor="text1"/>
          <w14:textFill>
            <w14:solidFill>
              <w14:schemeClr w14:val="tx1"/>
            </w14:solidFill>
          </w14:textFill>
        </w:rPr>
        <w:t>,</w:t>
      </w:r>
      <w:r>
        <w:rPr>
          <w:rFonts w:hint="eastAsia"/>
          <w:color w:val="000000" w:themeColor="text1"/>
          <w14:textFill>
            <w14:solidFill>
              <w14:schemeClr w14:val="tx1"/>
            </w14:solidFill>
          </w14:textFill>
        </w:rPr>
        <w:t>在手动报警按钮处设置电话插孔，供火灾或调试时与消防控制室联系</w:t>
      </w:r>
      <w:r>
        <w:rPr>
          <w:color w:val="000000" w:themeColor="text1"/>
          <w14:textFill>
            <w14:solidFill>
              <w14:schemeClr w14:val="tx1"/>
            </w14:solidFill>
          </w14:textFill>
        </w:rPr>
        <w:t>,</w:t>
      </w:r>
      <w:r>
        <w:rPr>
          <w:rFonts w:hint="eastAsia"/>
          <w:color w:val="000000" w:themeColor="text1"/>
          <w14:textFill>
            <w14:solidFill>
              <w14:schemeClr w14:val="tx1"/>
            </w14:solidFill>
          </w14:textFill>
        </w:rPr>
        <w:t>另二次设备舱应设有用于火灾报警的外线电话。</w:t>
      </w:r>
    </w:p>
    <w:p>
      <w:pPr>
        <w:widowControl/>
        <w:numPr>
          <w:ilvl w:val="0"/>
          <w:numId w:val="21"/>
        </w:numPr>
        <w:spacing w:line="360" w:lineRule="auto"/>
        <w:ind w:left="0" w:firstLine="420" w:firstLineChars="200"/>
        <w:rPr>
          <w:color w:val="000000" w:themeColor="text1"/>
          <w14:textFill>
            <w14:solidFill>
              <w14:schemeClr w14:val="tx1"/>
            </w14:solidFill>
          </w14:textFill>
        </w:rPr>
      </w:pPr>
      <w:r>
        <w:rPr>
          <w:rFonts w:hint="eastAsia"/>
          <w:color w:val="000000" w:themeColor="text1"/>
          <w14:textFill>
            <w14:solidFill>
              <w14:schemeClr w14:val="tx1"/>
            </w14:solidFill>
          </w14:textFill>
        </w:rPr>
        <w:t>各舱底走线槽设置缆式感温探测器，进行电缆通道测温，并接入火灾报警主机。当温度超出允许范围时，进行报警。感温电缆应敷设于所有舱体内每一层走线槽、电缆沟内每一层支架上</w:t>
      </w:r>
      <w:r>
        <w:rPr>
          <w:color w:val="000000" w:themeColor="text1"/>
          <w14:textFill>
            <w14:solidFill>
              <w14:schemeClr w14:val="tx1"/>
            </w14:solidFill>
          </w14:textFill>
        </w:rPr>
        <w:t>,</w:t>
      </w:r>
      <w:r>
        <w:rPr>
          <w:rFonts w:hint="eastAsia"/>
          <w:color w:val="000000" w:themeColor="text1"/>
          <w14:textFill>
            <w14:solidFill>
              <w14:schemeClr w14:val="tx1"/>
            </w14:solidFill>
          </w14:textFill>
        </w:rPr>
        <w:t>采用</w:t>
      </w:r>
      <w:r>
        <w:rPr>
          <w:color w:val="000000" w:themeColor="text1"/>
          <w14:textFill>
            <w14:solidFill>
              <w14:schemeClr w14:val="tx1"/>
            </w14:solidFill>
          </w14:textFill>
        </w:rPr>
        <w:t>S</w:t>
      </w:r>
      <w:r>
        <w:rPr>
          <w:rFonts w:hint="eastAsia"/>
          <w:color w:val="000000" w:themeColor="text1"/>
          <w14:textFill>
            <w14:solidFill>
              <w14:schemeClr w14:val="tx1"/>
            </w14:solidFill>
          </w14:textFill>
        </w:rPr>
        <w:t>型布置。</w:t>
      </w:r>
    </w:p>
    <w:p>
      <w:pPr>
        <w:widowControl/>
        <w:numPr>
          <w:ilvl w:val="0"/>
          <w:numId w:val="21"/>
        </w:numPr>
        <w:spacing w:line="360" w:lineRule="auto"/>
        <w:ind w:left="0" w:firstLine="420" w:firstLineChars="200"/>
        <w:rPr>
          <w:color w:val="000000" w:themeColor="text1"/>
          <w14:textFill>
            <w14:solidFill>
              <w14:schemeClr w14:val="tx1"/>
            </w14:solidFill>
          </w14:textFill>
        </w:rPr>
      </w:pPr>
      <w:r>
        <w:rPr>
          <w:rFonts w:hint="eastAsia"/>
          <w:color w:val="000000" w:themeColor="text1"/>
          <w14:textFill>
            <w14:solidFill>
              <w14:schemeClr w14:val="tx1"/>
            </w14:solidFill>
          </w14:textFill>
        </w:rPr>
        <w:t>预制舱外应设置有消防放气告警灯。</w:t>
      </w:r>
    </w:p>
    <w:p>
      <w:pPr>
        <w:spacing w:line="360" w:lineRule="auto"/>
        <w:ind w:firstLine="420" w:firstLineChars="200"/>
        <w:rPr>
          <w:color w:val="000000" w:themeColor="text1"/>
          <w14:textFill>
            <w14:solidFill>
              <w14:schemeClr w14:val="tx1"/>
            </w14:solidFill>
          </w14:textFill>
        </w:rPr>
      </w:pPr>
      <w:r>
        <w:rPr>
          <w:color w:val="000000" w:themeColor="text1"/>
          <w14:textFill>
            <w14:solidFill>
              <w14:schemeClr w14:val="tx1"/>
            </w14:solidFill>
          </w14:textFill>
        </w:rPr>
        <w:t>5.3.3.3</w:t>
      </w:r>
      <w:r>
        <w:rPr>
          <w:rFonts w:hint="eastAsia"/>
          <w:color w:val="000000" w:themeColor="text1"/>
          <w14:textFill>
            <w14:solidFill>
              <w14:schemeClr w14:val="tx1"/>
            </w14:solidFill>
          </w14:textFill>
        </w:rPr>
        <w:t>、其他要求详见广东电网辅助控制系统通用技术规范要求。</w:t>
      </w:r>
    </w:p>
    <w:p>
      <w:pPr>
        <w:pStyle w:val="3"/>
        <w:numPr>
          <w:ilvl w:val="1"/>
          <w:numId w:val="0"/>
        </w:numPr>
        <w:rPr>
          <w:rFonts w:ascii="黑体" w:hAnsi="黑体" w:eastAsia="黑体"/>
          <w:color w:val="000000" w:themeColor="text1"/>
          <w14:textFill>
            <w14:solidFill>
              <w14:schemeClr w14:val="tx1"/>
            </w14:solidFill>
          </w14:textFill>
        </w:rPr>
      </w:pPr>
      <w:bookmarkStart w:id="95" w:name="_Toc177995332"/>
      <w:r>
        <w:rPr>
          <w:rFonts w:ascii="黑体" w:hAnsi="黑体" w:eastAsia="黑体"/>
          <w:color w:val="000000" w:themeColor="text1"/>
          <w14:textFill>
            <w14:solidFill>
              <w14:schemeClr w14:val="tx1"/>
            </w14:solidFill>
          </w14:textFill>
        </w:rPr>
        <w:t xml:space="preserve">5.4 </w:t>
      </w:r>
      <w:bookmarkEnd w:id="41"/>
      <w:bookmarkEnd w:id="95"/>
      <w:bookmarkStart w:id="96" w:name="_Toc177995333"/>
      <w:r>
        <w:rPr>
          <w:rFonts w:hint="eastAsia" w:ascii="黑体" w:hAnsi="黑体" w:eastAsia="黑体"/>
          <w:color w:val="000000" w:themeColor="text1"/>
          <w14:textFill>
            <w14:solidFill>
              <w14:schemeClr w14:val="tx1"/>
            </w14:solidFill>
          </w14:textFill>
        </w:rPr>
        <w:t>预制舱</w:t>
      </w:r>
      <w:r>
        <w:rPr>
          <w:rFonts w:ascii="黑体" w:hAnsi="黑体" w:eastAsia="黑体"/>
          <w:color w:val="000000" w:themeColor="text1"/>
          <w14:textFill>
            <w14:solidFill>
              <w14:schemeClr w14:val="tx1"/>
            </w14:solidFill>
          </w14:textFill>
        </w:rPr>
        <w:t>照明动力要求</w:t>
      </w:r>
    </w:p>
    <w:p>
      <w:pPr>
        <w:pStyle w:val="201"/>
        <w:adjustRightInd w:val="0"/>
        <w:snapToGrid w:val="0"/>
        <w:spacing w:line="360" w:lineRule="auto"/>
        <w:rPr>
          <w:rFonts w:ascii="Times New Roman" w:hAnsi="Times New Roman" w:eastAsia="宋体"/>
          <w:color w:val="000000" w:themeColor="text1"/>
          <w:sz w:val="21"/>
          <w:szCs w:val="21"/>
          <w14:textFill>
            <w14:solidFill>
              <w14:schemeClr w14:val="tx1"/>
            </w14:solidFill>
          </w14:textFill>
        </w:rPr>
      </w:pPr>
      <w:bookmarkStart w:id="97" w:name="_Toc338863365"/>
      <w:r>
        <w:rPr>
          <w:rFonts w:ascii="Times New Roman" w:hAnsi="Times New Roman" w:eastAsia="宋体"/>
          <w:color w:val="000000" w:themeColor="text1"/>
          <w:sz w:val="21"/>
          <w:szCs w:val="21"/>
          <w14:textFill>
            <w14:solidFill>
              <w14:schemeClr w14:val="tx1"/>
            </w14:solidFill>
          </w14:textFill>
        </w:rPr>
        <w:t>5.4.1</w:t>
      </w:r>
      <w:r>
        <w:rPr>
          <w:rFonts w:hint="eastAsia" w:ascii="Times New Roman" w:hAnsi="Times New Roman" w:eastAsia="宋体"/>
          <w:color w:val="000000" w:themeColor="text1"/>
          <w:sz w:val="21"/>
          <w:szCs w:val="21"/>
          <w14:textFill>
            <w14:solidFill>
              <w14:schemeClr w14:val="tx1"/>
            </w14:solidFill>
          </w14:textFill>
        </w:rPr>
        <w:t>正常照明</w:t>
      </w:r>
    </w:p>
    <w:p>
      <w:pPr>
        <w:pStyle w:val="201"/>
        <w:adjustRightInd w:val="0"/>
        <w:snapToGrid w:val="0"/>
        <w:spacing w:line="360" w:lineRule="auto"/>
        <w:rPr>
          <w:rFonts w:ascii="Times New Roman" w:hAnsi="Times New Roman" w:eastAsia="宋体"/>
          <w:color w:val="000000" w:themeColor="text1"/>
          <w:sz w:val="21"/>
          <w:szCs w:val="21"/>
          <w14:textFill>
            <w14:solidFill>
              <w14:schemeClr w14:val="tx1"/>
            </w14:solidFill>
          </w14:textFill>
        </w:rPr>
      </w:pPr>
      <w:r>
        <w:rPr>
          <w:rFonts w:ascii="Times New Roman" w:hAnsi="Times New Roman" w:eastAsia="宋体"/>
          <w:color w:val="000000" w:themeColor="text1"/>
          <w:sz w:val="21"/>
          <w:szCs w:val="21"/>
          <w14:textFill>
            <w14:solidFill>
              <w14:schemeClr w14:val="tx1"/>
            </w14:solidFill>
          </w14:textFill>
        </w:rPr>
        <w:t>5.4.1.1</w:t>
      </w:r>
      <w:bookmarkEnd w:id="97"/>
      <w:r>
        <w:rPr>
          <w:rFonts w:hint="eastAsia" w:ascii="Times New Roman" w:hAnsi="Times New Roman" w:eastAsia="宋体"/>
          <w:color w:val="000000" w:themeColor="text1"/>
          <w:sz w:val="21"/>
          <w:szCs w:val="21"/>
          <w14:textFill>
            <w14:solidFill>
              <w14:schemeClr w14:val="tx1"/>
            </w14:solidFill>
          </w14:textFill>
        </w:rPr>
        <w:t>照明灯具应注意不要安装在设备正上方；屏柜舱照明需注意屏正面和背面均需布置灯具。</w:t>
      </w:r>
      <w:r>
        <w:rPr>
          <w:rFonts w:ascii="Times New Roman" w:hAnsi="Times New Roman" w:eastAsia="宋体"/>
          <w:color w:val="000000" w:themeColor="text1"/>
          <w:sz w:val="21"/>
          <w:szCs w:val="21"/>
          <w14:textFill>
            <w14:solidFill>
              <w14:schemeClr w14:val="tx1"/>
            </w14:solidFill>
          </w14:textFill>
        </w:rPr>
        <w:t xml:space="preserve"> </w:t>
      </w:r>
    </w:p>
    <w:p>
      <w:pPr>
        <w:pStyle w:val="201"/>
        <w:adjustRightInd w:val="0"/>
        <w:snapToGrid w:val="0"/>
        <w:spacing w:line="360" w:lineRule="auto"/>
        <w:rPr>
          <w:rFonts w:ascii="Times New Roman" w:hAnsi="Times New Roman" w:eastAsia="宋体"/>
          <w:color w:val="000000" w:themeColor="text1"/>
          <w:sz w:val="21"/>
          <w:szCs w:val="21"/>
          <w14:textFill>
            <w14:solidFill>
              <w14:schemeClr w14:val="tx1"/>
            </w14:solidFill>
          </w14:textFill>
        </w:rPr>
      </w:pPr>
      <w:r>
        <w:rPr>
          <w:rFonts w:ascii="Times New Roman" w:hAnsi="Times New Roman" w:eastAsia="宋体"/>
          <w:color w:val="000000" w:themeColor="text1"/>
          <w:sz w:val="21"/>
          <w:szCs w:val="21"/>
          <w14:textFill>
            <w14:solidFill>
              <w14:schemeClr w14:val="tx1"/>
            </w14:solidFill>
          </w14:textFill>
        </w:rPr>
        <w:t>5.4.1.2</w:t>
      </w:r>
      <w:r>
        <w:rPr>
          <w:rFonts w:hint="eastAsia" w:ascii="Times New Roman" w:hAnsi="Times New Roman" w:eastAsia="宋体"/>
          <w:color w:val="000000" w:themeColor="text1"/>
          <w:sz w:val="21"/>
          <w:szCs w:val="21"/>
          <w14:textFill>
            <w14:solidFill>
              <w14:schemeClr w14:val="tx1"/>
            </w14:solidFill>
          </w14:textFill>
        </w:rPr>
        <w:t>照明开关采用翘板型。照明开关宜安装在便于操作的出入口，或经常有人工作的地方，开关距地</w:t>
      </w:r>
      <w:r>
        <w:rPr>
          <w:rFonts w:ascii="Times New Roman" w:hAnsi="Times New Roman" w:eastAsia="宋体"/>
          <w:color w:val="000000" w:themeColor="text1"/>
          <w:sz w:val="21"/>
          <w:szCs w:val="21"/>
          <w14:textFill>
            <w14:solidFill>
              <w14:schemeClr w14:val="tx1"/>
            </w14:solidFill>
          </w14:textFill>
        </w:rPr>
        <w:t>1.3m</w:t>
      </w:r>
      <w:r>
        <w:rPr>
          <w:rFonts w:hint="eastAsia" w:ascii="Times New Roman" w:hAnsi="Times New Roman" w:eastAsia="宋体"/>
          <w:color w:val="000000" w:themeColor="text1"/>
          <w:sz w:val="21"/>
          <w:szCs w:val="21"/>
          <w14:textFill>
            <w14:solidFill>
              <w14:schemeClr w14:val="tx1"/>
            </w14:solidFill>
          </w14:textFill>
        </w:rPr>
        <w:t>，距门框边</w:t>
      </w:r>
      <w:r>
        <w:rPr>
          <w:rFonts w:ascii="Times New Roman" w:hAnsi="Times New Roman" w:eastAsia="宋体"/>
          <w:color w:val="000000" w:themeColor="text1"/>
          <w:sz w:val="21"/>
          <w:szCs w:val="21"/>
          <w14:textFill>
            <w14:solidFill>
              <w14:schemeClr w14:val="tx1"/>
            </w14:solidFill>
          </w14:textFill>
        </w:rPr>
        <w:t>0.15m~0.2m</w:t>
      </w:r>
      <w:r>
        <w:rPr>
          <w:rFonts w:hint="eastAsia" w:ascii="Times New Roman" w:hAnsi="Times New Roman" w:eastAsia="宋体"/>
          <w:color w:val="000000" w:themeColor="text1"/>
          <w:sz w:val="21"/>
          <w:szCs w:val="21"/>
          <w14:textFill>
            <w14:solidFill>
              <w14:schemeClr w14:val="tx1"/>
            </w14:solidFill>
          </w14:textFill>
        </w:rPr>
        <w:t>。对于蓄电池室、储能设备间等有爆炸危险的设备间，灯具开关应布置在门外。其他房间的灯具开关布置在室内靠门侧，建筑物出口屋檐灯的开关布置在户外。潮湿房间及户外装设的灯具开关选用防水型。</w:t>
      </w:r>
    </w:p>
    <w:p>
      <w:pPr>
        <w:pStyle w:val="201"/>
        <w:adjustRightInd w:val="0"/>
        <w:snapToGrid w:val="0"/>
        <w:spacing w:line="360" w:lineRule="auto"/>
        <w:rPr>
          <w:rFonts w:ascii="Times New Roman" w:hAnsi="Times New Roman" w:eastAsia="宋体"/>
          <w:color w:val="000000" w:themeColor="text1"/>
          <w:sz w:val="21"/>
          <w:szCs w:val="21"/>
          <w14:textFill>
            <w14:solidFill>
              <w14:schemeClr w14:val="tx1"/>
            </w14:solidFill>
          </w14:textFill>
        </w:rPr>
      </w:pPr>
      <w:r>
        <w:rPr>
          <w:rFonts w:ascii="Times New Roman" w:hAnsi="Times New Roman" w:eastAsia="宋体"/>
          <w:color w:val="000000" w:themeColor="text1"/>
          <w:sz w:val="21"/>
          <w:szCs w:val="21"/>
          <w14:textFill>
            <w14:solidFill>
              <w14:schemeClr w14:val="tx1"/>
            </w14:solidFill>
          </w14:textFill>
        </w:rPr>
        <w:t>5.4.1.3</w:t>
      </w:r>
      <w:r>
        <w:rPr>
          <w:rFonts w:hint="eastAsia" w:ascii="Times New Roman" w:hAnsi="Times New Roman" w:eastAsia="宋体"/>
          <w:color w:val="000000" w:themeColor="text1"/>
          <w:sz w:val="21"/>
          <w:szCs w:val="21"/>
          <w14:textFill>
            <w14:solidFill>
              <w14:schemeClr w14:val="tx1"/>
            </w14:solidFill>
          </w14:textFill>
        </w:rPr>
        <w:t>一个房间的灯具超过</w:t>
      </w:r>
      <w:r>
        <w:rPr>
          <w:rFonts w:ascii="Times New Roman" w:hAnsi="Times New Roman" w:eastAsia="宋体"/>
          <w:color w:val="000000" w:themeColor="text1"/>
          <w:sz w:val="21"/>
          <w:szCs w:val="21"/>
          <w14:textFill>
            <w14:solidFill>
              <w14:schemeClr w14:val="tx1"/>
            </w14:solidFill>
          </w14:textFill>
        </w:rPr>
        <w:t>1</w:t>
      </w:r>
      <w:r>
        <w:rPr>
          <w:rFonts w:hint="eastAsia" w:ascii="Times New Roman" w:hAnsi="Times New Roman" w:eastAsia="宋体"/>
          <w:color w:val="000000" w:themeColor="text1"/>
          <w:sz w:val="21"/>
          <w:szCs w:val="21"/>
          <w14:textFill>
            <w14:solidFill>
              <w14:schemeClr w14:val="tx1"/>
            </w14:solidFill>
          </w14:textFill>
        </w:rPr>
        <w:t>个时应选用多联翘板开关控制，但翘板开关联数不宜超过</w:t>
      </w:r>
      <w:r>
        <w:rPr>
          <w:rFonts w:ascii="Times New Roman" w:hAnsi="Times New Roman" w:eastAsia="宋体"/>
          <w:color w:val="000000" w:themeColor="text1"/>
          <w:sz w:val="21"/>
          <w:szCs w:val="21"/>
          <w14:textFill>
            <w14:solidFill>
              <w14:schemeClr w14:val="tx1"/>
            </w14:solidFill>
          </w14:textFill>
        </w:rPr>
        <w:t>4</w:t>
      </w:r>
      <w:r>
        <w:rPr>
          <w:rFonts w:hint="eastAsia" w:ascii="Times New Roman" w:hAnsi="Times New Roman" w:eastAsia="宋体"/>
          <w:color w:val="000000" w:themeColor="text1"/>
          <w:sz w:val="21"/>
          <w:szCs w:val="21"/>
          <w14:textFill>
            <w14:solidFill>
              <w14:schemeClr w14:val="tx1"/>
            </w14:solidFill>
          </w14:textFill>
        </w:rPr>
        <w:t>联，如超过</w:t>
      </w:r>
      <w:r>
        <w:rPr>
          <w:rFonts w:ascii="Times New Roman" w:hAnsi="Times New Roman" w:eastAsia="宋体"/>
          <w:color w:val="000000" w:themeColor="text1"/>
          <w:sz w:val="21"/>
          <w:szCs w:val="21"/>
          <w14:textFill>
            <w14:solidFill>
              <w14:schemeClr w14:val="tx1"/>
            </w14:solidFill>
          </w14:textFill>
        </w:rPr>
        <w:t>4</w:t>
      </w:r>
      <w:r>
        <w:rPr>
          <w:rFonts w:hint="eastAsia" w:ascii="Times New Roman" w:hAnsi="Times New Roman" w:eastAsia="宋体"/>
          <w:color w:val="000000" w:themeColor="text1"/>
          <w:sz w:val="21"/>
          <w:szCs w:val="21"/>
          <w14:textFill>
            <w14:solidFill>
              <w14:schemeClr w14:val="tx1"/>
            </w14:solidFill>
          </w14:textFill>
        </w:rPr>
        <w:t>联，应增加多联翘板开关数量。</w:t>
      </w:r>
    </w:p>
    <w:p>
      <w:pPr>
        <w:pStyle w:val="201"/>
        <w:adjustRightInd w:val="0"/>
        <w:snapToGrid w:val="0"/>
        <w:spacing w:line="360" w:lineRule="auto"/>
        <w:rPr>
          <w:rFonts w:ascii="Times New Roman" w:hAnsi="Times New Roman" w:eastAsia="宋体"/>
          <w:color w:val="000000" w:themeColor="text1"/>
          <w:sz w:val="21"/>
          <w:szCs w:val="21"/>
          <w14:textFill>
            <w14:solidFill>
              <w14:schemeClr w14:val="tx1"/>
            </w14:solidFill>
          </w14:textFill>
        </w:rPr>
      </w:pPr>
      <w:r>
        <w:rPr>
          <w:rFonts w:ascii="Times New Roman" w:hAnsi="Times New Roman" w:eastAsia="宋体"/>
          <w:color w:val="000000" w:themeColor="text1"/>
          <w:sz w:val="21"/>
          <w:szCs w:val="21"/>
          <w14:textFill>
            <w14:solidFill>
              <w14:schemeClr w14:val="tx1"/>
            </w14:solidFill>
          </w14:textFill>
        </w:rPr>
        <w:t>5.4.1.4</w:t>
      </w:r>
      <w:r>
        <w:rPr>
          <w:rFonts w:hint="eastAsia" w:ascii="Times New Roman" w:hAnsi="Times New Roman" w:eastAsia="宋体"/>
          <w:color w:val="000000" w:themeColor="text1"/>
          <w:sz w:val="21"/>
          <w:szCs w:val="21"/>
          <w14:textFill>
            <w14:solidFill>
              <w14:schemeClr w14:val="tx1"/>
            </w14:solidFill>
          </w14:textFill>
        </w:rPr>
        <w:t>考虑到施工实际情况，灯开关最多到双控。双控建议只在较长的预制舱使用，面积小的预制舱有多个门时不建议使用双控，建议分区域控制。</w:t>
      </w:r>
    </w:p>
    <w:p>
      <w:pPr>
        <w:pStyle w:val="201"/>
        <w:adjustRightInd w:val="0"/>
        <w:snapToGrid w:val="0"/>
        <w:spacing w:line="360" w:lineRule="auto"/>
        <w:rPr>
          <w:rFonts w:ascii="Times New Roman" w:hAnsi="Times New Roman" w:eastAsia="宋体"/>
          <w:color w:val="000000" w:themeColor="text1"/>
          <w:sz w:val="21"/>
          <w:szCs w:val="21"/>
          <w14:textFill>
            <w14:solidFill>
              <w14:schemeClr w14:val="tx1"/>
            </w14:solidFill>
          </w14:textFill>
        </w:rPr>
      </w:pPr>
      <w:r>
        <w:rPr>
          <w:rFonts w:ascii="Times New Roman" w:hAnsi="Times New Roman" w:eastAsia="宋体"/>
          <w:color w:val="000000" w:themeColor="text1"/>
          <w:sz w:val="21"/>
          <w:szCs w:val="21"/>
          <w14:textFill>
            <w14:solidFill>
              <w14:schemeClr w14:val="tx1"/>
            </w14:solidFill>
          </w14:textFill>
        </w:rPr>
        <w:t>5.4.1.5</w:t>
      </w:r>
      <w:r>
        <w:rPr>
          <w:rFonts w:hint="eastAsia" w:ascii="Times New Roman" w:hAnsi="Times New Roman" w:eastAsia="宋体"/>
          <w:color w:val="000000" w:themeColor="text1"/>
          <w:sz w:val="21"/>
          <w:szCs w:val="21"/>
          <w14:textFill>
            <w14:solidFill>
              <w14:schemeClr w14:val="tx1"/>
            </w14:solidFill>
          </w14:textFill>
        </w:rPr>
        <w:t>户内照明需进行照度计算，根据规范《火力发电厂和变电站照明设计技术规定》表</w:t>
      </w:r>
      <w:r>
        <w:rPr>
          <w:rFonts w:ascii="Times New Roman" w:hAnsi="Times New Roman" w:eastAsia="宋体"/>
          <w:color w:val="000000" w:themeColor="text1"/>
          <w:sz w:val="21"/>
          <w:szCs w:val="21"/>
          <w14:textFill>
            <w14:solidFill>
              <w14:schemeClr w14:val="tx1"/>
            </w14:solidFill>
          </w14:textFill>
        </w:rPr>
        <w:t>8.0.1-1~8.0.1-3</w:t>
      </w:r>
      <w:r>
        <w:rPr>
          <w:rFonts w:hint="eastAsia" w:ascii="Times New Roman" w:hAnsi="Times New Roman" w:eastAsia="宋体"/>
          <w:color w:val="000000" w:themeColor="text1"/>
          <w:sz w:val="21"/>
          <w:szCs w:val="21"/>
          <w14:textFill>
            <w14:solidFill>
              <w14:schemeClr w14:val="tx1"/>
            </w14:solidFill>
          </w14:textFill>
        </w:rPr>
        <w:t>的规定，预制舱照度不应小于</w:t>
      </w:r>
      <w:r>
        <w:rPr>
          <w:rFonts w:ascii="Times New Roman" w:hAnsi="Times New Roman" w:eastAsia="宋体"/>
          <w:color w:val="000000" w:themeColor="text1"/>
          <w:sz w:val="21"/>
          <w:szCs w:val="21"/>
          <w14:textFill>
            <w14:solidFill>
              <w14:schemeClr w14:val="tx1"/>
            </w14:solidFill>
          </w14:textFill>
        </w:rPr>
        <w:t>300</w:t>
      </w:r>
      <w:r>
        <w:rPr>
          <w:rFonts w:hint="eastAsia" w:ascii="Times New Roman" w:hAnsi="Times New Roman" w:eastAsia="宋体"/>
          <w:color w:val="000000" w:themeColor="text1"/>
          <w:sz w:val="21"/>
          <w:szCs w:val="21"/>
          <w14:textFill>
            <w14:solidFill>
              <w14:schemeClr w14:val="tx1"/>
            </w14:solidFill>
          </w14:textFill>
        </w:rPr>
        <w:t>（显色系数</w:t>
      </w:r>
      <w:r>
        <w:rPr>
          <w:rFonts w:ascii="Times New Roman" w:hAnsi="Times New Roman" w:eastAsia="宋体"/>
          <w:color w:val="000000" w:themeColor="text1"/>
          <w:sz w:val="21"/>
          <w:szCs w:val="21"/>
          <w14:textFill>
            <w14:solidFill>
              <w14:schemeClr w14:val="tx1"/>
            </w14:solidFill>
          </w14:textFill>
        </w:rPr>
        <w:t>80</w:t>
      </w:r>
      <w:r>
        <w:rPr>
          <w:rFonts w:hint="eastAsia" w:ascii="Times New Roman" w:hAnsi="Times New Roman" w:eastAsia="宋体"/>
          <w:color w:val="000000" w:themeColor="text1"/>
          <w:sz w:val="21"/>
          <w:szCs w:val="21"/>
          <w14:textFill>
            <w14:solidFill>
              <w14:schemeClr w14:val="tx1"/>
            </w14:solidFill>
          </w14:textFill>
        </w:rPr>
        <w:t>）。</w:t>
      </w:r>
    </w:p>
    <w:p>
      <w:pPr>
        <w:pStyle w:val="201"/>
        <w:adjustRightInd w:val="0"/>
        <w:snapToGrid w:val="0"/>
        <w:spacing w:line="360" w:lineRule="auto"/>
        <w:rPr>
          <w:rFonts w:ascii="Times New Roman" w:hAnsi="Times New Roman" w:eastAsia="宋体"/>
          <w:color w:val="000000" w:themeColor="text1"/>
          <w:sz w:val="21"/>
          <w:szCs w:val="21"/>
          <w14:textFill>
            <w14:solidFill>
              <w14:schemeClr w14:val="tx1"/>
            </w14:solidFill>
          </w14:textFill>
        </w:rPr>
      </w:pPr>
      <w:r>
        <w:rPr>
          <w:rFonts w:ascii="Times New Roman" w:hAnsi="Times New Roman" w:eastAsia="宋体"/>
          <w:color w:val="000000" w:themeColor="text1"/>
          <w:sz w:val="21"/>
          <w:szCs w:val="21"/>
          <w14:textFill>
            <w14:solidFill>
              <w14:schemeClr w14:val="tx1"/>
            </w14:solidFill>
          </w14:textFill>
        </w:rPr>
        <w:t>5.4.1.6</w:t>
      </w:r>
      <w:r>
        <w:rPr>
          <w:rFonts w:hint="eastAsia" w:ascii="Times New Roman" w:hAnsi="Times New Roman" w:eastAsia="宋体"/>
          <w:color w:val="000000" w:themeColor="text1"/>
          <w:sz w:val="21"/>
          <w:szCs w:val="21"/>
          <w14:textFill>
            <w14:solidFill>
              <w14:schemeClr w14:val="tx1"/>
            </w14:solidFill>
          </w14:textFill>
        </w:rPr>
        <w:t>可采用照明功率密度作为照明节能的评价指标，照明功率密度执行</w:t>
      </w:r>
      <w:r>
        <w:rPr>
          <w:rFonts w:ascii="Times New Roman" w:hAnsi="Times New Roman" w:eastAsia="宋体"/>
          <w:color w:val="000000" w:themeColor="text1"/>
          <w:sz w:val="21"/>
          <w:szCs w:val="21"/>
          <w14:textFill>
            <w14:solidFill>
              <w14:schemeClr w14:val="tx1"/>
            </w14:solidFill>
          </w14:textFill>
        </w:rPr>
        <w:t>GB50034-2024</w:t>
      </w:r>
      <w:r>
        <w:rPr>
          <w:rFonts w:hint="eastAsia" w:ascii="Times New Roman" w:hAnsi="Times New Roman" w:eastAsia="宋体"/>
          <w:color w:val="000000" w:themeColor="text1"/>
          <w:sz w:val="21"/>
          <w:szCs w:val="21"/>
          <w14:textFill>
            <w14:solidFill>
              <w14:schemeClr w14:val="tx1"/>
            </w14:solidFill>
          </w14:textFill>
        </w:rPr>
        <w:t>《建筑照明设计标准》。</w:t>
      </w:r>
    </w:p>
    <w:p>
      <w:pPr>
        <w:pStyle w:val="201"/>
        <w:adjustRightInd w:val="0"/>
        <w:snapToGrid w:val="0"/>
        <w:spacing w:line="360" w:lineRule="auto"/>
        <w:rPr>
          <w:rFonts w:ascii="Times New Roman" w:hAnsi="Times New Roman" w:eastAsia="宋体"/>
          <w:color w:val="000000" w:themeColor="text1"/>
          <w:sz w:val="21"/>
          <w:szCs w:val="21"/>
          <w14:textFill>
            <w14:solidFill>
              <w14:schemeClr w14:val="tx1"/>
            </w14:solidFill>
          </w14:textFill>
        </w:rPr>
      </w:pPr>
      <w:r>
        <w:rPr>
          <w:rFonts w:ascii="Times New Roman" w:hAnsi="Times New Roman" w:eastAsia="宋体"/>
          <w:color w:val="000000" w:themeColor="text1"/>
          <w:sz w:val="21"/>
          <w:szCs w:val="21"/>
          <w14:textFill>
            <w14:solidFill>
              <w14:schemeClr w14:val="tx1"/>
            </w14:solidFill>
          </w14:textFill>
        </w:rPr>
        <w:t>5.4.1.7</w:t>
      </w:r>
      <w:r>
        <w:rPr>
          <w:rFonts w:hint="eastAsia" w:ascii="Times New Roman" w:hAnsi="Times New Roman" w:eastAsia="宋体"/>
          <w:color w:val="000000" w:themeColor="text1"/>
          <w:sz w:val="21"/>
          <w:szCs w:val="21"/>
          <w14:textFill>
            <w14:solidFill>
              <w14:schemeClr w14:val="tx1"/>
            </w14:solidFill>
          </w14:textFill>
        </w:rPr>
        <w:t>可在预制舱内设置配电箱，配电箱的布置应靠近负荷中心，并便于操作维护。</w:t>
      </w:r>
    </w:p>
    <w:p>
      <w:pPr>
        <w:pStyle w:val="201"/>
        <w:adjustRightInd w:val="0"/>
        <w:snapToGrid w:val="0"/>
        <w:spacing w:line="360" w:lineRule="auto"/>
        <w:rPr>
          <w:rFonts w:ascii="Times New Roman" w:hAnsi="Times New Roman" w:eastAsia="宋体"/>
          <w:color w:val="000000" w:themeColor="text1"/>
          <w:sz w:val="21"/>
          <w:szCs w:val="21"/>
          <w14:textFill>
            <w14:solidFill>
              <w14:schemeClr w14:val="tx1"/>
            </w14:solidFill>
          </w14:textFill>
        </w:rPr>
      </w:pPr>
      <w:r>
        <w:rPr>
          <w:rFonts w:hint="eastAsia" w:ascii="Times New Roman" w:hAnsi="Times New Roman" w:eastAsia="宋体"/>
          <w:color w:val="000000" w:themeColor="text1"/>
          <w:sz w:val="21"/>
          <w:szCs w:val="21"/>
          <w14:textFill>
            <w14:solidFill>
              <w14:schemeClr w14:val="tx1"/>
            </w14:solidFill>
          </w14:textFill>
        </w:rPr>
        <w:t>5</w:t>
      </w:r>
      <w:r>
        <w:rPr>
          <w:rFonts w:ascii="Times New Roman" w:hAnsi="Times New Roman" w:eastAsia="宋体"/>
          <w:color w:val="000000" w:themeColor="text1"/>
          <w:sz w:val="21"/>
          <w:szCs w:val="21"/>
          <w14:textFill>
            <w14:solidFill>
              <w14:schemeClr w14:val="tx1"/>
            </w14:solidFill>
          </w14:textFill>
        </w:rPr>
        <w:t xml:space="preserve">.4.1.8 </w:t>
      </w:r>
      <w:r>
        <w:rPr>
          <w:rFonts w:hint="eastAsia" w:ascii="Times New Roman" w:hAnsi="Times New Roman" w:eastAsia="宋体"/>
          <w:color w:val="000000" w:themeColor="text1"/>
          <w:sz w:val="21"/>
          <w:szCs w:val="21"/>
          <w14:textFill>
            <w14:solidFill>
              <w14:schemeClr w14:val="tx1"/>
            </w14:solidFill>
          </w14:textFill>
        </w:rPr>
        <w:t>应选用A类阻燃电缆。</w:t>
      </w:r>
    </w:p>
    <w:p>
      <w:pPr>
        <w:pStyle w:val="201"/>
        <w:adjustRightInd w:val="0"/>
        <w:snapToGrid w:val="0"/>
        <w:spacing w:line="360" w:lineRule="auto"/>
        <w:rPr>
          <w:rFonts w:ascii="Times New Roman" w:hAnsi="Times New Roman" w:eastAsia="宋体"/>
          <w:color w:val="000000" w:themeColor="text1"/>
          <w:sz w:val="21"/>
          <w:szCs w:val="21"/>
          <w14:textFill>
            <w14:solidFill>
              <w14:schemeClr w14:val="tx1"/>
            </w14:solidFill>
          </w14:textFill>
        </w:rPr>
      </w:pPr>
      <w:r>
        <w:rPr>
          <w:rFonts w:hint="eastAsia" w:ascii="Times New Roman" w:hAnsi="Times New Roman" w:eastAsia="宋体"/>
          <w:color w:val="000000" w:themeColor="text1"/>
          <w:sz w:val="21"/>
          <w:szCs w:val="21"/>
          <w14:textFill>
            <w14:solidFill>
              <w14:schemeClr w14:val="tx1"/>
            </w14:solidFill>
          </w14:textFill>
        </w:rPr>
        <w:t>5</w:t>
      </w:r>
      <w:r>
        <w:rPr>
          <w:rFonts w:ascii="Times New Roman" w:hAnsi="Times New Roman" w:eastAsia="宋体"/>
          <w:color w:val="000000" w:themeColor="text1"/>
          <w:sz w:val="21"/>
          <w:szCs w:val="21"/>
          <w14:textFill>
            <w14:solidFill>
              <w14:schemeClr w14:val="tx1"/>
            </w14:solidFill>
          </w14:textFill>
        </w:rPr>
        <w:t xml:space="preserve">.4.1.9 </w:t>
      </w:r>
      <w:r>
        <w:rPr>
          <w:rFonts w:hint="eastAsia" w:ascii="Times New Roman" w:hAnsi="Times New Roman" w:eastAsia="宋体"/>
          <w:color w:val="000000" w:themeColor="text1"/>
          <w:sz w:val="21"/>
          <w:szCs w:val="21"/>
          <w14:textFill>
            <w14:solidFill>
              <w14:schemeClr w14:val="tx1"/>
            </w14:solidFill>
          </w14:textFill>
        </w:rPr>
        <w:t>有爆炸危险房间，如蓄电池室、储能设备间等，照明应采用防爆灯具，宜采用荧光灯等高效光源。</w:t>
      </w:r>
    </w:p>
    <w:p>
      <w:pPr>
        <w:pStyle w:val="201"/>
        <w:adjustRightInd w:val="0"/>
        <w:snapToGrid w:val="0"/>
        <w:spacing w:line="360" w:lineRule="auto"/>
        <w:rPr>
          <w:rFonts w:ascii="Times New Roman" w:hAnsi="Times New Roman" w:eastAsia="宋体"/>
          <w:color w:val="000000" w:themeColor="text1"/>
          <w:sz w:val="21"/>
          <w:szCs w:val="21"/>
          <w14:textFill>
            <w14:solidFill>
              <w14:schemeClr w14:val="tx1"/>
            </w14:solidFill>
          </w14:textFill>
        </w:rPr>
      </w:pPr>
      <w:r>
        <w:rPr>
          <w:rFonts w:hint="eastAsia" w:ascii="Times New Roman" w:hAnsi="Times New Roman" w:eastAsia="宋体"/>
          <w:color w:val="000000" w:themeColor="text1"/>
          <w:sz w:val="21"/>
          <w:szCs w:val="21"/>
          <w14:textFill>
            <w14:solidFill>
              <w14:schemeClr w14:val="tx1"/>
            </w14:solidFill>
          </w14:textFill>
        </w:rPr>
        <w:t>储能设备间内灯具不得安装在氢气释放源的正上方。液氢生产系统区域内应设置应急照明。在有爆炸危险环境内的电缆及导线敷设，应符合《氢气站设计规范》的有关规定。敷设导线或电缆用的保护钢管，应在导线或电缆引向电气设备接头部件前及相邻的环境之间做隔离密封。</w:t>
      </w:r>
    </w:p>
    <w:p>
      <w:pPr>
        <w:pStyle w:val="201"/>
        <w:adjustRightInd w:val="0"/>
        <w:snapToGrid w:val="0"/>
        <w:spacing w:line="360" w:lineRule="auto"/>
        <w:rPr>
          <w:rFonts w:ascii="Times New Roman" w:hAnsi="Times New Roman" w:eastAsia="宋体"/>
          <w:color w:val="000000" w:themeColor="text1"/>
          <w:sz w:val="21"/>
          <w:szCs w:val="21"/>
          <w14:textFill>
            <w14:solidFill>
              <w14:schemeClr w14:val="tx1"/>
            </w14:solidFill>
          </w14:textFill>
        </w:rPr>
      </w:pPr>
      <w:r>
        <w:rPr>
          <w:rFonts w:ascii="Times New Roman" w:hAnsi="Times New Roman" w:eastAsia="宋体"/>
          <w:color w:val="000000" w:themeColor="text1"/>
          <w:sz w:val="21"/>
          <w:szCs w:val="21"/>
          <w14:textFill>
            <w14:solidFill>
              <w14:schemeClr w14:val="tx1"/>
            </w14:solidFill>
          </w14:textFill>
        </w:rPr>
        <w:t>5.4.2</w:t>
      </w:r>
      <w:r>
        <w:rPr>
          <w:rFonts w:hint="eastAsia" w:ascii="Times New Roman" w:hAnsi="Times New Roman" w:eastAsia="宋体"/>
          <w:color w:val="000000" w:themeColor="text1"/>
          <w:sz w:val="21"/>
          <w:szCs w:val="21"/>
          <w14:textFill>
            <w14:solidFill>
              <w14:schemeClr w14:val="tx1"/>
            </w14:solidFill>
          </w14:textFill>
        </w:rPr>
        <w:t>应急照明</w:t>
      </w:r>
    </w:p>
    <w:p>
      <w:pPr>
        <w:pStyle w:val="201"/>
        <w:adjustRightInd w:val="0"/>
        <w:snapToGrid w:val="0"/>
        <w:spacing w:line="360" w:lineRule="auto"/>
        <w:rPr>
          <w:rFonts w:ascii="Times New Roman" w:hAnsi="Times New Roman" w:eastAsia="宋体"/>
          <w:color w:val="000000" w:themeColor="text1"/>
          <w:sz w:val="21"/>
          <w:szCs w:val="21"/>
          <w14:textFill>
            <w14:solidFill>
              <w14:schemeClr w14:val="tx1"/>
            </w14:solidFill>
          </w14:textFill>
        </w:rPr>
      </w:pPr>
      <w:r>
        <w:rPr>
          <w:rFonts w:hint="eastAsia" w:ascii="Times New Roman" w:hAnsi="Times New Roman" w:eastAsia="宋体"/>
          <w:color w:val="000000" w:themeColor="text1"/>
          <w:sz w:val="21"/>
          <w:szCs w:val="21"/>
          <w14:textFill>
            <w14:solidFill>
              <w14:schemeClr w14:val="tx1"/>
            </w14:solidFill>
          </w14:textFill>
        </w:rPr>
        <w:t>5</w:t>
      </w:r>
      <w:r>
        <w:rPr>
          <w:rFonts w:ascii="Times New Roman" w:hAnsi="Times New Roman" w:eastAsia="宋体"/>
          <w:color w:val="000000" w:themeColor="text1"/>
          <w:sz w:val="21"/>
          <w:szCs w:val="21"/>
          <w14:textFill>
            <w14:solidFill>
              <w14:schemeClr w14:val="tx1"/>
            </w14:solidFill>
          </w14:textFill>
        </w:rPr>
        <w:t>.4.2.1</w:t>
      </w:r>
      <w:r>
        <w:rPr>
          <w:rFonts w:hint="eastAsia" w:ascii="Times New Roman" w:hAnsi="Times New Roman" w:eastAsia="宋体"/>
          <w:color w:val="000000" w:themeColor="text1"/>
          <w:sz w:val="21"/>
          <w:szCs w:val="21"/>
          <w14:textFill>
            <w14:solidFill>
              <w14:schemeClr w14:val="tx1"/>
            </w14:solidFill>
          </w14:textFill>
        </w:rPr>
        <w:t>备用照明</w:t>
      </w:r>
    </w:p>
    <w:p>
      <w:pPr>
        <w:pStyle w:val="201"/>
        <w:adjustRightInd w:val="0"/>
        <w:snapToGrid w:val="0"/>
        <w:spacing w:line="360" w:lineRule="auto"/>
        <w:rPr>
          <w:rFonts w:ascii="Times New Roman" w:hAnsi="Times New Roman" w:eastAsia="宋体"/>
          <w:color w:val="000000" w:themeColor="text1"/>
          <w:sz w:val="21"/>
          <w:szCs w:val="21"/>
          <w14:textFill>
            <w14:solidFill>
              <w14:schemeClr w14:val="tx1"/>
            </w14:solidFill>
          </w14:textFill>
        </w:rPr>
      </w:pPr>
      <w:r>
        <w:rPr>
          <w:rFonts w:hint="eastAsia" w:ascii="Times New Roman" w:hAnsi="Times New Roman" w:eastAsia="宋体"/>
          <w:color w:val="000000" w:themeColor="text1"/>
          <w:sz w:val="21"/>
          <w:szCs w:val="21"/>
          <w14:textFill>
            <w14:solidFill>
              <w14:schemeClr w14:val="tx1"/>
            </w14:solidFill>
          </w14:textFill>
        </w:rPr>
        <w:t>（1）结合本站规模，利用正常照明灯具接入备用照明电源作为备用照明使用，备用照明在平时需开启兼做正常照明；</w:t>
      </w:r>
    </w:p>
    <w:p>
      <w:pPr>
        <w:pStyle w:val="201"/>
        <w:adjustRightInd w:val="0"/>
        <w:snapToGrid w:val="0"/>
        <w:spacing w:line="360" w:lineRule="auto"/>
        <w:rPr>
          <w:rFonts w:ascii="Times New Roman" w:hAnsi="Times New Roman" w:eastAsia="宋体"/>
          <w:color w:val="000000" w:themeColor="text1"/>
          <w:sz w:val="21"/>
          <w:szCs w:val="21"/>
          <w14:textFill>
            <w14:solidFill>
              <w14:schemeClr w14:val="tx1"/>
            </w14:solidFill>
          </w14:textFill>
        </w:rPr>
      </w:pPr>
      <w:r>
        <w:rPr>
          <w:rFonts w:hint="eastAsia" w:ascii="Times New Roman" w:hAnsi="Times New Roman" w:eastAsia="宋体"/>
          <w:color w:val="000000" w:themeColor="text1"/>
          <w:sz w:val="21"/>
          <w:szCs w:val="21"/>
          <w14:textFill>
            <w14:solidFill>
              <w14:schemeClr w14:val="tx1"/>
            </w14:solidFill>
          </w14:textFill>
        </w:rPr>
        <w:t>（2）备用照明正常情况下由一次交流供电而事故状态下由二次蓄电池直流电源通过逆变器逆变成交流后供电的照明；备用照明逆变器设置在照明配电箱内。各备用照明回路采用ZAN-VV22-1-2×4电缆直接由逆变器相应回路开关引至首个灯开关，之后用ZAN-BV-0.75-1×2.5电线连接灯具。</w:t>
      </w:r>
    </w:p>
    <w:p>
      <w:pPr>
        <w:pStyle w:val="201"/>
        <w:adjustRightInd w:val="0"/>
        <w:snapToGrid w:val="0"/>
        <w:spacing w:line="360" w:lineRule="auto"/>
        <w:rPr>
          <w:rFonts w:ascii="Times New Roman" w:hAnsi="Times New Roman" w:eastAsia="宋体"/>
          <w:color w:val="000000" w:themeColor="text1"/>
          <w:sz w:val="21"/>
          <w:szCs w:val="21"/>
          <w14:textFill>
            <w14:solidFill>
              <w14:schemeClr w14:val="tx1"/>
            </w14:solidFill>
          </w14:textFill>
        </w:rPr>
      </w:pPr>
      <w:r>
        <w:rPr>
          <w:rFonts w:hint="eastAsia" w:ascii="Times New Roman" w:hAnsi="Times New Roman" w:eastAsia="宋体"/>
          <w:color w:val="000000" w:themeColor="text1"/>
          <w:sz w:val="21"/>
          <w:szCs w:val="21"/>
          <w14:textFill>
            <w14:solidFill>
              <w14:schemeClr w14:val="tx1"/>
            </w14:solidFill>
          </w14:textFill>
        </w:rPr>
        <w:t>（3）一般房间备用照明照度值按正常照明照度值的</w:t>
      </w:r>
      <w:r>
        <w:rPr>
          <w:rFonts w:ascii="Times New Roman" w:hAnsi="Times New Roman" w:eastAsia="宋体"/>
          <w:color w:val="000000" w:themeColor="text1"/>
          <w:sz w:val="21"/>
          <w:szCs w:val="21"/>
          <w14:textFill>
            <w14:solidFill>
              <w14:schemeClr w14:val="tx1"/>
            </w14:solidFill>
          </w14:textFill>
        </w:rPr>
        <w:t>30%</w:t>
      </w:r>
      <w:r>
        <w:rPr>
          <w:rFonts w:hint="eastAsia" w:ascii="Times New Roman" w:hAnsi="Times New Roman" w:eastAsia="宋体"/>
          <w:color w:val="000000" w:themeColor="text1"/>
          <w:sz w:val="21"/>
          <w:szCs w:val="21"/>
          <w14:textFill>
            <w14:solidFill>
              <w14:schemeClr w14:val="tx1"/>
            </w14:solidFill>
          </w14:textFill>
        </w:rPr>
        <w:t>选取，主控室和低压配电室备用照明按正常照明照度值的</w:t>
      </w:r>
      <w:r>
        <w:rPr>
          <w:rFonts w:ascii="Times New Roman" w:hAnsi="Times New Roman" w:eastAsia="宋体"/>
          <w:color w:val="000000" w:themeColor="text1"/>
          <w:sz w:val="21"/>
          <w:szCs w:val="21"/>
          <w14:textFill>
            <w14:solidFill>
              <w14:schemeClr w14:val="tx1"/>
            </w14:solidFill>
          </w14:textFill>
        </w:rPr>
        <w:t>100%</w:t>
      </w:r>
      <w:r>
        <w:rPr>
          <w:rFonts w:hint="eastAsia" w:ascii="Times New Roman" w:hAnsi="Times New Roman" w:eastAsia="宋体"/>
          <w:color w:val="000000" w:themeColor="text1"/>
          <w:sz w:val="21"/>
          <w:szCs w:val="21"/>
          <w14:textFill>
            <w14:solidFill>
              <w14:schemeClr w14:val="tx1"/>
            </w14:solidFill>
          </w14:textFill>
        </w:rPr>
        <w:t>选取。</w:t>
      </w:r>
    </w:p>
    <w:p>
      <w:pPr>
        <w:pStyle w:val="201"/>
        <w:adjustRightInd w:val="0"/>
        <w:snapToGrid w:val="0"/>
        <w:spacing w:line="360" w:lineRule="auto"/>
        <w:rPr>
          <w:rFonts w:ascii="Times New Roman" w:hAnsi="Times New Roman" w:eastAsia="宋体"/>
          <w:color w:val="000000" w:themeColor="text1"/>
          <w:sz w:val="21"/>
          <w:szCs w:val="21"/>
          <w14:textFill>
            <w14:solidFill>
              <w14:schemeClr w14:val="tx1"/>
            </w14:solidFill>
          </w14:textFill>
        </w:rPr>
      </w:pPr>
      <w:r>
        <w:rPr>
          <w:rFonts w:ascii="Times New Roman" w:hAnsi="Times New Roman" w:eastAsia="宋体"/>
          <w:color w:val="000000" w:themeColor="text1"/>
          <w:sz w:val="21"/>
          <w:szCs w:val="21"/>
          <w14:textFill>
            <w14:solidFill>
              <w14:schemeClr w14:val="tx1"/>
            </w14:solidFill>
          </w14:textFill>
        </w:rPr>
        <w:t>5.4.2.2</w:t>
      </w:r>
      <w:r>
        <w:rPr>
          <w:rFonts w:hint="eastAsia" w:ascii="Times New Roman" w:hAnsi="Times New Roman" w:eastAsia="宋体"/>
          <w:color w:val="000000" w:themeColor="text1"/>
          <w:sz w:val="21"/>
          <w:szCs w:val="21"/>
          <w14:textFill>
            <w14:solidFill>
              <w14:schemeClr w14:val="tx1"/>
            </w14:solidFill>
          </w14:textFill>
        </w:rPr>
        <w:t>疏散照明</w:t>
      </w:r>
    </w:p>
    <w:p>
      <w:pPr>
        <w:pStyle w:val="201"/>
        <w:adjustRightInd w:val="0"/>
        <w:snapToGrid w:val="0"/>
        <w:spacing w:line="360" w:lineRule="auto"/>
        <w:jc w:val="left"/>
        <w:rPr>
          <w:rFonts w:ascii="Times New Roman" w:hAnsi="Times New Roman" w:eastAsia="宋体"/>
          <w:color w:val="000000" w:themeColor="text1"/>
          <w:sz w:val="21"/>
          <w:szCs w:val="21"/>
          <w14:textFill>
            <w14:solidFill>
              <w14:schemeClr w14:val="tx1"/>
            </w14:solidFill>
          </w14:textFill>
        </w:rPr>
      </w:pPr>
      <w:r>
        <w:rPr>
          <w:rFonts w:hint="eastAsia" w:ascii="Times New Roman" w:hAnsi="Times New Roman" w:eastAsia="宋体"/>
          <w:color w:val="000000" w:themeColor="text1"/>
          <w:sz w:val="21"/>
          <w:szCs w:val="21"/>
          <w14:textFill>
            <w14:solidFill>
              <w14:schemeClr w14:val="tx1"/>
            </w14:solidFill>
          </w14:textFill>
        </w:rPr>
        <w:t>（1）消防应急照明及疏散指示系统采用集中控制型系统，系统设置应急照明控制器，由应急照明控制器集中控制并显示应急照明集中电源或应急照明配电箱及其配接的消防应急灯具工作状态的消防应急照明和疏散指示系统。应急照明控制器由投标方提供，应急照明控制器的设置应满足</w:t>
      </w:r>
      <w:r>
        <w:rPr>
          <w:rFonts w:ascii="Times New Roman" w:hAnsi="Times New Roman" w:eastAsia="宋体"/>
          <w:color w:val="000000" w:themeColor="text1"/>
          <w:sz w:val="21"/>
          <w:szCs w:val="21"/>
          <w14:textFill>
            <w14:solidFill>
              <w14:schemeClr w14:val="tx1"/>
            </w14:solidFill>
          </w14:textFill>
        </w:rPr>
        <w:t>GB 51309-2018</w:t>
      </w:r>
      <w:r>
        <w:rPr>
          <w:rFonts w:hint="eastAsia" w:ascii="Times New Roman" w:hAnsi="Times New Roman" w:eastAsia="宋体"/>
          <w:color w:val="000000" w:themeColor="text1"/>
          <w:sz w:val="21"/>
          <w:szCs w:val="21"/>
          <w14:textFill>
            <w14:solidFill>
              <w14:schemeClr w14:val="tx1"/>
            </w14:solidFill>
          </w14:textFill>
        </w:rPr>
        <w:t>《消防应急照明和疏散指示系统技术标准》及GB 17945-2024《消防应急照明和疏散指示系统》中的规定：1) 应选择具有能接收火灾报警控制器或消防联动控制器干接点信号或DC24V信号接口的产品；</w:t>
      </w:r>
    </w:p>
    <w:p>
      <w:pPr>
        <w:pStyle w:val="201"/>
        <w:adjustRightInd w:val="0"/>
        <w:snapToGrid w:val="0"/>
        <w:spacing w:line="360" w:lineRule="auto"/>
        <w:jc w:val="left"/>
        <w:rPr>
          <w:rFonts w:ascii="Times New Roman" w:hAnsi="Times New Roman" w:eastAsia="宋体"/>
          <w:color w:val="000000" w:themeColor="text1"/>
          <w:sz w:val="21"/>
          <w:szCs w:val="21"/>
          <w14:textFill>
            <w14:solidFill>
              <w14:schemeClr w14:val="tx1"/>
            </w14:solidFill>
          </w14:textFill>
        </w:rPr>
      </w:pPr>
      <w:r>
        <w:rPr>
          <w:rFonts w:hint="eastAsia" w:ascii="Times New Roman" w:hAnsi="Times New Roman" w:eastAsia="宋体"/>
          <w:color w:val="000000" w:themeColor="text1"/>
          <w:sz w:val="21"/>
          <w:szCs w:val="21"/>
          <w14:textFill>
            <w14:solidFill>
              <w14:schemeClr w14:val="tx1"/>
            </w14:solidFill>
          </w14:textFill>
        </w:rPr>
        <w:t>2)应急照明控制器采用通信协议与消防联动控制器通信时，应选择与消防联动控制器的通信接口和通讯协议的兼容性满足现行国家标准《火灾自动报警系统组件兼容性要求》GB22134有关规定的产品,采用modbus/RTU或modbus/TCP协议。</w:t>
      </w:r>
    </w:p>
    <w:p>
      <w:pPr>
        <w:pStyle w:val="201"/>
        <w:adjustRightInd w:val="0"/>
        <w:snapToGrid w:val="0"/>
        <w:spacing w:line="360" w:lineRule="auto"/>
        <w:jc w:val="left"/>
        <w:rPr>
          <w:rFonts w:ascii="Times New Roman" w:hAnsi="Times New Roman" w:eastAsia="宋体"/>
          <w:color w:val="000000" w:themeColor="text1"/>
          <w:sz w:val="21"/>
          <w:szCs w:val="21"/>
          <w14:textFill>
            <w14:solidFill>
              <w14:schemeClr w14:val="tx1"/>
            </w14:solidFill>
          </w14:textFill>
        </w:rPr>
      </w:pPr>
      <w:r>
        <w:rPr>
          <w:rFonts w:hint="eastAsia" w:ascii="Times New Roman" w:hAnsi="Times New Roman" w:eastAsia="宋体"/>
          <w:color w:val="000000" w:themeColor="text1"/>
          <w:sz w:val="21"/>
          <w:szCs w:val="21"/>
          <w14:textFill>
            <w14:solidFill>
              <w14:schemeClr w14:val="tx1"/>
            </w14:solidFill>
          </w14:textFill>
        </w:rPr>
        <w:t>任一台应急照明控制器直接控制灯具的总数量不应大于3200,A型应急照明集中电源每回回路配接灯具的数量不宜超过60只。</w:t>
      </w:r>
    </w:p>
    <w:p>
      <w:pPr>
        <w:pStyle w:val="201"/>
        <w:adjustRightInd w:val="0"/>
        <w:snapToGrid w:val="0"/>
        <w:spacing w:line="360" w:lineRule="auto"/>
        <w:jc w:val="left"/>
        <w:rPr>
          <w:rFonts w:ascii="Times New Roman" w:hAnsi="Times New Roman" w:eastAsia="宋体"/>
          <w:color w:val="000000" w:themeColor="text1"/>
          <w:sz w:val="21"/>
          <w:szCs w:val="21"/>
          <w14:textFill>
            <w14:solidFill>
              <w14:schemeClr w14:val="tx1"/>
            </w14:solidFill>
          </w14:textFill>
        </w:rPr>
      </w:pPr>
      <w:r>
        <w:rPr>
          <w:rFonts w:hint="eastAsia" w:ascii="Times New Roman" w:hAnsi="Times New Roman" w:eastAsia="宋体"/>
          <w:color w:val="000000" w:themeColor="text1"/>
          <w:sz w:val="21"/>
          <w:szCs w:val="21"/>
          <w14:textFill>
            <w14:solidFill>
              <w14:schemeClr w14:val="tx1"/>
            </w14:solidFill>
          </w14:textFill>
        </w:rPr>
        <w:t>3)应能接收、显示、保持火灾报警控制器的火灾报警输出信号。具有两种及以上疏散指示方案场所中设置的应急照明控制器还应能接收、显示、保持消防联动控制器发出的火灾报警区域信号或联动控制信号；</w:t>
      </w:r>
    </w:p>
    <w:p>
      <w:pPr>
        <w:pStyle w:val="201"/>
        <w:adjustRightInd w:val="0"/>
        <w:snapToGrid w:val="0"/>
        <w:spacing w:line="360" w:lineRule="auto"/>
        <w:jc w:val="left"/>
        <w:rPr>
          <w:rFonts w:ascii="Times New Roman" w:hAnsi="Times New Roman" w:eastAsia="宋体"/>
          <w:color w:val="000000" w:themeColor="text1"/>
          <w:sz w:val="21"/>
          <w:szCs w:val="21"/>
          <w14:textFill>
            <w14:solidFill>
              <w14:schemeClr w14:val="tx1"/>
            </w14:solidFill>
          </w14:textFill>
        </w:rPr>
      </w:pPr>
      <w:r>
        <w:rPr>
          <w:rFonts w:ascii="Times New Roman" w:hAnsi="Times New Roman" w:eastAsia="宋体"/>
          <w:color w:val="000000" w:themeColor="text1"/>
          <w:sz w:val="21"/>
          <w:szCs w:val="21"/>
          <w14:textFill>
            <w14:solidFill>
              <w14:schemeClr w14:val="tx1"/>
            </w14:solidFill>
          </w14:textFill>
        </w:rPr>
        <w:t>4</w:t>
      </w:r>
      <w:r>
        <w:rPr>
          <w:rFonts w:hint="eastAsia" w:ascii="Times New Roman" w:hAnsi="Times New Roman" w:eastAsia="宋体"/>
          <w:color w:val="000000" w:themeColor="text1"/>
          <w:sz w:val="21"/>
          <w:szCs w:val="21"/>
          <w14:textFill>
            <w14:solidFill>
              <w14:schemeClr w14:val="tx1"/>
            </w14:solidFill>
          </w14:textFill>
        </w:rPr>
        <w:t>)应能按预设逻辑自动、手动控制系统的应急启动，并应符合本说明第二条第(三)款第3小点和第4小点的规定；</w:t>
      </w:r>
    </w:p>
    <w:p>
      <w:pPr>
        <w:pStyle w:val="201"/>
        <w:adjustRightInd w:val="0"/>
        <w:snapToGrid w:val="0"/>
        <w:spacing w:line="360" w:lineRule="auto"/>
        <w:jc w:val="left"/>
        <w:rPr>
          <w:rFonts w:ascii="Times New Roman" w:hAnsi="Times New Roman" w:eastAsia="宋体"/>
          <w:color w:val="000000" w:themeColor="text1"/>
          <w:sz w:val="21"/>
          <w:szCs w:val="21"/>
          <w14:textFill>
            <w14:solidFill>
              <w14:schemeClr w14:val="tx1"/>
            </w14:solidFill>
          </w14:textFill>
        </w:rPr>
      </w:pPr>
      <w:r>
        <w:rPr>
          <w:rFonts w:ascii="Times New Roman" w:hAnsi="Times New Roman" w:eastAsia="宋体"/>
          <w:color w:val="000000" w:themeColor="text1"/>
          <w:sz w:val="21"/>
          <w:szCs w:val="21"/>
          <w14:textFill>
            <w14:solidFill>
              <w14:schemeClr w14:val="tx1"/>
            </w14:solidFill>
          </w14:textFill>
        </w:rPr>
        <w:t>5</w:t>
      </w:r>
      <w:r>
        <w:rPr>
          <w:rFonts w:hint="eastAsia" w:ascii="Times New Roman" w:hAnsi="Times New Roman" w:eastAsia="宋体"/>
          <w:color w:val="000000" w:themeColor="text1"/>
          <w:sz w:val="21"/>
          <w:szCs w:val="21"/>
          <w14:textFill>
            <w14:solidFill>
              <w14:schemeClr w14:val="tx1"/>
            </w14:solidFill>
          </w14:textFill>
        </w:rPr>
        <w:t>)应能接收、显示、保持其配接的灯具、集中电源或应急照明配电箱的工作状态信息。</w:t>
      </w:r>
    </w:p>
    <w:p>
      <w:pPr>
        <w:pStyle w:val="201"/>
        <w:adjustRightInd w:val="0"/>
        <w:snapToGrid w:val="0"/>
        <w:spacing w:line="360" w:lineRule="auto"/>
        <w:jc w:val="left"/>
        <w:rPr>
          <w:rFonts w:ascii="Times New Roman" w:hAnsi="Times New Roman" w:eastAsia="宋体"/>
          <w:color w:val="000000" w:themeColor="text1"/>
          <w:sz w:val="21"/>
          <w:szCs w:val="21"/>
          <w14:textFill>
            <w14:solidFill>
              <w14:schemeClr w14:val="tx1"/>
            </w14:solidFill>
          </w14:textFill>
        </w:rPr>
      </w:pPr>
      <w:r>
        <w:rPr>
          <w:rFonts w:ascii="Times New Roman" w:hAnsi="Times New Roman" w:eastAsia="宋体"/>
          <w:color w:val="000000" w:themeColor="text1"/>
          <w:sz w:val="21"/>
          <w:szCs w:val="21"/>
          <w14:textFill>
            <w14:solidFill>
              <w14:schemeClr w14:val="tx1"/>
            </w14:solidFill>
          </w14:textFill>
        </w:rPr>
        <w:t>6)</w:t>
      </w:r>
      <w:r>
        <w:rPr>
          <w:rFonts w:hint="eastAsia" w:ascii="Times New Roman" w:hAnsi="Times New Roman" w:eastAsia="宋体"/>
          <w:color w:val="000000" w:themeColor="text1"/>
          <w:sz w:val="21"/>
          <w:szCs w:val="21"/>
          <w14:textFill>
            <w14:solidFill>
              <w14:schemeClr w14:val="tx1"/>
            </w14:solidFill>
          </w14:textFill>
        </w:rPr>
        <w:t>应急照明控制器的主电源应由消防电源供电；控制器的自带蓄电池电源应至少使控制器在主电源中断后工作3h。</w:t>
      </w:r>
    </w:p>
    <w:p>
      <w:pPr>
        <w:pStyle w:val="201"/>
        <w:adjustRightInd w:val="0"/>
        <w:snapToGrid w:val="0"/>
        <w:spacing w:line="360" w:lineRule="auto"/>
        <w:jc w:val="left"/>
        <w:rPr>
          <w:rFonts w:ascii="Times New Roman" w:hAnsi="Times New Roman" w:eastAsia="宋体"/>
          <w:color w:val="000000" w:themeColor="text1"/>
          <w:sz w:val="21"/>
          <w:szCs w:val="21"/>
          <w14:textFill>
            <w14:solidFill>
              <w14:schemeClr w14:val="tx1"/>
            </w14:solidFill>
          </w14:textFill>
        </w:rPr>
      </w:pPr>
      <w:r>
        <w:rPr>
          <w:rFonts w:hint="eastAsia" w:ascii="Times New Roman" w:hAnsi="Times New Roman" w:eastAsia="宋体"/>
          <w:color w:val="000000" w:themeColor="text1"/>
          <w:sz w:val="21"/>
          <w:szCs w:val="21"/>
          <w14:textFill>
            <w14:solidFill>
              <w14:schemeClr w14:val="tx1"/>
            </w14:solidFill>
          </w14:textFill>
        </w:rPr>
        <w:t>（2）集中控制型系统控制技术要求</w:t>
      </w:r>
    </w:p>
    <w:p>
      <w:pPr>
        <w:pStyle w:val="201"/>
        <w:adjustRightInd w:val="0"/>
        <w:snapToGrid w:val="0"/>
        <w:spacing w:line="360" w:lineRule="auto"/>
        <w:jc w:val="left"/>
        <w:rPr>
          <w:rFonts w:ascii="Times New Roman" w:hAnsi="Times New Roman" w:eastAsia="宋体"/>
          <w:color w:val="000000" w:themeColor="text1"/>
          <w:sz w:val="21"/>
          <w:szCs w:val="21"/>
          <w14:textFill>
            <w14:solidFill>
              <w14:schemeClr w14:val="tx1"/>
            </w14:solidFill>
          </w14:textFill>
        </w:rPr>
      </w:pPr>
      <w:r>
        <w:rPr>
          <w:rFonts w:ascii="Times New Roman" w:hAnsi="Times New Roman" w:eastAsia="宋体"/>
          <w:color w:val="000000" w:themeColor="text1"/>
          <w:sz w:val="21"/>
          <w:szCs w:val="21"/>
          <w14:textFill>
            <w14:solidFill>
              <w14:schemeClr w14:val="tx1"/>
            </w14:solidFill>
          </w14:textFill>
        </w:rPr>
        <w:t>1)</w:t>
      </w:r>
      <w:r>
        <w:rPr>
          <w:rFonts w:hint="eastAsia"/>
        </w:rPr>
        <w:t xml:space="preserve"> </w:t>
      </w:r>
      <w:r>
        <w:rPr>
          <w:rFonts w:hint="eastAsia" w:ascii="Times New Roman" w:hAnsi="Times New Roman" w:eastAsia="宋体"/>
          <w:color w:val="000000" w:themeColor="text1"/>
          <w:sz w:val="21"/>
          <w:szCs w:val="21"/>
          <w14:textFill>
            <w14:solidFill>
              <w14:schemeClr w14:val="tx1"/>
            </w14:solidFill>
          </w14:textFill>
        </w:rPr>
        <w:t>应急照明控制器应通过集中电源连接灯具，并控制灯具的应急启动、蓄电池电源的转换。</w:t>
      </w:r>
    </w:p>
    <w:p>
      <w:pPr>
        <w:pStyle w:val="201"/>
        <w:adjustRightInd w:val="0"/>
        <w:snapToGrid w:val="0"/>
        <w:spacing w:line="360" w:lineRule="auto"/>
        <w:jc w:val="left"/>
        <w:rPr>
          <w:rFonts w:ascii="Times New Roman" w:hAnsi="Times New Roman" w:eastAsia="宋体"/>
          <w:color w:val="000000" w:themeColor="text1"/>
          <w:sz w:val="21"/>
          <w:szCs w:val="21"/>
          <w14:textFill>
            <w14:solidFill>
              <w14:schemeClr w14:val="tx1"/>
            </w14:solidFill>
          </w14:textFill>
        </w:rPr>
      </w:pPr>
      <w:r>
        <w:rPr>
          <w:rFonts w:ascii="Times New Roman" w:hAnsi="Times New Roman" w:eastAsia="宋体"/>
          <w:color w:val="000000" w:themeColor="text1"/>
          <w:sz w:val="21"/>
          <w:szCs w:val="21"/>
          <w14:textFill>
            <w14:solidFill>
              <w14:schemeClr w14:val="tx1"/>
            </w14:solidFill>
          </w14:textFill>
        </w:rPr>
        <w:t>2)</w:t>
      </w:r>
      <w:r>
        <w:rPr>
          <w:rFonts w:hint="eastAsia" w:ascii="Times New Roman" w:hAnsi="Times New Roman" w:eastAsia="宋体"/>
          <w:color w:val="000000" w:themeColor="text1"/>
          <w:sz w:val="21"/>
          <w:szCs w:val="21"/>
          <w14:textFill>
            <w14:solidFill>
              <w14:schemeClr w14:val="tx1"/>
            </w14:solidFill>
          </w14:textFill>
        </w:rPr>
        <w:t>集中电源与灯具的通信中断时，非持续型灯具的光源应应急点亮、持续型灯具的光源应由节电点亮模式转入应急点亮模式。</w:t>
      </w:r>
    </w:p>
    <w:p>
      <w:pPr>
        <w:pStyle w:val="201"/>
        <w:adjustRightInd w:val="0"/>
        <w:snapToGrid w:val="0"/>
        <w:spacing w:line="360" w:lineRule="auto"/>
        <w:jc w:val="left"/>
        <w:rPr>
          <w:rFonts w:ascii="Times New Roman" w:hAnsi="Times New Roman" w:eastAsia="宋体"/>
          <w:color w:val="000000" w:themeColor="text1"/>
          <w:sz w:val="21"/>
          <w:szCs w:val="21"/>
          <w14:textFill>
            <w14:solidFill>
              <w14:schemeClr w14:val="tx1"/>
            </w14:solidFill>
          </w14:textFill>
        </w:rPr>
      </w:pPr>
      <w:r>
        <w:rPr>
          <w:rFonts w:ascii="Times New Roman" w:hAnsi="Times New Roman" w:eastAsia="宋体"/>
          <w:color w:val="000000" w:themeColor="text1"/>
          <w:sz w:val="21"/>
          <w:szCs w:val="21"/>
          <w14:textFill>
            <w14:solidFill>
              <w14:schemeClr w14:val="tx1"/>
            </w14:solidFill>
          </w14:textFill>
        </w:rPr>
        <w:t>3)</w:t>
      </w:r>
      <w:r>
        <w:rPr>
          <w:rFonts w:hint="eastAsia" w:ascii="Times New Roman" w:hAnsi="Times New Roman" w:eastAsia="宋体"/>
          <w:color w:val="000000" w:themeColor="text1"/>
          <w:sz w:val="21"/>
          <w:szCs w:val="21"/>
          <w14:textFill>
            <w14:solidFill>
              <w14:schemeClr w14:val="tx1"/>
            </w14:solidFill>
          </w14:textFill>
        </w:rPr>
        <w:t>应急照明控制器与集中电源的通信中断时，集中电源应连锁控制其配接的非持续型照明灯的光源应急点亮、持续型灯具的光源由节电点亮模式转入应急点亮模式。</w:t>
      </w:r>
    </w:p>
    <w:p>
      <w:pPr>
        <w:pStyle w:val="201"/>
        <w:adjustRightInd w:val="0"/>
        <w:snapToGrid w:val="0"/>
        <w:spacing w:line="360" w:lineRule="auto"/>
        <w:jc w:val="left"/>
        <w:rPr>
          <w:rFonts w:ascii="Times New Roman" w:hAnsi="Times New Roman" w:eastAsia="宋体"/>
          <w:color w:val="000000" w:themeColor="text1"/>
          <w:sz w:val="21"/>
          <w:szCs w:val="21"/>
          <w14:textFill>
            <w14:solidFill>
              <w14:schemeClr w14:val="tx1"/>
            </w14:solidFill>
          </w14:textFill>
        </w:rPr>
      </w:pPr>
      <w:r>
        <w:rPr>
          <w:rFonts w:ascii="Times New Roman" w:hAnsi="Times New Roman" w:eastAsia="宋体"/>
          <w:color w:val="000000" w:themeColor="text1"/>
          <w:sz w:val="21"/>
          <w:szCs w:val="21"/>
          <w14:textFill>
            <w14:solidFill>
              <w14:schemeClr w14:val="tx1"/>
            </w14:solidFill>
          </w14:textFill>
        </w:rPr>
        <w:t>4)</w:t>
      </w:r>
      <w:r>
        <w:rPr>
          <w:rFonts w:hint="eastAsia" w:ascii="Times New Roman" w:hAnsi="Times New Roman" w:eastAsia="宋体"/>
          <w:color w:val="000000" w:themeColor="text1"/>
          <w:sz w:val="21"/>
          <w:szCs w:val="21"/>
          <w14:textFill>
            <w14:solidFill>
              <w14:schemeClr w14:val="tx1"/>
            </w14:solidFill>
          </w14:textFill>
        </w:rPr>
        <w:t>每台设备及灯具均具有独立地址码及控制芯片，可与控制器通过总线进行通信，实现“点式”控制，而非“段式”控制。</w:t>
      </w:r>
    </w:p>
    <w:p>
      <w:pPr>
        <w:pStyle w:val="201"/>
        <w:adjustRightInd w:val="0"/>
        <w:snapToGrid w:val="0"/>
        <w:spacing w:line="360" w:lineRule="auto"/>
        <w:jc w:val="left"/>
        <w:rPr>
          <w:rFonts w:ascii="Times New Roman" w:hAnsi="Times New Roman" w:eastAsia="宋体"/>
          <w:color w:val="000000" w:themeColor="text1"/>
          <w:sz w:val="21"/>
          <w:szCs w:val="21"/>
          <w14:textFill>
            <w14:solidFill>
              <w14:schemeClr w14:val="tx1"/>
            </w14:solidFill>
          </w14:textFill>
        </w:rPr>
      </w:pPr>
      <w:r>
        <w:rPr>
          <w:rFonts w:hint="eastAsia" w:ascii="Times New Roman" w:hAnsi="Times New Roman" w:eastAsia="宋体"/>
          <w:color w:val="000000" w:themeColor="text1"/>
          <w:sz w:val="21"/>
          <w:szCs w:val="21"/>
          <w14:textFill>
            <w14:solidFill>
              <w14:schemeClr w14:val="tx1"/>
            </w14:solidFill>
          </w14:textFill>
        </w:rPr>
        <w:t>（3）非火灾状态下的系统控制设计要求</w:t>
      </w:r>
    </w:p>
    <w:p>
      <w:pPr>
        <w:pStyle w:val="201"/>
        <w:adjustRightInd w:val="0"/>
        <w:snapToGrid w:val="0"/>
        <w:spacing w:line="360" w:lineRule="auto"/>
        <w:jc w:val="left"/>
        <w:rPr>
          <w:rFonts w:ascii="Times New Roman" w:hAnsi="Times New Roman" w:eastAsia="宋体"/>
          <w:color w:val="000000" w:themeColor="text1"/>
          <w:sz w:val="21"/>
          <w:szCs w:val="21"/>
          <w14:textFill>
            <w14:solidFill>
              <w14:schemeClr w14:val="tx1"/>
            </w14:solidFill>
          </w14:textFill>
        </w:rPr>
      </w:pPr>
      <w:r>
        <w:rPr>
          <w:rFonts w:ascii="Times New Roman" w:hAnsi="Times New Roman" w:eastAsia="宋体"/>
          <w:color w:val="000000" w:themeColor="text1"/>
          <w:sz w:val="21"/>
          <w:szCs w:val="21"/>
          <w14:textFill>
            <w14:solidFill>
              <w14:schemeClr w14:val="tx1"/>
            </w14:solidFill>
          </w14:textFill>
        </w:rPr>
        <w:t>1</w:t>
      </w:r>
      <w:r>
        <w:rPr>
          <w:rFonts w:hint="eastAsia" w:ascii="Times New Roman" w:hAnsi="Times New Roman" w:eastAsia="宋体"/>
          <w:color w:val="000000" w:themeColor="text1"/>
          <w:sz w:val="21"/>
          <w:szCs w:val="21"/>
          <w14:textFill>
            <w14:solidFill>
              <w14:schemeClr w14:val="tx1"/>
            </w14:solidFill>
          </w14:textFill>
        </w:rPr>
        <w:t>）非火灾状态下，系统正常工作模式应符合下列规定：</w:t>
      </w:r>
    </w:p>
    <w:p>
      <w:pPr>
        <w:pStyle w:val="201"/>
        <w:adjustRightInd w:val="0"/>
        <w:snapToGrid w:val="0"/>
        <w:spacing w:line="360" w:lineRule="auto"/>
        <w:jc w:val="left"/>
        <w:rPr>
          <w:rFonts w:ascii="Times New Roman" w:hAnsi="Times New Roman" w:eastAsia="宋体"/>
          <w:color w:val="000000" w:themeColor="text1"/>
          <w:sz w:val="21"/>
          <w:szCs w:val="21"/>
          <w14:textFill>
            <w14:solidFill>
              <w14:schemeClr w14:val="tx1"/>
            </w14:solidFill>
          </w14:textFill>
        </w:rPr>
      </w:pPr>
      <w:r>
        <w:rPr>
          <w:rFonts w:hint="eastAsia" w:ascii="Times New Roman" w:hAnsi="Times New Roman" w:eastAsia="宋体"/>
          <w:color w:val="000000" w:themeColor="text1"/>
          <w:sz w:val="21"/>
          <w:szCs w:val="21"/>
          <w14:textFill>
            <w14:solidFill>
              <w14:schemeClr w14:val="tx1"/>
            </w14:solidFill>
          </w14:textFill>
        </w:rPr>
        <w:t>a)应保持主电源为灯具供电；</w:t>
      </w:r>
    </w:p>
    <w:p>
      <w:pPr>
        <w:pStyle w:val="201"/>
        <w:adjustRightInd w:val="0"/>
        <w:snapToGrid w:val="0"/>
        <w:spacing w:line="360" w:lineRule="auto"/>
        <w:jc w:val="left"/>
        <w:rPr>
          <w:rFonts w:ascii="Times New Roman" w:hAnsi="Times New Roman" w:eastAsia="宋体"/>
          <w:color w:val="000000" w:themeColor="text1"/>
          <w:sz w:val="21"/>
          <w:szCs w:val="21"/>
          <w14:textFill>
            <w14:solidFill>
              <w14:schemeClr w14:val="tx1"/>
            </w14:solidFill>
          </w14:textFill>
        </w:rPr>
      </w:pPr>
      <w:r>
        <w:rPr>
          <w:rFonts w:ascii="Times New Roman" w:hAnsi="Times New Roman" w:eastAsia="宋体"/>
          <w:color w:val="000000" w:themeColor="text1"/>
          <w:sz w:val="21"/>
          <w:szCs w:val="21"/>
          <w14:textFill>
            <w14:solidFill>
              <w14:schemeClr w14:val="tx1"/>
            </w14:solidFill>
          </w14:textFill>
        </w:rPr>
        <w:t>b</w:t>
      </w:r>
      <w:r>
        <w:rPr>
          <w:rFonts w:hint="eastAsia" w:ascii="Times New Roman" w:hAnsi="Times New Roman" w:eastAsia="宋体"/>
          <w:color w:val="000000" w:themeColor="text1"/>
          <w:sz w:val="21"/>
          <w:szCs w:val="21"/>
          <w14:textFill>
            <w14:solidFill>
              <w14:schemeClr w14:val="tx1"/>
            </w14:solidFill>
          </w14:textFill>
        </w:rPr>
        <w:t>)系统内所有非持续型照明灯应保持熄灭状态，持续型照明灯的光源应保持节电点亮模式；</w:t>
      </w:r>
    </w:p>
    <w:p>
      <w:pPr>
        <w:pStyle w:val="201"/>
        <w:adjustRightInd w:val="0"/>
        <w:snapToGrid w:val="0"/>
        <w:spacing w:line="360" w:lineRule="auto"/>
        <w:jc w:val="left"/>
        <w:rPr>
          <w:rFonts w:ascii="Times New Roman" w:hAnsi="Times New Roman" w:eastAsia="宋体"/>
          <w:color w:val="000000" w:themeColor="text1"/>
          <w:sz w:val="21"/>
          <w:szCs w:val="21"/>
          <w14:textFill>
            <w14:solidFill>
              <w14:schemeClr w14:val="tx1"/>
            </w14:solidFill>
          </w14:textFill>
        </w:rPr>
      </w:pPr>
      <w:r>
        <w:rPr>
          <w:rFonts w:ascii="Times New Roman" w:hAnsi="Times New Roman" w:eastAsia="宋体"/>
          <w:color w:val="000000" w:themeColor="text1"/>
          <w:sz w:val="21"/>
          <w:szCs w:val="21"/>
          <w14:textFill>
            <w14:solidFill>
              <w14:schemeClr w14:val="tx1"/>
            </w14:solidFill>
          </w14:textFill>
        </w:rPr>
        <w:t>2)</w:t>
      </w:r>
      <w:r>
        <w:rPr>
          <w:rFonts w:hint="eastAsia" w:ascii="Times New Roman" w:hAnsi="Times New Roman" w:eastAsia="宋体"/>
          <w:color w:val="000000" w:themeColor="text1"/>
          <w:sz w:val="21"/>
          <w:szCs w:val="21"/>
          <w14:textFill>
            <w14:solidFill>
              <w14:schemeClr w14:val="tx1"/>
            </w14:solidFill>
          </w14:textFill>
        </w:rPr>
        <w:t>在非火灾状态下，系统主电源断电后，系统的控制应符合下列规定：</w:t>
      </w:r>
    </w:p>
    <w:p>
      <w:pPr>
        <w:pStyle w:val="201"/>
        <w:adjustRightInd w:val="0"/>
        <w:snapToGrid w:val="0"/>
        <w:spacing w:line="360" w:lineRule="auto"/>
        <w:jc w:val="left"/>
        <w:rPr>
          <w:rFonts w:ascii="Times New Roman" w:hAnsi="Times New Roman" w:eastAsia="宋体"/>
          <w:color w:val="000000" w:themeColor="text1"/>
          <w:sz w:val="21"/>
          <w:szCs w:val="21"/>
          <w14:textFill>
            <w14:solidFill>
              <w14:schemeClr w14:val="tx1"/>
            </w14:solidFill>
          </w14:textFill>
        </w:rPr>
      </w:pPr>
      <w:r>
        <w:rPr>
          <w:rFonts w:ascii="Times New Roman" w:hAnsi="Times New Roman" w:eastAsia="宋体"/>
          <w:color w:val="000000" w:themeColor="text1"/>
          <w:sz w:val="21"/>
          <w:szCs w:val="21"/>
          <w14:textFill>
            <w14:solidFill>
              <w14:schemeClr w14:val="tx1"/>
            </w14:solidFill>
          </w14:textFill>
        </w:rPr>
        <w:t>a</w:t>
      </w:r>
      <w:r>
        <w:rPr>
          <w:rFonts w:hint="eastAsia" w:ascii="Times New Roman" w:hAnsi="Times New Roman" w:eastAsia="宋体"/>
          <w:color w:val="000000" w:themeColor="text1"/>
          <w:sz w:val="21"/>
          <w:szCs w:val="21"/>
          <w14:textFill>
            <w14:solidFill>
              <w14:schemeClr w14:val="tx1"/>
            </w14:solidFill>
          </w14:textFill>
        </w:rPr>
        <w:t>)集中电源应连锁控制其配接的非持续型照明灯的光源应急点亮、持续型灯具的光源由节电点亮模式转入应急点亮模式；灯具持续应急点亮时间为10min；</w:t>
      </w:r>
    </w:p>
    <w:p>
      <w:pPr>
        <w:pStyle w:val="201"/>
        <w:adjustRightInd w:val="0"/>
        <w:snapToGrid w:val="0"/>
        <w:spacing w:line="360" w:lineRule="auto"/>
        <w:jc w:val="left"/>
        <w:rPr>
          <w:rFonts w:ascii="Times New Roman" w:hAnsi="Times New Roman" w:eastAsia="宋体"/>
          <w:color w:val="000000" w:themeColor="text1"/>
          <w:sz w:val="21"/>
          <w:szCs w:val="21"/>
          <w14:textFill>
            <w14:solidFill>
              <w14:schemeClr w14:val="tx1"/>
            </w14:solidFill>
          </w14:textFill>
        </w:rPr>
      </w:pPr>
      <w:r>
        <w:rPr>
          <w:rFonts w:ascii="Times New Roman" w:hAnsi="Times New Roman" w:eastAsia="宋体"/>
          <w:color w:val="000000" w:themeColor="text1"/>
          <w:sz w:val="21"/>
          <w:szCs w:val="21"/>
          <w14:textFill>
            <w14:solidFill>
              <w14:schemeClr w14:val="tx1"/>
            </w14:solidFill>
          </w14:textFill>
        </w:rPr>
        <w:t>b</w:t>
      </w:r>
      <w:r>
        <w:rPr>
          <w:rFonts w:hint="eastAsia" w:ascii="Times New Roman" w:hAnsi="Times New Roman" w:eastAsia="宋体"/>
          <w:color w:val="000000" w:themeColor="text1"/>
          <w:sz w:val="21"/>
          <w:szCs w:val="21"/>
          <w14:textFill>
            <w14:solidFill>
              <w14:schemeClr w14:val="tx1"/>
            </w14:solidFill>
          </w14:textFill>
        </w:rPr>
        <w:t>)系统主电源恢复后，集中电源应连锁其配接灯具的光源恢复原工作状态；灯具持续点亮时间达到设计文件规定的时间，且系统主电源仍未恢复供电时，集中电源应连锁其配接灯具的光源熄灭。</w:t>
      </w:r>
    </w:p>
    <w:p>
      <w:pPr>
        <w:pStyle w:val="201"/>
        <w:adjustRightInd w:val="0"/>
        <w:snapToGrid w:val="0"/>
        <w:spacing w:line="360" w:lineRule="auto"/>
        <w:jc w:val="left"/>
        <w:rPr>
          <w:rFonts w:ascii="Times New Roman" w:hAnsi="Times New Roman" w:eastAsia="宋体"/>
          <w:color w:val="000000" w:themeColor="text1"/>
          <w:sz w:val="21"/>
          <w:szCs w:val="21"/>
          <w14:textFill>
            <w14:solidFill>
              <w14:schemeClr w14:val="tx1"/>
            </w14:solidFill>
          </w14:textFill>
        </w:rPr>
      </w:pPr>
      <w:r>
        <w:rPr>
          <w:rFonts w:ascii="Times New Roman" w:hAnsi="Times New Roman" w:eastAsia="宋体"/>
          <w:color w:val="000000" w:themeColor="text1"/>
          <w:sz w:val="21"/>
          <w:szCs w:val="21"/>
          <w14:textFill>
            <w14:solidFill>
              <w14:schemeClr w14:val="tx1"/>
            </w14:solidFill>
          </w14:textFill>
        </w:rPr>
        <w:t>3)</w:t>
      </w:r>
      <w:r>
        <w:rPr>
          <w:rFonts w:hint="eastAsia" w:ascii="Times New Roman" w:hAnsi="Times New Roman" w:eastAsia="宋体"/>
          <w:color w:val="000000" w:themeColor="text1"/>
          <w:sz w:val="21"/>
          <w:szCs w:val="21"/>
          <w14:textFill>
            <w14:solidFill>
              <w14:schemeClr w14:val="tx1"/>
            </w14:solidFill>
          </w14:textFill>
        </w:rPr>
        <w:t>在非火灾状态下，任一防火分区、楼层的正常照明电源断电后，系统的控制设计应符合下列规定：</w:t>
      </w:r>
    </w:p>
    <w:p>
      <w:pPr>
        <w:pStyle w:val="201"/>
        <w:adjustRightInd w:val="0"/>
        <w:snapToGrid w:val="0"/>
        <w:spacing w:line="360" w:lineRule="auto"/>
        <w:jc w:val="left"/>
        <w:rPr>
          <w:rFonts w:ascii="Times New Roman" w:hAnsi="Times New Roman" w:eastAsia="宋体"/>
          <w:color w:val="000000" w:themeColor="text1"/>
          <w:sz w:val="21"/>
          <w:szCs w:val="21"/>
          <w14:textFill>
            <w14:solidFill>
              <w14:schemeClr w14:val="tx1"/>
            </w14:solidFill>
          </w14:textFill>
        </w:rPr>
      </w:pPr>
      <w:r>
        <w:rPr>
          <w:rFonts w:ascii="Times New Roman" w:hAnsi="Times New Roman" w:eastAsia="宋体"/>
          <w:color w:val="000000" w:themeColor="text1"/>
          <w:sz w:val="21"/>
          <w:szCs w:val="21"/>
          <w14:textFill>
            <w14:solidFill>
              <w14:schemeClr w14:val="tx1"/>
            </w14:solidFill>
          </w14:textFill>
        </w:rPr>
        <w:t>a</w:t>
      </w:r>
      <w:r>
        <w:rPr>
          <w:rFonts w:hint="eastAsia" w:ascii="Times New Roman" w:hAnsi="Times New Roman" w:eastAsia="宋体"/>
          <w:color w:val="000000" w:themeColor="text1"/>
          <w:sz w:val="21"/>
          <w:szCs w:val="21"/>
          <w14:textFill>
            <w14:solidFill>
              <w14:schemeClr w14:val="tx1"/>
            </w14:solidFill>
          </w14:textFill>
        </w:rPr>
        <w:t>)为该区域内设置灯具供配电的集中电源应在主电源供电状态下，连锁控制其配接的非持续型照明灯的光源应急点亮、持续型灯具的光源由节电点亮模式转入应急点亮模式；</w:t>
      </w:r>
    </w:p>
    <w:p>
      <w:pPr>
        <w:pStyle w:val="201"/>
        <w:adjustRightInd w:val="0"/>
        <w:snapToGrid w:val="0"/>
        <w:spacing w:line="360" w:lineRule="auto"/>
        <w:jc w:val="left"/>
        <w:rPr>
          <w:rFonts w:ascii="Times New Roman" w:hAnsi="Times New Roman" w:eastAsia="宋体"/>
          <w:color w:val="000000" w:themeColor="text1"/>
          <w:sz w:val="21"/>
          <w:szCs w:val="21"/>
          <w14:textFill>
            <w14:solidFill>
              <w14:schemeClr w14:val="tx1"/>
            </w14:solidFill>
          </w14:textFill>
        </w:rPr>
      </w:pPr>
      <w:r>
        <w:rPr>
          <w:rFonts w:ascii="Times New Roman" w:hAnsi="Times New Roman" w:eastAsia="宋体"/>
          <w:color w:val="000000" w:themeColor="text1"/>
          <w:sz w:val="21"/>
          <w:szCs w:val="21"/>
          <w14:textFill>
            <w14:solidFill>
              <w14:schemeClr w14:val="tx1"/>
            </w14:solidFill>
          </w14:textFill>
        </w:rPr>
        <w:t>b</w:t>
      </w:r>
      <w:r>
        <w:rPr>
          <w:rFonts w:hint="eastAsia" w:ascii="Times New Roman" w:hAnsi="Times New Roman" w:eastAsia="宋体"/>
          <w:color w:val="000000" w:themeColor="text1"/>
          <w:sz w:val="21"/>
          <w:szCs w:val="21"/>
          <w14:textFill>
            <w14:solidFill>
              <w14:schemeClr w14:val="tx1"/>
            </w14:solidFill>
          </w14:textFill>
        </w:rPr>
        <w:t>)该区域正常照明电源恢复供电后，集中电源应连锁控制其配接的灯具的光源恢复原工作状态。</w:t>
      </w:r>
    </w:p>
    <w:p>
      <w:pPr>
        <w:pStyle w:val="201"/>
        <w:adjustRightInd w:val="0"/>
        <w:snapToGrid w:val="0"/>
        <w:spacing w:line="360" w:lineRule="auto"/>
        <w:jc w:val="left"/>
        <w:rPr>
          <w:rFonts w:ascii="Times New Roman" w:hAnsi="Times New Roman" w:eastAsia="宋体"/>
          <w:color w:val="000000" w:themeColor="text1"/>
          <w:sz w:val="21"/>
          <w:szCs w:val="21"/>
          <w14:textFill>
            <w14:solidFill>
              <w14:schemeClr w14:val="tx1"/>
            </w14:solidFill>
          </w14:textFill>
        </w:rPr>
      </w:pPr>
      <w:r>
        <w:rPr>
          <w:rFonts w:hint="eastAsia" w:ascii="Times New Roman" w:hAnsi="Times New Roman" w:eastAsia="宋体"/>
          <w:color w:val="000000" w:themeColor="text1"/>
          <w:sz w:val="21"/>
          <w:szCs w:val="21"/>
          <w14:textFill>
            <w14:solidFill>
              <w14:schemeClr w14:val="tx1"/>
            </w14:solidFill>
          </w14:textFill>
        </w:rPr>
        <w:t>（4）火灾状态下的系统控制设计要求</w:t>
      </w:r>
    </w:p>
    <w:p>
      <w:pPr>
        <w:pStyle w:val="201"/>
        <w:adjustRightInd w:val="0"/>
        <w:snapToGrid w:val="0"/>
        <w:spacing w:line="360" w:lineRule="auto"/>
        <w:jc w:val="left"/>
        <w:rPr>
          <w:rFonts w:ascii="Times New Roman" w:hAnsi="Times New Roman" w:eastAsia="宋体"/>
          <w:color w:val="000000" w:themeColor="text1"/>
          <w:sz w:val="21"/>
          <w:szCs w:val="21"/>
          <w14:textFill>
            <w14:solidFill>
              <w14:schemeClr w14:val="tx1"/>
            </w14:solidFill>
          </w14:textFill>
        </w:rPr>
      </w:pPr>
      <w:r>
        <w:rPr>
          <w:rFonts w:ascii="Times New Roman" w:hAnsi="Times New Roman" w:eastAsia="宋体"/>
          <w:color w:val="000000" w:themeColor="text1"/>
          <w:sz w:val="21"/>
          <w:szCs w:val="21"/>
          <w14:textFill>
            <w14:solidFill>
              <w14:schemeClr w14:val="tx1"/>
            </w14:solidFill>
          </w14:textFill>
        </w:rPr>
        <w:t>1</w:t>
      </w:r>
      <w:r>
        <w:rPr>
          <w:rFonts w:hint="eastAsia" w:ascii="Times New Roman" w:hAnsi="Times New Roman" w:eastAsia="宋体"/>
          <w:color w:val="000000" w:themeColor="text1"/>
          <w:sz w:val="21"/>
          <w:szCs w:val="21"/>
          <w14:textFill>
            <w14:solidFill>
              <w14:schemeClr w14:val="tx1"/>
            </w14:solidFill>
          </w14:textFill>
        </w:rPr>
        <w:t>）火灾确认后，应急照明控制器应能按预设逻辑手动、自动控制系统的应急启动，具有两种及以上疏散指示方案的区域应作为独立的控制单元。</w:t>
      </w:r>
    </w:p>
    <w:p>
      <w:pPr>
        <w:pStyle w:val="201"/>
        <w:adjustRightInd w:val="0"/>
        <w:snapToGrid w:val="0"/>
        <w:spacing w:line="360" w:lineRule="auto"/>
        <w:jc w:val="left"/>
        <w:rPr>
          <w:rFonts w:ascii="Times New Roman" w:hAnsi="Times New Roman" w:eastAsia="宋体"/>
          <w:color w:val="000000" w:themeColor="text1"/>
          <w:sz w:val="21"/>
          <w:szCs w:val="21"/>
          <w14:textFill>
            <w14:solidFill>
              <w14:schemeClr w14:val="tx1"/>
            </w14:solidFill>
          </w14:textFill>
        </w:rPr>
      </w:pPr>
      <w:r>
        <w:rPr>
          <w:rFonts w:ascii="Times New Roman" w:hAnsi="Times New Roman" w:eastAsia="宋体"/>
          <w:color w:val="000000" w:themeColor="text1"/>
          <w:sz w:val="21"/>
          <w:szCs w:val="21"/>
          <w14:textFill>
            <w14:solidFill>
              <w14:schemeClr w14:val="tx1"/>
            </w14:solidFill>
          </w14:textFill>
        </w:rPr>
        <w:t>2</w:t>
      </w:r>
      <w:r>
        <w:rPr>
          <w:rFonts w:hint="eastAsia" w:ascii="Times New Roman" w:hAnsi="Times New Roman" w:eastAsia="宋体"/>
          <w:color w:val="000000" w:themeColor="text1"/>
          <w:sz w:val="21"/>
          <w:szCs w:val="21"/>
          <w14:textFill>
            <w14:solidFill>
              <w14:schemeClr w14:val="tx1"/>
            </w14:solidFill>
          </w14:textFill>
        </w:rPr>
        <w:t>）火灾状态下，灯具光源应急点亮、熄灭的响应时间应符合下列规定：</w:t>
      </w:r>
    </w:p>
    <w:p>
      <w:pPr>
        <w:pStyle w:val="201"/>
        <w:adjustRightInd w:val="0"/>
        <w:snapToGrid w:val="0"/>
        <w:spacing w:line="360" w:lineRule="auto"/>
        <w:jc w:val="left"/>
        <w:rPr>
          <w:rFonts w:ascii="Times New Roman" w:hAnsi="Times New Roman" w:eastAsia="宋体"/>
          <w:color w:val="000000" w:themeColor="text1"/>
          <w:sz w:val="21"/>
          <w:szCs w:val="21"/>
          <w14:textFill>
            <w14:solidFill>
              <w14:schemeClr w14:val="tx1"/>
            </w14:solidFill>
          </w14:textFill>
        </w:rPr>
      </w:pPr>
      <w:r>
        <w:rPr>
          <w:rFonts w:ascii="Times New Roman" w:hAnsi="Times New Roman" w:eastAsia="宋体"/>
          <w:color w:val="000000" w:themeColor="text1"/>
          <w:sz w:val="21"/>
          <w:szCs w:val="21"/>
          <w14:textFill>
            <w14:solidFill>
              <w14:schemeClr w14:val="tx1"/>
            </w14:solidFill>
          </w14:textFill>
        </w:rPr>
        <w:t>a</w:t>
      </w:r>
      <w:r>
        <w:rPr>
          <w:rFonts w:hint="eastAsia" w:ascii="Times New Roman" w:hAnsi="Times New Roman" w:eastAsia="宋体"/>
          <w:color w:val="000000" w:themeColor="text1"/>
          <w:sz w:val="21"/>
          <w:szCs w:val="21"/>
          <w14:textFill>
            <w14:solidFill>
              <w14:schemeClr w14:val="tx1"/>
            </w14:solidFill>
          </w14:textFill>
        </w:rPr>
        <w:t>)高危险场所灯具光源应急点亮的响应时间不应大于0.25s；</w:t>
      </w:r>
    </w:p>
    <w:p>
      <w:pPr>
        <w:pStyle w:val="201"/>
        <w:adjustRightInd w:val="0"/>
        <w:snapToGrid w:val="0"/>
        <w:spacing w:line="360" w:lineRule="auto"/>
        <w:jc w:val="left"/>
        <w:rPr>
          <w:rFonts w:ascii="Times New Roman" w:hAnsi="Times New Roman" w:eastAsia="宋体"/>
          <w:color w:val="000000" w:themeColor="text1"/>
          <w:sz w:val="21"/>
          <w:szCs w:val="21"/>
          <w14:textFill>
            <w14:solidFill>
              <w14:schemeClr w14:val="tx1"/>
            </w14:solidFill>
          </w14:textFill>
        </w:rPr>
      </w:pPr>
      <w:r>
        <w:rPr>
          <w:rFonts w:ascii="Times New Roman" w:hAnsi="Times New Roman" w:eastAsia="宋体"/>
          <w:color w:val="000000" w:themeColor="text1"/>
          <w:sz w:val="21"/>
          <w:szCs w:val="21"/>
          <w14:textFill>
            <w14:solidFill>
              <w14:schemeClr w14:val="tx1"/>
            </w14:solidFill>
          </w14:textFill>
        </w:rPr>
        <w:t>b</w:t>
      </w:r>
      <w:r>
        <w:rPr>
          <w:rFonts w:hint="eastAsia" w:ascii="Times New Roman" w:hAnsi="Times New Roman" w:eastAsia="宋体"/>
          <w:color w:val="000000" w:themeColor="text1"/>
          <w:sz w:val="21"/>
          <w:szCs w:val="21"/>
          <w14:textFill>
            <w14:solidFill>
              <w14:schemeClr w14:val="tx1"/>
            </w14:solidFill>
          </w14:textFill>
        </w:rPr>
        <w:t>)其他场所灯具光源应急点亮的响应时间不应大于5s；</w:t>
      </w:r>
    </w:p>
    <w:p>
      <w:pPr>
        <w:pStyle w:val="201"/>
        <w:adjustRightInd w:val="0"/>
        <w:snapToGrid w:val="0"/>
        <w:spacing w:line="360" w:lineRule="auto"/>
        <w:jc w:val="left"/>
        <w:rPr>
          <w:rFonts w:ascii="Times New Roman" w:hAnsi="Times New Roman" w:eastAsia="宋体"/>
          <w:color w:val="000000" w:themeColor="text1"/>
          <w:sz w:val="21"/>
          <w:szCs w:val="21"/>
          <w14:textFill>
            <w14:solidFill>
              <w14:schemeClr w14:val="tx1"/>
            </w14:solidFill>
          </w14:textFill>
        </w:rPr>
      </w:pPr>
      <w:r>
        <w:rPr>
          <w:rFonts w:ascii="Times New Roman" w:hAnsi="Times New Roman" w:eastAsia="宋体"/>
          <w:color w:val="000000" w:themeColor="text1"/>
          <w:sz w:val="21"/>
          <w:szCs w:val="21"/>
          <w14:textFill>
            <w14:solidFill>
              <w14:schemeClr w14:val="tx1"/>
            </w14:solidFill>
          </w14:textFill>
        </w:rPr>
        <w:t>c</w:t>
      </w:r>
      <w:r>
        <w:rPr>
          <w:rFonts w:hint="eastAsia" w:ascii="Times New Roman" w:hAnsi="Times New Roman" w:eastAsia="宋体"/>
          <w:color w:val="000000" w:themeColor="text1"/>
          <w:sz w:val="21"/>
          <w:szCs w:val="21"/>
          <w14:textFill>
            <w14:solidFill>
              <w14:schemeClr w14:val="tx1"/>
            </w14:solidFill>
          </w14:textFill>
        </w:rPr>
        <w:t>)具有两种及以上疏散指示方案的场所，标志灯光源点亮、 熄灭的响应时间不应大于5s。</w:t>
      </w:r>
    </w:p>
    <w:p>
      <w:pPr>
        <w:pStyle w:val="201"/>
        <w:adjustRightInd w:val="0"/>
        <w:snapToGrid w:val="0"/>
        <w:spacing w:line="360" w:lineRule="auto"/>
        <w:jc w:val="left"/>
        <w:rPr>
          <w:rFonts w:ascii="Times New Roman" w:hAnsi="Times New Roman" w:eastAsia="宋体"/>
          <w:color w:val="000000" w:themeColor="text1"/>
          <w:sz w:val="21"/>
          <w:szCs w:val="21"/>
          <w14:textFill>
            <w14:solidFill>
              <w14:schemeClr w14:val="tx1"/>
            </w14:solidFill>
          </w14:textFill>
        </w:rPr>
      </w:pPr>
      <w:r>
        <w:rPr>
          <w:rFonts w:ascii="Times New Roman" w:hAnsi="Times New Roman" w:eastAsia="宋体"/>
          <w:color w:val="000000" w:themeColor="text1"/>
          <w:sz w:val="21"/>
          <w:szCs w:val="21"/>
          <w14:textFill>
            <w14:solidFill>
              <w14:schemeClr w14:val="tx1"/>
            </w14:solidFill>
          </w14:textFill>
        </w:rPr>
        <w:t>3</w:t>
      </w:r>
      <w:r>
        <w:rPr>
          <w:rFonts w:hint="eastAsia" w:ascii="Times New Roman" w:hAnsi="Times New Roman" w:eastAsia="宋体"/>
          <w:color w:val="000000" w:themeColor="text1"/>
          <w:sz w:val="21"/>
          <w:szCs w:val="21"/>
          <w14:textFill>
            <w14:solidFill>
              <w14:schemeClr w14:val="tx1"/>
            </w14:solidFill>
          </w14:textFill>
        </w:rPr>
        <w:t>）系统自动应急启动应符合下列规定：</w:t>
      </w:r>
    </w:p>
    <w:p>
      <w:pPr>
        <w:pStyle w:val="201"/>
        <w:adjustRightInd w:val="0"/>
        <w:snapToGrid w:val="0"/>
        <w:spacing w:line="360" w:lineRule="auto"/>
        <w:jc w:val="left"/>
        <w:rPr>
          <w:rFonts w:ascii="Times New Roman" w:hAnsi="Times New Roman" w:eastAsia="宋体"/>
          <w:color w:val="000000" w:themeColor="text1"/>
          <w:sz w:val="21"/>
          <w:szCs w:val="21"/>
          <w14:textFill>
            <w14:solidFill>
              <w14:schemeClr w14:val="tx1"/>
            </w14:solidFill>
          </w14:textFill>
        </w:rPr>
      </w:pPr>
      <w:r>
        <w:rPr>
          <w:rFonts w:ascii="Times New Roman" w:hAnsi="Times New Roman" w:eastAsia="宋体"/>
          <w:color w:val="000000" w:themeColor="text1"/>
          <w:sz w:val="21"/>
          <w:szCs w:val="21"/>
          <w14:textFill>
            <w14:solidFill>
              <w14:schemeClr w14:val="tx1"/>
            </w14:solidFill>
          </w14:textFill>
        </w:rPr>
        <w:t>a</w:t>
      </w:r>
      <w:r>
        <w:rPr>
          <w:rFonts w:hint="eastAsia" w:ascii="Times New Roman" w:hAnsi="Times New Roman" w:eastAsia="宋体"/>
          <w:color w:val="000000" w:themeColor="text1"/>
          <w:sz w:val="21"/>
          <w:szCs w:val="21"/>
          <w14:textFill>
            <w14:solidFill>
              <w14:schemeClr w14:val="tx1"/>
            </w14:solidFill>
          </w14:textFill>
        </w:rPr>
        <w:t>)应由火灾报警控制器或火灾报警控制器（联动型）的火灾报警输出信号作为系统自动应急启动的触发信号；</w:t>
      </w:r>
    </w:p>
    <w:p>
      <w:pPr>
        <w:pStyle w:val="201"/>
        <w:adjustRightInd w:val="0"/>
        <w:snapToGrid w:val="0"/>
        <w:spacing w:line="360" w:lineRule="auto"/>
        <w:jc w:val="left"/>
        <w:rPr>
          <w:rFonts w:ascii="Times New Roman" w:hAnsi="Times New Roman" w:eastAsia="宋体"/>
          <w:color w:val="000000" w:themeColor="text1"/>
          <w:sz w:val="21"/>
          <w:szCs w:val="21"/>
          <w14:textFill>
            <w14:solidFill>
              <w14:schemeClr w14:val="tx1"/>
            </w14:solidFill>
          </w14:textFill>
        </w:rPr>
      </w:pPr>
      <w:r>
        <w:rPr>
          <w:rFonts w:ascii="Times New Roman" w:hAnsi="Times New Roman" w:eastAsia="宋体"/>
          <w:color w:val="000000" w:themeColor="text1"/>
          <w:sz w:val="21"/>
          <w:szCs w:val="21"/>
          <w14:textFill>
            <w14:solidFill>
              <w14:schemeClr w14:val="tx1"/>
            </w14:solidFill>
          </w14:textFill>
        </w:rPr>
        <w:t>b</w:t>
      </w:r>
      <w:r>
        <w:rPr>
          <w:rFonts w:hint="eastAsia" w:ascii="Times New Roman" w:hAnsi="Times New Roman" w:eastAsia="宋体"/>
          <w:color w:val="000000" w:themeColor="text1"/>
          <w:sz w:val="21"/>
          <w:szCs w:val="21"/>
          <w14:textFill>
            <w14:solidFill>
              <w14:schemeClr w14:val="tx1"/>
            </w14:solidFill>
          </w14:textFill>
        </w:rPr>
        <w:t>)应急照明控制器接收到火灾报警控制器的火灾报警输出信号后，应自动执行以下控制操作：</w:t>
      </w:r>
    </w:p>
    <w:p>
      <w:pPr>
        <w:pStyle w:val="201"/>
        <w:adjustRightInd w:val="0"/>
        <w:snapToGrid w:val="0"/>
        <w:spacing w:line="360" w:lineRule="auto"/>
        <w:jc w:val="left"/>
        <w:rPr>
          <w:rFonts w:ascii="Times New Roman" w:hAnsi="Times New Roman" w:eastAsia="宋体"/>
          <w:color w:val="000000" w:themeColor="text1"/>
          <w:sz w:val="21"/>
          <w:szCs w:val="21"/>
          <w14:textFill>
            <w14:solidFill>
              <w14:schemeClr w14:val="tx1"/>
            </w14:solidFill>
          </w14:textFill>
        </w:rPr>
      </w:pPr>
      <w:r>
        <w:rPr>
          <w:rFonts w:hint="eastAsia" w:ascii="Times New Roman" w:hAnsi="Times New Roman" w:eastAsia="宋体"/>
          <w:color w:val="000000" w:themeColor="text1"/>
          <w:sz w:val="21"/>
          <w:szCs w:val="21"/>
          <w14:textFill>
            <w14:solidFill>
              <w14:schemeClr w14:val="tx1"/>
            </w14:solidFill>
          </w14:textFill>
        </w:rPr>
        <w:t>(a)控制系统所有非持续型照明灯的光源应急点亮，持续型灯具的光源由节电点亮模式转入应急点亮模式；</w:t>
      </w:r>
    </w:p>
    <w:p>
      <w:pPr>
        <w:pStyle w:val="201"/>
        <w:adjustRightInd w:val="0"/>
        <w:snapToGrid w:val="0"/>
        <w:spacing w:line="360" w:lineRule="auto"/>
        <w:jc w:val="left"/>
        <w:rPr>
          <w:rFonts w:ascii="Times New Roman" w:hAnsi="Times New Roman" w:eastAsia="宋体"/>
          <w:color w:val="000000" w:themeColor="text1"/>
          <w:sz w:val="21"/>
          <w:szCs w:val="21"/>
          <w14:textFill>
            <w14:solidFill>
              <w14:schemeClr w14:val="tx1"/>
            </w14:solidFill>
          </w14:textFill>
        </w:rPr>
      </w:pPr>
      <w:r>
        <w:rPr>
          <w:rFonts w:hint="eastAsia" w:ascii="Times New Roman" w:hAnsi="Times New Roman" w:eastAsia="宋体"/>
          <w:color w:val="000000" w:themeColor="text1"/>
          <w:sz w:val="21"/>
          <w:szCs w:val="21"/>
          <w14:textFill>
            <w14:solidFill>
              <w14:schemeClr w14:val="tx1"/>
            </w14:solidFill>
          </w14:textFill>
        </w:rPr>
        <w:t>(b)A型集中电源应保持主电源输出，待接收到其主电源断电信号后，自动转入蓄电池电源输出；</w:t>
      </w:r>
    </w:p>
    <w:p>
      <w:pPr>
        <w:pStyle w:val="201"/>
        <w:adjustRightInd w:val="0"/>
        <w:snapToGrid w:val="0"/>
        <w:spacing w:line="360" w:lineRule="auto"/>
        <w:jc w:val="left"/>
        <w:rPr>
          <w:rFonts w:ascii="Times New Roman" w:hAnsi="Times New Roman" w:eastAsia="宋体"/>
          <w:color w:val="000000" w:themeColor="text1"/>
          <w:sz w:val="21"/>
          <w:szCs w:val="21"/>
          <w14:textFill>
            <w14:solidFill>
              <w14:schemeClr w14:val="tx1"/>
            </w14:solidFill>
          </w14:textFill>
        </w:rPr>
      </w:pPr>
      <w:r>
        <w:rPr>
          <w:rFonts w:hint="eastAsia" w:ascii="Times New Roman" w:hAnsi="Times New Roman" w:eastAsia="宋体"/>
          <w:color w:val="000000" w:themeColor="text1"/>
          <w:sz w:val="21"/>
          <w:szCs w:val="21"/>
          <w14:textFill>
            <w14:solidFill>
              <w14:schemeClr w14:val="tx1"/>
            </w14:solidFill>
          </w14:textFill>
        </w:rPr>
        <w:t>4）应能手动操作应急照明控制器控制系统的应急启动。</w:t>
      </w:r>
    </w:p>
    <w:p>
      <w:pPr>
        <w:pStyle w:val="201"/>
        <w:adjustRightInd w:val="0"/>
        <w:snapToGrid w:val="0"/>
        <w:spacing w:line="360" w:lineRule="auto"/>
        <w:ind w:firstLine="400"/>
        <w:jc w:val="center"/>
        <w:rPr>
          <w:rFonts w:ascii="Times New Roman" w:hAnsi="Times New Roman" w:eastAsia="宋体"/>
          <w:color w:val="000000" w:themeColor="text1"/>
          <w:sz w:val="21"/>
          <w:szCs w:val="21"/>
          <w14:textFill>
            <w14:solidFill>
              <w14:schemeClr w14:val="tx1"/>
            </w14:solidFill>
          </w14:textFill>
        </w:rPr>
      </w:pPr>
      <w:r>
        <w:drawing>
          <wp:inline distT="0" distB="0" distL="0" distR="0">
            <wp:extent cx="3200400" cy="2044065"/>
            <wp:effectExtent l="0" t="0" r="0" b="0"/>
            <wp:docPr id="60" name="图片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0" name="图片 60"/>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a:xfrm>
                      <a:off x="0" y="0"/>
                      <a:ext cx="3209182" cy="2049753"/>
                    </a:xfrm>
                    <a:prstGeom prst="rect">
                      <a:avLst/>
                    </a:prstGeom>
                    <a:noFill/>
                    <a:ln>
                      <a:noFill/>
                    </a:ln>
                  </pic:spPr>
                </pic:pic>
              </a:graphicData>
            </a:graphic>
          </wp:inline>
        </w:drawing>
      </w:r>
    </w:p>
    <w:p>
      <w:pPr>
        <w:pStyle w:val="201"/>
        <w:adjustRightInd w:val="0"/>
        <w:snapToGrid w:val="0"/>
        <w:spacing w:line="360" w:lineRule="auto"/>
        <w:jc w:val="center"/>
        <w:rPr>
          <w:rFonts w:ascii="Times New Roman" w:hAnsi="Times New Roman" w:eastAsia="宋体"/>
          <w:color w:val="000000" w:themeColor="text1"/>
          <w:sz w:val="21"/>
          <w:szCs w:val="21"/>
          <w14:textFill>
            <w14:solidFill>
              <w14:schemeClr w14:val="tx1"/>
            </w14:solidFill>
          </w14:textFill>
        </w:rPr>
      </w:pPr>
      <w:r>
        <w:rPr>
          <w:rFonts w:hint="eastAsia" w:ascii="Times New Roman" w:hAnsi="Times New Roman" w:eastAsia="宋体"/>
          <w:color w:val="000000" w:themeColor="text1"/>
          <w:sz w:val="21"/>
          <w:szCs w:val="21"/>
          <w14:textFill>
            <w14:solidFill>
              <w14:schemeClr w14:val="tx1"/>
            </w14:solidFill>
          </w14:textFill>
        </w:rPr>
        <w:t>集中控制型系统示意</w:t>
      </w:r>
    </w:p>
    <w:p>
      <w:pPr>
        <w:pStyle w:val="201"/>
        <w:adjustRightInd w:val="0"/>
        <w:snapToGrid w:val="0"/>
        <w:spacing w:line="360" w:lineRule="auto"/>
        <w:jc w:val="left"/>
        <w:rPr>
          <w:rFonts w:ascii="Times New Roman" w:hAnsi="Times New Roman" w:eastAsia="宋体"/>
          <w:color w:val="000000" w:themeColor="text1"/>
          <w:sz w:val="21"/>
          <w:szCs w:val="21"/>
          <w14:textFill>
            <w14:solidFill>
              <w14:schemeClr w14:val="tx1"/>
            </w14:solidFill>
          </w14:textFill>
        </w:rPr>
      </w:pPr>
      <w:r>
        <w:rPr>
          <w:rFonts w:hint="eastAsia" w:ascii="Times New Roman" w:hAnsi="Times New Roman" w:eastAsia="宋体"/>
          <w:color w:val="000000" w:themeColor="text1"/>
          <w:sz w:val="21"/>
          <w:szCs w:val="21"/>
          <w14:textFill>
            <w14:solidFill>
              <w14:schemeClr w14:val="tx1"/>
            </w14:solidFill>
          </w14:textFill>
        </w:rPr>
        <w:t>（5）如灯具采用自带蓄电池供电方式，蓄电池放电时间不小于</w:t>
      </w:r>
      <w:r>
        <w:rPr>
          <w:rFonts w:ascii="Times New Roman" w:hAnsi="Times New Roman" w:eastAsia="宋体"/>
          <w:color w:val="000000" w:themeColor="text1"/>
          <w:sz w:val="21"/>
          <w:szCs w:val="21"/>
          <w14:textFill>
            <w14:solidFill>
              <w14:schemeClr w14:val="tx1"/>
            </w14:solidFill>
          </w14:textFill>
        </w:rPr>
        <w:t>2</w:t>
      </w:r>
      <w:r>
        <w:rPr>
          <w:rFonts w:hint="eastAsia" w:ascii="Times New Roman" w:hAnsi="Times New Roman" w:eastAsia="宋体"/>
          <w:color w:val="000000" w:themeColor="text1"/>
          <w:sz w:val="21"/>
          <w:szCs w:val="21"/>
          <w14:textFill>
            <w14:solidFill>
              <w14:schemeClr w14:val="tx1"/>
            </w14:solidFill>
          </w14:textFill>
        </w:rPr>
        <w:t>小时。</w:t>
      </w:r>
    </w:p>
    <w:p>
      <w:pPr>
        <w:pStyle w:val="201"/>
        <w:adjustRightInd w:val="0"/>
        <w:snapToGrid w:val="0"/>
        <w:spacing w:line="360" w:lineRule="auto"/>
        <w:rPr>
          <w:rFonts w:ascii="Times New Roman" w:hAnsi="Times New Roman" w:eastAsia="宋体"/>
          <w:color w:val="000000" w:themeColor="text1"/>
          <w:sz w:val="21"/>
          <w:szCs w:val="21"/>
          <w14:textFill>
            <w14:solidFill>
              <w14:schemeClr w14:val="tx1"/>
            </w14:solidFill>
          </w14:textFill>
        </w:rPr>
      </w:pPr>
      <w:r>
        <w:rPr>
          <w:rFonts w:hint="eastAsia" w:ascii="Times New Roman" w:hAnsi="Times New Roman" w:eastAsia="宋体"/>
          <w:color w:val="000000" w:themeColor="text1"/>
          <w:sz w:val="21"/>
          <w:szCs w:val="21"/>
          <w14:textFill>
            <w14:solidFill>
              <w14:schemeClr w14:val="tx1"/>
            </w14:solidFill>
          </w14:textFill>
        </w:rPr>
        <w:t>（6）疏散照明灯</w:t>
      </w:r>
      <w:r>
        <w:rPr>
          <w:rFonts w:ascii="Times New Roman" w:hAnsi="Times New Roman" w:eastAsia="宋体"/>
          <w:color w:val="000000" w:themeColor="text1"/>
          <w:sz w:val="21"/>
          <w:szCs w:val="21"/>
          <w14:textFill>
            <w14:solidFill>
              <w14:schemeClr w14:val="tx1"/>
            </w14:solidFill>
          </w14:textFill>
        </w:rPr>
        <w:drawing>
          <wp:inline distT="0" distB="0" distL="0" distR="0">
            <wp:extent cx="215900" cy="215900"/>
            <wp:effectExtent l="0" t="0" r="0" b="0"/>
            <wp:docPr id="19" name="图片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图片 19"/>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a:xfrm>
                      <a:off x="0" y="0"/>
                      <a:ext cx="215900" cy="215900"/>
                    </a:xfrm>
                    <a:prstGeom prst="rect">
                      <a:avLst/>
                    </a:prstGeom>
                    <a:noFill/>
                    <a:ln>
                      <a:noFill/>
                    </a:ln>
                  </pic:spPr>
                </pic:pic>
              </a:graphicData>
            </a:graphic>
          </wp:inline>
        </w:drawing>
      </w:r>
      <w:r>
        <w:rPr>
          <w:rFonts w:hint="eastAsia" w:ascii="Times New Roman" w:hAnsi="Times New Roman" w:eastAsia="宋体"/>
          <w:color w:val="000000" w:themeColor="text1"/>
          <w:sz w:val="21"/>
          <w:szCs w:val="21"/>
          <w14:textFill>
            <w14:solidFill>
              <w14:schemeClr w14:val="tx1"/>
            </w14:solidFill>
          </w14:textFill>
        </w:rPr>
        <w:t>布置在走廊、楼梯、设备房间和有人活动的场所，离地</w:t>
      </w:r>
      <w:r>
        <w:rPr>
          <w:rFonts w:ascii="Times New Roman" w:hAnsi="Times New Roman" w:eastAsia="宋体"/>
          <w:color w:val="000000" w:themeColor="text1"/>
          <w:sz w:val="21"/>
          <w:szCs w:val="21"/>
          <w14:textFill>
            <w14:solidFill>
              <w14:schemeClr w14:val="tx1"/>
            </w14:solidFill>
          </w14:textFill>
        </w:rPr>
        <w:t>3m</w:t>
      </w:r>
      <w:r>
        <w:rPr>
          <w:rFonts w:hint="eastAsia" w:ascii="Times New Roman" w:hAnsi="Times New Roman" w:eastAsia="宋体"/>
          <w:color w:val="000000" w:themeColor="text1"/>
          <w:sz w:val="21"/>
          <w:szCs w:val="21"/>
          <w14:textFill>
            <w14:solidFill>
              <w14:schemeClr w14:val="tx1"/>
            </w14:solidFill>
          </w14:textFill>
        </w:rPr>
        <w:t>壁式安装，在走廊布置时需布置在楼梯口、拐角处和走廊尽头的出口处；在楼梯布置时布置在转角处；在设备房间布置时一般布置在出口处，对于大的设备房间还需在四周的墙上布置一到两个；有人活动的场所指警传室、活动室、资料室、休息室、会议室和气瓶室等房间的出口处。</w:t>
      </w:r>
    </w:p>
    <w:p>
      <w:pPr>
        <w:pStyle w:val="201"/>
        <w:adjustRightInd w:val="0"/>
        <w:snapToGrid w:val="0"/>
        <w:spacing w:line="360" w:lineRule="auto"/>
        <w:rPr>
          <w:rFonts w:ascii="Times New Roman" w:hAnsi="Times New Roman" w:eastAsia="宋体"/>
          <w:color w:val="000000" w:themeColor="text1"/>
          <w:sz w:val="21"/>
          <w:szCs w:val="21"/>
          <w14:textFill>
            <w14:solidFill>
              <w14:schemeClr w14:val="tx1"/>
            </w14:solidFill>
          </w14:textFill>
        </w:rPr>
      </w:pPr>
      <w:r>
        <w:rPr>
          <w:rFonts w:hint="eastAsia" w:ascii="Times New Roman" w:hAnsi="Times New Roman" w:eastAsia="宋体"/>
          <w:color w:val="000000" w:themeColor="text1"/>
          <w:sz w:val="21"/>
          <w:szCs w:val="21"/>
          <w14:textFill>
            <w14:solidFill>
              <w14:schemeClr w14:val="tx1"/>
            </w14:solidFill>
          </w14:textFill>
        </w:rPr>
        <w:t>疏散指示标志灯</w:t>
      </w:r>
      <w:r>
        <w:rPr>
          <w:rFonts w:ascii="Times New Roman" w:hAnsi="Times New Roman" w:eastAsia="宋体"/>
          <w:color w:val="000000" w:themeColor="text1"/>
          <w:sz w:val="21"/>
          <w:szCs w:val="21"/>
          <w14:textFill>
            <w14:solidFill>
              <w14:schemeClr w14:val="tx1"/>
            </w14:solidFill>
          </w14:textFill>
        </w:rPr>
        <w:drawing>
          <wp:inline distT="0" distB="0" distL="0" distR="0">
            <wp:extent cx="260350" cy="120650"/>
            <wp:effectExtent l="0" t="0" r="6350" b="0"/>
            <wp:docPr id="18" name="图片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图片 18"/>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a:xfrm>
                      <a:off x="0" y="0"/>
                      <a:ext cx="260350" cy="120650"/>
                    </a:xfrm>
                    <a:prstGeom prst="rect">
                      <a:avLst/>
                    </a:prstGeom>
                    <a:noFill/>
                    <a:ln>
                      <a:noFill/>
                    </a:ln>
                  </pic:spPr>
                </pic:pic>
              </a:graphicData>
            </a:graphic>
          </wp:inline>
        </w:drawing>
      </w:r>
      <w:r>
        <w:rPr>
          <w:rFonts w:ascii="Times New Roman" w:hAnsi="Times New Roman" w:eastAsia="宋体"/>
          <w:color w:val="000000" w:themeColor="text1"/>
          <w:sz w:val="21"/>
          <w:szCs w:val="21"/>
          <w14:textFill>
            <w14:solidFill>
              <w14:schemeClr w14:val="tx1"/>
            </w14:solidFill>
          </w14:textFill>
        </w:rPr>
        <w:drawing>
          <wp:inline distT="0" distB="0" distL="0" distR="0">
            <wp:extent cx="311150" cy="139700"/>
            <wp:effectExtent l="0" t="0" r="0" b="0"/>
            <wp:docPr id="17" name="图片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图片 17"/>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a:xfrm>
                      <a:off x="0" y="0"/>
                      <a:ext cx="311150" cy="139700"/>
                    </a:xfrm>
                    <a:prstGeom prst="rect">
                      <a:avLst/>
                    </a:prstGeom>
                    <a:noFill/>
                    <a:ln>
                      <a:noFill/>
                    </a:ln>
                  </pic:spPr>
                </pic:pic>
              </a:graphicData>
            </a:graphic>
          </wp:inline>
        </w:drawing>
      </w:r>
      <w:r>
        <w:rPr>
          <w:rFonts w:hint="eastAsia" w:ascii="Times New Roman" w:hAnsi="Times New Roman" w:eastAsia="宋体"/>
          <w:color w:val="000000" w:themeColor="text1"/>
          <w:sz w:val="21"/>
          <w:szCs w:val="21"/>
          <w14:textFill>
            <w14:solidFill>
              <w14:schemeClr w14:val="tx1"/>
            </w14:solidFill>
          </w14:textFill>
        </w:rPr>
        <w:t>设置在走道、走廊转角和楼梯转角处离地</w:t>
      </w:r>
      <w:r>
        <w:rPr>
          <w:rFonts w:ascii="Times New Roman" w:hAnsi="Times New Roman" w:eastAsia="宋体"/>
          <w:color w:val="000000" w:themeColor="text1"/>
          <w:sz w:val="21"/>
          <w:szCs w:val="21"/>
          <w14:textFill>
            <w14:solidFill>
              <w14:schemeClr w14:val="tx1"/>
            </w14:solidFill>
          </w14:textFill>
        </w:rPr>
        <w:t>0.3m</w:t>
      </w:r>
      <w:r>
        <w:rPr>
          <w:rFonts w:hint="eastAsia" w:ascii="Times New Roman" w:hAnsi="Times New Roman" w:eastAsia="宋体"/>
          <w:color w:val="000000" w:themeColor="text1"/>
          <w:sz w:val="21"/>
          <w:szCs w:val="21"/>
          <w14:textFill>
            <w14:solidFill>
              <w14:schemeClr w14:val="tx1"/>
            </w14:solidFill>
          </w14:textFill>
        </w:rPr>
        <w:t>壁式安装，间距不超过</w:t>
      </w:r>
      <w:r>
        <w:rPr>
          <w:rFonts w:ascii="Times New Roman" w:hAnsi="Times New Roman" w:eastAsia="宋体"/>
          <w:color w:val="000000" w:themeColor="text1"/>
          <w:sz w:val="21"/>
          <w:szCs w:val="21"/>
          <w14:textFill>
            <w14:solidFill>
              <w14:schemeClr w14:val="tx1"/>
            </w14:solidFill>
          </w14:textFill>
        </w:rPr>
        <w:t>10m</w:t>
      </w:r>
      <w:r>
        <w:rPr>
          <w:rFonts w:hint="eastAsia" w:ascii="Times New Roman" w:hAnsi="Times New Roman" w:eastAsia="宋体"/>
          <w:color w:val="000000" w:themeColor="text1"/>
          <w:sz w:val="21"/>
          <w:szCs w:val="21"/>
          <w14:textFill>
            <w14:solidFill>
              <w14:schemeClr w14:val="tx1"/>
            </w14:solidFill>
          </w14:textFill>
        </w:rPr>
        <w:t>。</w:t>
      </w:r>
    </w:p>
    <w:p>
      <w:pPr>
        <w:pStyle w:val="201"/>
        <w:adjustRightInd w:val="0"/>
        <w:snapToGrid w:val="0"/>
        <w:spacing w:line="360" w:lineRule="auto"/>
        <w:rPr>
          <w:rFonts w:ascii="Times New Roman" w:hAnsi="Times New Roman" w:eastAsia="宋体"/>
          <w:color w:val="000000" w:themeColor="text1"/>
          <w:sz w:val="21"/>
          <w:szCs w:val="21"/>
          <w14:textFill>
            <w14:solidFill>
              <w14:schemeClr w14:val="tx1"/>
            </w14:solidFill>
          </w14:textFill>
        </w:rPr>
      </w:pPr>
      <w:r>
        <w:rPr>
          <w:rFonts w:hint="eastAsia" w:ascii="Times New Roman" w:hAnsi="Times New Roman" w:eastAsia="宋体"/>
          <w:color w:val="000000" w:themeColor="text1"/>
          <w:sz w:val="21"/>
          <w:szCs w:val="21"/>
          <w14:textFill>
            <w14:solidFill>
              <w14:schemeClr w14:val="tx1"/>
            </w14:solidFill>
          </w14:textFill>
        </w:rPr>
        <w:t>出口标志灯</w:t>
      </w:r>
      <w:r>
        <w:rPr>
          <w:rFonts w:ascii="Times New Roman" w:hAnsi="Times New Roman" w:eastAsia="宋体"/>
          <w:color w:val="000000" w:themeColor="text1"/>
          <w:sz w:val="21"/>
          <w:szCs w:val="21"/>
          <w14:textFill>
            <w14:solidFill>
              <w14:schemeClr w14:val="tx1"/>
            </w14:solidFill>
          </w14:textFill>
        </w:rPr>
        <w:drawing>
          <wp:inline distT="0" distB="0" distL="0" distR="0">
            <wp:extent cx="311150" cy="139700"/>
            <wp:effectExtent l="0" t="0" r="0" b="0"/>
            <wp:docPr id="16" name="图片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图片 16"/>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a:xfrm>
                      <a:off x="0" y="0"/>
                      <a:ext cx="311150" cy="139700"/>
                    </a:xfrm>
                    <a:prstGeom prst="rect">
                      <a:avLst/>
                    </a:prstGeom>
                    <a:noFill/>
                    <a:ln>
                      <a:noFill/>
                    </a:ln>
                  </pic:spPr>
                </pic:pic>
              </a:graphicData>
            </a:graphic>
          </wp:inline>
        </w:drawing>
      </w:r>
      <w:r>
        <w:rPr>
          <w:rFonts w:hint="eastAsia" w:ascii="Times New Roman" w:hAnsi="Times New Roman" w:eastAsia="宋体"/>
          <w:color w:val="000000" w:themeColor="text1"/>
          <w:sz w:val="21"/>
          <w:szCs w:val="21"/>
          <w14:textFill>
            <w14:solidFill>
              <w14:schemeClr w14:val="tx1"/>
            </w14:solidFill>
          </w14:textFill>
        </w:rPr>
        <w:t>设置在安全出口的门顶部。</w:t>
      </w:r>
    </w:p>
    <w:p>
      <w:pPr>
        <w:pStyle w:val="201"/>
        <w:adjustRightInd w:val="0"/>
        <w:snapToGrid w:val="0"/>
        <w:spacing w:line="360" w:lineRule="auto"/>
        <w:rPr>
          <w:rFonts w:ascii="Times New Roman" w:hAnsi="Times New Roman" w:eastAsia="宋体"/>
          <w:color w:val="000000" w:themeColor="text1"/>
          <w:sz w:val="21"/>
          <w:szCs w:val="21"/>
          <w14:textFill>
            <w14:solidFill>
              <w14:schemeClr w14:val="tx1"/>
            </w14:solidFill>
          </w14:textFill>
        </w:rPr>
      </w:pPr>
      <w:r>
        <w:rPr>
          <w:rFonts w:hint="eastAsia" w:ascii="Times New Roman" w:hAnsi="Times New Roman" w:eastAsia="宋体"/>
          <w:color w:val="000000" w:themeColor="text1"/>
          <w:sz w:val="21"/>
          <w:szCs w:val="21"/>
          <w14:textFill>
            <w14:solidFill>
              <w14:schemeClr w14:val="tx1"/>
            </w14:solidFill>
          </w14:textFill>
        </w:rPr>
        <w:t>（7）疏散照明回路的电线采用</w:t>
      </w:r>
      <w:r>
        <w:rPr>
          <w:rFonts w:ascii="Times New Roman" w:hAnsi="Times New Roman" w:eastAsia="宋体"/>
          <w:color w:val="000000" w:themeColor="text1"/>
          <w:sz w:val="21"/>
          <w:szCs w:val="21"/>
          <w14:textFill>
            <w14:solidFill>
              <w14:schemeClr w14:val="tx1"/>
            </w14:solidFill>
          </w14:textFill>
        </w:rPr>
        <w:t>A</w:t>
      </w:r>
      <w:r>
        <w:rPr>
          <w:rFonts w:hint="eastAsia" w:ascii="Times New Roman" w:hAnsi="Times New Roman" w:eastAsia="宋体"/>
          <w:color w:val="000000" w:themeColor="text1"/>
          <w:sz w:val="21"/>
          <w:szCs w:val="21"/>
          <w14:textFill>
            <w14:solidFill>
              <w14:schemeClr w14:val="tx1"/>
            </w14:solidFill>
          </w14:textFill>
        </w:rPr>
        <w:t>类耐火型。</w:t>
      </w:r>
    </w:p>
    <w:p>
      <w:pPr>
        <w:pStyle w:val="201"/>
        <w:adjustRightInd w:val="0"/>
        <w:snapToGrid w:val="0"/>
        <w:spacing w:line="360" w:lineRule="auto"/>
        <w:rPr>
          <w:rFonts w:ascii="Times New Roman" w:hAnsi="Times New Roman" w:eastAsia="宋体"/>
          <w:color w:val="000000" w:themeColor="text1"/>
          <w:sz w:val="21"/>
          <w:szCs w:val="21"/>
          <w14:textFill>
            <w14:solidFill>
              <w14:schemeClr w14:val="tx1"/>
            </w14:solidFill>
          </w14:textFill>
        </w:rPr>
      </w:pPr>
      <w:r>
        <w:rPr>
          <w:rFonts w:ascii="Times New Roman" w:hAnsi="Times New Roman" w:eastAsia="宋体"/>
          <w:color w:val="000000" w:themeColor="text1"/>
          <w:sz w:val="21"/>
          <w:szCs w:val="21"/>
          <w14:textFill>
            <w14:solidFill>
              <w14:schemeClr w14:val="tx1"/>
            </w14:solidFill>
          </w14:textFill>
        </w:rPr>
        <w:t>5.4.3</w:t>
      </w:r>
      <w:r>
        <w:rPr>
          <w:rFonts w:hint="eastAsia" w:ascii="Times New Roman" w:hAnsi="Times New Roman" w:eastAsia="宋体"/>
          <w:color w:val="000000" w:themeColor="text1"/>
          <w:sz w:val="21"/>
          <w:szCs w:val="21"/>
          <w14:textFill>
            <w14:solidFill>
              <w14:schemeClr w14:val="tx1"/>
            </w14:solidFill>
          </w14:textFill>
        </w:rPr>
        <w:t>动力</w:t>
      </w:r>
    </w:p>
    <w:p>
      <w:pPr>
        <w:pStyle w:val="201"/>
        <w:adjustRightInd w:val="0"/>
        <w:snapToGrid w:val="0"/>
        <w:spacing w:line="360" w:lineRule="auto"/>
        <w:rPr>
          <w:rFonts w:ascii="Times New Roman" w:hAnsi="Times New Roman" w:eastAsia="宋体"/>
          <w:color w:val="000000" w:themeColor="text1"/>
          <w:sz w:val="21"/>
          <w:szCs w:val="21"/>
          <w14:textFill>
            <w14:solidFill>
              <w14:schemeClr w14:val="tx1"/>
            </w14:solidFill>
          </w14:textFill>
        </w:rPr>
      </w:pPr>
      <w:r>
        <w:rPr>
          <w:rFonts w:ascii="Times New Roman" w:hAnsi="Times New Roman" w:eastAsia="宋体"/>
          <w:color w:val="000000" w:themeColor="text1"/>
          <w:sz w:val="21"/>
          <w:szCs w:val="21"/>
          <w14:textFill>
            <w14:solidFill>
              <w14:schemeClr w14:val="tx1"/>
            </w14:solidFill>
          </w14:textFill>
        </w:rPr>
        <w:t>5.4.3.1</w:t>
      </w:r>
      <w:r>
        <w:rPr>
          <w:rFonts w:hint="eastAsia" w:ascii="Times New Roman" w:hAnsi="Times New Roman" w:eastAsia="宋体"/>
          <w:color w:val="000000" w:themeColor="text1"/>
          <w:sz w:val="21"/>
          <w:szCs w:val="21"/>
          <w14:textFill>
            <w14:solidFill>
              <w14:schemeClr w14:val="tx1"/>
            </w14:solidFill>
          </w14:textFill>
        </w:rPr>
        <w:t>检修的配置原则：检修电源按检修半径为</w:t>
      </w:r>
      <w:r>
        <w:rPr>
          <w:rFonts w:ascii="Times New Roman" w:hAnsi="Times New Roman" w:eastAsia="宋体"/>
          <w:color w:val="000000" w:themeColor="text1"/>
          <w:sz w:val="21"/>
          <w:szCs w:val="21"/>
          <w14:textFill>
            <w14:solidFill>
              <w14:schemeClr w14:val="tx1"/>
            </w14:solidFill>
          </w14:textFill>
        </w:rPr>
        <w:t>50m</w:t>
      </w:r>
      <w:r>
        <w:rPr>
          <w:rFonts w:hint="eastAsia" w:ascii="Times New Roman" w:hAnsi="Times New Roman" w:eastAsia="宋体"/>
          <w:color w:val="000000" w:themeColor="text1"/>
          <w:sz w:val="21"/>
          <w:szCs w:val="21"/>
          <w14:textFill>
            <w14:solidFill>
              <w14:schemeClr w14:val="tx1"/>
            </w14:solidFill>
          </w14:textFill>
        </w:rPr>
        <w:t>配置，一般为</w:t>
      </w:r>
      <w:r>
        <w:rPr>
          <w:rFonts w:ascii="Times New Roman" w:hAnsi="Times New Roman" w:eastAsia="宋体"/>
          <w:color w:val="000000" w:themeColor="text1"/>
          <w:sz w:val="21"/>
          <w:szCs w:val="21"/>
          <w14:textFill>
            <w14:solidFill>
              <w14:schemeClr w14:val="tx1"/>
            </w14:solidFill>
          </w14:textFill>
        </w:rPr>
        <w:t>30~40m</w:t>
      </w:r>
      <w:r>
        <w:rPr>
          <w:rFonts w:hint="eastAsia" w:ascii="Times New Roman" w:hAnsi="Times New Roman" w:eastAsia="宋体"/>
          <w:color w:val="000000" w:themeColor="text1"/>
          <w:sz w:val="21"/>
          <w:szCs w:val="21"/>
          <w14:textFill>
            <w14:solidFill>
              <w14:schemeClr w14:val="tx1"/>
            </w14:solidFill>
          </w14:textFill>
        </w:rPr>
        <w:t>配置。检修电源</w:t>
      </w:r>
      <w:bookmarkStart w:id="98" w:name="_Hlk178180390"/>
      <w:r>
        <w:rPr>
          <w:rFonts w:hint="eastAsia" w:ascii="Times New Roman" w:hAnsi="Times New Roman" w:eastAsia="宋体"/>
          <w:color w:val="000000" w:themeColor="text1"/>
          <w:sz w:val="21"/>
          <w:szCs w:val="21"/>
          <w14:textFill>
            <w14:solidFill>
              <w14:schemeClr w14:val="tx1"/>
            </w14:solidFill>
          </w14:textFill>
        </w:rPr>
        <w:t>需配置至少两个三相</w:t>
      </w:r>
      <w:r>
        <w:rPr>
          <w:rFonts w:ascii="Times New Roman" w:hAnsi="Times New Roman" w:eastAsia="宋体"/>
          <w:color w:val="000000" w:themeColor="text1"/>
          <w:sz w:val="21"/>
          <w:szCs w:val="21"/>
          <w14:textFill>
            <w14:solidFill>
              <w14:schemeClr w14:val="tx1"/>
            </w14:solidFill>
          </w14:textFill>
        </w:rPr>
        <w:t>100A</w:t>
      </w:r>
      <w:r>
        <w:rPr>
          <w:rFonts w:hint="eastAsia" w:ascii="Times New Roman" w:hAnsi="Times New Roman" w:eastAsia="宋体"/>
          <w:color w:val="000000" w:themeColor="text1"/>
          <w:sz w:val="21"/>
          <w:szCs w:val="21"/>
          <w14:textFill>
            <w14:solidFill>
              <w14:schemeClr w14:val="tx1"/>
            </w14:solidFill>
          </w14:textFill>
        </w:rPr>
        <w:t>（带漏保）、一个三相</w:t>
      </w:r>
      <w:r>
        <w:rPr>
          <w:rFonts w:ascii="Times New Roman" w:hAnsi="Times New Roman" w:eastAsia="宋体"/>
          <w:color w:val="000000" w:themeColor="text1"/>
          <w:sz w:val="21"/>
          <w:szCs w:val="21"/>
          <w14:textFill>
            <w14:solidFill>
              <w14:schemeClr w14:val="tx1"/>
            </w14:solidFill>
          </w14:textFill>
        </w:rPr>
        <w:t>32A</w:t>
      </w:r>
      <w:r>
        <w:rPr>
          <w:rFonts w:hint="eastAsia" w:ascii="Times New Roman" w:hAnsi="Times New Roman" w:eastAsia="宋体"/>
          <w:color w:val="000000" w:themeColor="text1"/>
          <w:sz w:val="21"/>
          <w:szCs w:val="21"/>
          <w14:textFill>
            <w14:solidFill>
              <w14:schemeClr w14:val="tx1"/>
            </w14:solidFill>
          </w14:textFill>
        </w:rPr>
        <w:t>（带漏保）、一个单相</w:t>
      </w:r>
      <w:r>
        <w:rPr>
          <w:rFonts w:ascii="Times New Roman" w:hAnsi="Times New Roman" w:eastAsia="宋体"/>
          <w:color w:val="000000" w:themeColor="text1"/>
          <w:sz w:val="21"/>
          <w:szCs w:val="21"/>
          <w14:textFill>
            <w14:solidFill>
              <w14:schemeClr w14:val="tx1"/>
            </w14:solidFill>
          </w14:textFill>
        </w:rPr>
        <w:t>40A</w:t>
      </w:r>
      <w:r>
        <w:rPr>
          <w:rFonts w:hint="eastAsia" w:ascii="Times New Roman" w:hAnsi="Times New Roman" w:eastAsia="宋体"/>
          <w:color w:val="000000" w:themeColor="text1"/>
          <w:sz w:val="21"/>
          <w:szCs w:val="21"/>
          <w14:textFill>
            <w14:solidFill>
              <w14:schemeClr w14:val="tx1"/>
            </w14:solidFill>
          </w14:textFill>
        </w:rPr>
        <w:t>（带漏保）、一个单相</w:t>
      </w:r>
      <w:r>
        <w:rPr>
          <w:rFonts w:ascii="Times New Roman" w:hAnsi="Times New Roman" w:eastAsia="宋体"/>
          <w:color w:val="000000" w:themeColor="text1"/>
          <w:sz w:val="21"/>
          <w:szCs w:val="21"/>
          <w14:textFill>
            <w14:solidFill>
              <w14:schemeClr w14:val="tx1"/>
            </w14:solidFill>
          </w14:textFill>
        </w:rPr>
        <w:t>32A</w:t>
      </w:r>
      <w:r>
        <w:rPr>
          <w:rFonts w:hint="eastAsia" w:ascii="Times New Roman" w:hAnsi="Times New Roman" w:eastAsia="宋体"/>
          <w:color w:val="000000" w:themeColor="text1"/>
          <w:sz w:val="21"/>
          <w:szCs w:val="21"/>
          <w14:textFill>
            <w14:solidFill>
              <w14:schemeClr w14:val="tx1"/>
            </w14:solidFill>
          </w14:textFill>
        </w:rPr>
        <w:t>带漏保电源。可在预制舱内设置检修箱及配电箱，配电箱的布置应靠近负荷中心，并便于操作维护。</w:t>
      </w:r>
      <w:bookmarkEnd w:id="98"/>
    </w:p>
    <w:p>
      <w:pPr>
        <w:pStyle w:val="201"/>
        <w:adjustRightInd w:val="0"/>
        <w:snapToGrid w:val="0"/>
        <w:spacing w:line="360" w:lineRule="auto"/>
        <w:rPr>
          <w:rFonts w:ascii="Times New Roman" w:hAnsi="Times New Roman" w:eastAsia="宋体"/>
          <w:color w:val="000000" w:themeColor="text1"/>
          <w:sz w:val="21"/>
          <w:szCs w:val="21"/>
          <w14:textFill>
            <w14:solidFill>
              <w14:schemeClr w14:val="tx1"/>
            </w14:solidFill>
          </w14:textFill>
        </w:rPr>
      </w:pPr>
      <w:r>
        <w:rPr>
          <w:rFonts w:ascii="Times New Roman" w:hAnsi="Times New Roman" w:eastAsia="宋体"/>
          <w:color w:val="000000" w:themeColor="text1"/>
          <w:sz w:val="21"/>
          <w:szCs w:val="21"/>
          <w14:textFill>
            <w14:solidFill>
              <w14:schemeClr w14:val="tx1"/>
            </w14:solidFill>
          </w14:textFill>
        </w:rPr>
        <w:t>5.4.3.2</w:t>
      </w:r>
      <w:r>
        <w:rPr>
          <w:rFonts w:hint="eastAsia" w:ascii="Times New Roman" w:hAnsi="Times New Roman" w:eastAsia="宋体"/>
          <w:color w:val="000000" w:themeColor="text1"/>
          <w:sz w:val="21"/>
          <w:szCs w:val="21"/>
          <w14:textFill>
            <w14:solidFill>
              <w14:schemeClr w14:val="tx1"/>
            </w14:solidFill>
          </w14:textFill>
        </w:rPr>
        <w:t>插座宜选用双联单相二极三极暗装插座，双联单相二极三极暗装插座额定电压应为</w:t>
      </w:r>
      <w:r>
        <w:rPr>
          <w:rFonts w:ascii="Times New Roman" w:hAnsi="Times New Roman" w:eastAsia="宋体"/>
          <w:color w:val="000000" w:themeColor="text1"/>
          <w:sz w:val="21"/>
          <w:szCs w:val="21"/>
          <w14:textFill>
            <w14:solidFill>
              <w14:schemeClr w14:val="tx1"/>
            </w14:solidFill>
          </w14:textFill>
        </w:rPr>
        <w:t>250V</w:t>
      </w:r>
      <w:r>
        <w:rPr>
          <w:rFonts w:hint="eastAsia" w:ascii="Times New Roman" w:hAnsi="Times New Roman" w:eastAsia="宋体"/>
          <w:color w:val="000000" w:themeColor="text1"/>
          <w:sz w:val="21"/>
          <w:szCs w:val="21"/>
          <w14:textFill>
            <w14:solidFill>
              <w14:schemeClr w14:val="tx1"/>
            </w14:solidFill>
          </w14:textFill>
        </w:rPr>
        <w:t>，电流不小于</w:t>
      </w:r>
      <w:r>
        <w:rPr>
          <w:rFonts w:ascii="Times New Roman" w:hAnsi="Times New Roman" w:eastAsia="宋体"/>
          <w:color w:val="000000" w:themeColor="text1"/>
          <w:sz w:val="21"/>
          <w:szCs w:val="21"/>
          <w14:textFill>
            <w14:solidFill>
              <w14:schemeClr w14:val="tx1"/>
            </w14:solidFill>
          </w14:textFill>
        </w:rPr>
        <w:t>10A</w:t>
      </w:r>
      <w:r>
        <w:rPr>
          <w:rFonts w:hint="eastAsia" w:ascii="Times New Roman" w:hAnsi="Times New Roman" w:eastAsia="宋体"/>
          <w:color w:val="000000" w:themeColor="text1"/>
          <w:sz w:val="21"/>
          <w:szCs w:val="21"/>
          <w14:textFill>
            <w14:solidFill>
              <w14:schemeClr w14:val="tx1"/>
            </w14:solidFill>
          </w14:textFill>
        </w:rPr>
        <w:t>，宜布置在门口附近的墙上，每个预制舱不得少于两只，安装高度</w:t>
      </w:r>
      <w:r>
        <w:rPr>
          <w:rFonts w:ascii="Times New Roman" w:hAnsi="Times New Roman" w:eastAsia="宋体"/>
          <w:color w:val="000000" w:themeColor="text1"/>
          <w:sz w:val="21"/>
          <w:szCs w:val="21"/>
          <w14:textFill>
            <w14:solidFill>
              <w14:schemeClr w14:val="tx1"/>
            </w14:solidFill>
          </w14:textFill>
        </w:rPr>
        <w:t>0.3m</w:t>
      </w:r>
      <w:r>
        <w:rPr>
          <w:rFonts w:hint="eastAsia" w:ascii="Times New Roman" w:hAnsi="Times New Roman" w:eastAsia="宋体"/>
          <w:color w:val="000000" w:themeColor="text1"/>
          <w:sz w:val="21"/>
          <w:szCs w:val="21"/>
          <w14:textFill>
            <w14:solidFill>
              <w14:schemeClr w14:val="tx1"/>
            </w14:solidFill>
          </w14:textFill>
        </w:rPr>
        <w:t>。插座临近门框边或墙边时，距门框边</w:t>
      </w:r>
      <w:r>
        <w:rPr>
          <w:rFonts w:ascii="Times New Roman" w:hAnsi="Times New Roman" w:eastAsia="宋体"/>
          <w:color w:val="000000" w:themeColor="text1"/>
          <w:sz w:val="21"/>
          <w:szCs w:val="21"/>
          <w14:textFill>
            <w14:solidFill>
              <w14:schemeClr w14:val="tx1"/>
            </w14:solidFill>
          </w14:textFill>
        </w:rPr>
        <w:t>0.15m~0.2m</w:t>
      </w:r>
      <w:r>
        <w:rPr>
          <w:rFonts w:hint="eastAsia" w:ascii="Times New Roman" w:hAnsi="Times New Roman" w:eastAsia="宋体"/>
          <w:color w:val="000000" w:themeColor="text1"/>
          <w:sz w:val="21"/>
          <w:szCs w:val="21"/>
          <w14:textFill>
            <w14:solidFill>
              <w14:schemeClr w14:val="tx1"/>
            </w14:solidFill>
          </w14:textFill>
        </w:rPr>
        <w:t>，距墙边不小于</w:t>
      </w:r>
      <w:r>
        <w:rPr>
          <w:rFonts w:ascii="Times New Roman" w:hAnsi="Times New Roman" w:eastAsia="宋体"/>
          <w:color w:val="000000" w:themeColor="text1"/>
          <w:sz w:val="21"/>
          <w:szCs w:val="21"/>
          <w14:textFill>
            <w14:solidFill>
              <w14:schemeClr w14:val="tx1"/>
            </w14:solidFill>
          </w14:textFill>
        </w:rPr>
        <w:t>0.2m</w:t>
      </w:r>
      <w:r>
        <w:rPr>
          <w:rFonts w:hint="eastAsia" w:ascii="Times New Roman" w:hAnsi="Times New Roman" w:eastAsia="宋体"/>
          <w:color w:val="000000" w:themeColor="text1"/>
          <w:sz w:val="21"/>
          <w:szCs w:val="21"/>
          <w14:textFill>
            <w14:solidFill>
              <w14:schemeClr w14:val="tx1"/>
            </w14:solidFill>
          </w14:textFill>
        </w:rPr>
        <w:t>。</w:t>
      </w:r>
    </w:p>
    <w:p>
      <w:pPr>
        <w:pStyle w:val="201"/>
        <w:adjustRightInd w:val="0"/>
        <w:snapToGrid w:val="0"/>
        <w:spacing w:line="360" w:lineRule="auto"/>
        <w:rPr>
          <w:rFonts w:ascii="Times New Roman" w:hAnsi="Times New Roman" w:eastAsia="宋体"/>
          <w:color w:val="000000" w:themeColor="text1"/>
          <w:sz w:val="21"/>
          <w:szCs w:val="21"/>
          <w14:textFill>
            <w14:solidFill>
              <w14:schemeClr w14:val="tx1"/>
            </w14:solidFill>
          </w14:textFill>
        </w:rPr>
      </w:pPr>
      <w:r>
        <w:rPr>
          <w:rFonts w:ascii="Times New Roman" w:hAnsi="Times New Roman" w:eastAsia="宋体"/>
          <w:color w:val="000000" w:themeColor="text1"/>
          <w:sz w:val="21"/>
          <w:szCs w:val="21"/>
          <w14:textFill>
            <w14:solidFill>
              <w14:schemeClr w14:val="tx1"/>
            </w14:solidFill>
          </w14:textFill>
        </w:rPr>
        <w:t>5.4.3.4</w:t>
      </w:r>
      <w:r>
        <w:rPr>
          <w:rFonts w:hint="eastAsia" w:ascii="Times New Roman" w:hAnsi="Times New Roman" w:eastAsia="宋体"/>
          <w:color w:val="000000" w:themeColor="text1"/>
          <w:sz w:val="21"/>
          <w:szCs w:val="21"/>
          <w14:textFill>
            <w14:solidFill>
              <w14:schemeClr w14:val="tx1"/>
            </w14:solidFill>
          </w14:textFill>
        </w:rPr>
        <w:t>插座按照</w:t>
      </w:r>
      <w:r>
        <w:rPr>
          <w:rFonts w:ascii="Times New Roman" w:hAnsi="Times New Roman" w:eastAsia="宋体"/>
          <w:color w:val="000000" w:themeColor="text1"/>
          <w:sz w:val="21"/>
          <w:szCs w:val="21"/>
          <w14:textFill>
            <w14:solidFill>
              <w14:schemeClr w14:val="tx1"/>
            </w14:solidFill>
          </w14:textFill>
        </w:rPr>
        <w:t>TN- S</w:t>
      </w:r>
      <w:r>
        <w:rPr>
          <w:rFonts w:hint="eastAsia" w:ascii="Times New Roman" w:hAnsi="Times New Roman" w:eastAsia="宋体"/>
          <w:color w:val="000000" w:themeColor="text1"/>
          <w:sz w:val="21"/>
          <w:szCs w:val="21"/>
          <w14:textFill>
            <w14:solidFill>
              <w14:schemeClr w14:val="tx1"/>
            </w14:solidFill>
          </w14:textFill>
        </w:rPr>
        <w:t>接地系统的要求，规范为单相两孔、单相三孔及三相五孔等几种规格，当插座为单独回路时，数量不宜超过</w:t>
      </w:r>
      <w:r>
        <w:rPr>
          <w:rFonts w:ascii="Times New Roman" w:hAnsi="Times New Roman" w:eastAsia="宋体"/>
          <w:color w:val="000000" w:themeColor="text1"/>
          <w:sz w:val="21"/>
          <w:szCs w:val="21"/>
          <w14:textFill>
            <w14:solidFill>
              <w14:schemeClr w14:val="tx1"/>
            </w14:solidFill>
          </w14:textFill>
        </w:rPr>
        <w:t>15</w:t>
      </w:r>
      <w:r>
        <w:rPr>
          <w:rFonts w:hint="eastAsia" w:ascii="Times New Roman" w:hAnsi="Times New Roman" w:eastAsia="宋体"/>
          <w:color w:val="000000" w:themeColor="text1"/>
          <w:sz w:val="21"/>
          <w:szCs w:val="21"/>
          <w14:textFill>
            <w14:solidFill>
              <w14:schemeClr w14:val="tx1"/>
            </w14:solidFill>
          </w14:textFill>
        </w:rPr>
        <w:t>个（组）。</w:t>
      </w:r>
    </w:p>
    <w:p>
      <w:pPr>
        <w:pStyle w:val="201"/>
        <w:adjustRightInd w:val="0"/>
        <w:snapToGrid w:val="0"/>
        <w:spacing w:line="360" w:lineRule="auto"/>
        <w:rPr>
          <w:rFonts w:ascii="Times New Roman" w:hAnsi="Times New Roman" w:eastAsia="宋体"/>
          <w:color w:val="000000" w:themeColor="text1"/>
          <w:sz w:val="21"/>
          <w:szCs w:val="21"/>
          <w14:textFill>
            <w14:solidFill>
              <w14:schemeClr w14:val="tx1"/>
            </w14:solidFill>
          </w14:textFill>
        </w:rPr>
      </w:pPr>
      <w:r>
        <w:rPr>
          <w:rFonts w:ascii="Times New Roman" w:hAnsi="Times New Roman" w:eastAsia="宋体"/>
          <w:color w:val="000000" w:themeColor="text1"/>
          <w:sz w:val="21"/>
          <w:szCs w:val="21"/>
          <w14:textFill>
            <w14:solidFill>
              <w14:schemeClr w14:val="tx1"/>
            </w14:solidFill>
          </w14:textFill>
        </w:rPr>
        <w:t xml:space="preserve">5.4.3.5 </w:t>
      </w:r>
      <w:r>
        <w:rPr>
          <w:rFonts w:hint="eastAsia" w:ascii="Times New Roman" w:hAnsi="Times New Roman" w:eastAsia="宋体"/>
          <w:color w:val="000000" w:themeColor="text1"/>
          <w:sz w:val="21"/>
          <w:szCs w:val="21"/>
          <w14:textFill>
            <w14:solidFill>
              <w14:schemeClr w14:val="tx1"/>
            </w14:solidFill>
          </w14:textFill>
        </w:rPr>
        <w:t>对于消防等重要负荷，需双电源供电，电缆需采用A类耐火电缆。</w:t>
      </w:r>
    </w:p>
    <w:p>
      <w:pPr>
        <w:pStyle w:val="201"/>
        <w:adjustRightInd w:val="0"/>
        <w:snapToGrid w:val="0"/>
        <w:spacing w:line="360" w:lineRule="auto"/>
        <w:rPr>
          <w:rFonts w:ascii="Times New Roman" w:hAnsi="Times New Roman" w:eastAsia="宋体"/>
          <w:color w:val="000000" w:themeColor="text1"/>
          <w:sz w:val="21"/>
          <w:szCs w:val="21"/>
          <w14:textFill>
            <w14:solidFill>
              <w14:schemeClr w14:val="tx1"/>
            </w14:solidFill>
          </w14:textFill>
        </w:rPr>
      </w:pPr>
      <w:r>
        <w:rPr>
          <w:rFonts w:ascii="Times New Roman" w:hAnsi="Times New Roman" w:eastAsia="宋体"/>
          <w:color w:val="000000" w:themeColor="text1"/>
          <w:sz w:val="21"/>
          <w:szCs w:val="21"/>
          <w14:textFill>
            <w14:solidFill>
              <w14:schemeClr w14:val="tx1"/>
            </w14:solidFill>
          </w14:textFill>
        </w:rPr>
        <w:t>5.4.3.6</w:t>
      </w:r>
      <w:r>
        <w:rPr>
          <w:rFonts w:hint="eastAsia" w:ascii="Times New Roman" w:hAnsi="Times New Roman" w:eastAsia="宋体"/>
          <w:color w:val="000000" w:themeColor="text1"/>
          <w:sz w:val="21"/>
          <w:szCs w:val="21"/>
          <w14:textFill>
            <w14:solidFill>
              <w14:schemeClr w14:val="tx1"/>
            </w14:solidFill>
          </w14:textFill>
        </w:rPr>
        <w:t>应选用A类阻燃电缆。</w:t>
      </w:r>
    </w:p>
    <w:p>
      <w:pPr>
        <w:pStyle w:val="3"/>
        <w:numPr>
          <w:ilvl w:val="1"/>
          <w:numId w:val="0"/>
        </w:numPr>
        <w:rPr>
          <w:rFonts w:ascii="黑体" w:hAnsi="黑体" w:eastAsia="黑体"/>
          <w:color w:val="000000" w:themeColor="text1"/>
          <w14:textFill>
            <w14:solidFill>
              <w14:schemeClr w14:val="tx1"/>
            </w14:solidFill>
          </w14:textFill>
        </w:rPr>
      </w:pPr>
      <w:r>
        <w:rPr>
          <w:rFonts w:ascii="黑体" w:hAnsi="黑体" w:eastAsia="黑体"/>
          <w:color w:val="000000" w:themeColor="text1"/>
          <w14:textFill>
            <w14:solidFill>
              <w14:schemeClr w14:val="tx1"/>
            </w14:solidFill>
          </w14:textFill>
        </w:rPr>
        <w:t xml:space="preserve">5.5 </w:t>
      </w:r>
      <w:r>
        <w:rPr>
          <w:rFonts w:hint="eastAsia" w:ascii="黑体" w:hAnsi="黑体" w:eastAsia="黑体"/>
          <w:color w:val="000000" w:themeColor="text1"/>
          <w14:textFill>
            <w14:solidFill>
              <w14:schemeClr w14:val="tx1"/>
            </w14:solidFill>
          </w14:textFill>
        </w:rPr>
        <w:t>主控室、继电器及通信室、蓄电池室要求</w:t>
      </w:r>
      <w:bookmarkEnd w:id="96"/>
    </w:p>
    <w:p>
      <w:pPr>
        <w:pStyle w:val="201"/>
        <w:adjustRightInd w:val="0"/>
        <w:snapToGrid w:val="0"/>
        <w:rPr>
          <w:rFonts w:ascii="Times New Roman" w:hAnsi="Times New Roman" w:eastAsia="宋体"/>
          <w:color w:val="000000" w:themeColor="text1"/>
          <w:sz w:val="21"/>
          <w:szCs w:val="21"/>
          <w14:textFill>
            <w14:solidFill>
              <w14:schemeClr w14:val="tx1"/>
            </w14:solidFill>
          </w14:textFill>
        </w:rPr>
      </w:pPr>
      <w:r>
        <w:rPr>
          <w:rFonts w:ascii="Times New Roman" w:hAnsi="Times New Roman" w:eastAsia="宋体"/>
          <w:color w:val="000000" w:themeColor="text1"/>
          <w:sz w:val="21"/>
          <w:szCs w:val="21"/>
          <w14:textFill>
            <w14:solidFill>
              <w14:schemeClr w14:val="tx1"/>
            </w14:solidFill>
          </w14:textFill>
        </w:rPr>
        <w:t>1</w:t>
      </w:r>
      <w:r>
        <w:rPr>
          <w:rFonts w:hint="eastAsia" w:ascii="Times New Roman" w:hAnsi="Times New Roman" w:eastAsia="宋体"/>
          <w:color w:val="000000" w:themeColor="text1"/>
          <w:sz w:val="21"/>
          <w:szCs w:val="21"/>
          <w14:textFill>
            <w14:solidFill>
              <w14:schemeClr w14:val="tx1"/>
            </w14:solidFill>
          </w14:textFill>
        </w:rPr>
        <w:t>、主控制室、继电器及通信室应采用不产生尘埃和静电的材料，应采用抗静电不燃材料活动地板或瓷砖地面，地面材料应为无味环保产品，主控制室、继电器及通信室和继电器小室门的高度不应小于</w:t>
      </w:r>
      <w:r>
        <w:rPr>
          <w:rFonts w:ascii="Times New Roman" w:hAnsi="Times New Roman" w:eastAsia="宋体"/>
          <w:color w:val="000000" w:themeColor="text1"/>
          <w:sz w:val="21"/>
          <w:szCs w:val="21"/>
          <w14:textFill>
            <w14:solidFill>
              <w14:schemeClr w14:val="tx1"/>
            </w14:solidFill>
          </w14:textFill>
        </w:rPr>
        <w:t>2400mm</w:t>
      </w:r>
      <w:r>
        <w:rPr>
          <w:rFonts w:hint="eastAsia" w:ascii="Times New Roman" w:hAnsi="Times New Roman" w:eastAsia="宋体"/>
          <w:color w:val="000000" w:themeColor="text1"/>
          <w:sz w:val="21"/>
          <w:szCs w:val="21"/>
          <w14:textFill>
            <w14:solidFill>
              <w14:schemeClr w14:val="tx1"/>
            </w14:solidFill>
          </w14:textFill>
        </w:rPr>
        <w:t>。</w:t>
      </w:r>
    </w:p>
    <w:p>
      <w:pPr>
        <w:pStyle w:val="201"/>
        <w:adjustRightInd w:val="0"/>
        <w:snapToGrid w:val="0"/>
        <w:spacing w:line="360" w:lineRule="auto"/>
        <w:rPr>
          <w:rFonts w:ascii="Times New Roman" w:hAnsi="Times New Roman" w:eastAsia="宋体"/>
          <w:color w:val="000000" w:themeColor="text1"/>
          <w:sz w:val="21"/>
          <w:szCs w:val="21"/>
          <w14:textFill>
            <w14:solidFill>
              <w14:schemeClr w14:val="tx1"/>
            </w14:solidFill>
          </w14:textFill>
        </w:rPr>
      </w:pPr>
      <w:r>
        <w:rPr>
          <w:rFonts w:ascii="Times New Roman" w:hAnsi="Times New Roman" w:eastAsia="宋体"/>
          <w:color w:val="000000" w:themeColor="text1"/>
          <w:sz w:val="21"/>
          <w:szCs w:val="21"/>
          <w14:textFill>
            <w14:solidFill>
              <w14:schemeClr w14:val="tx1"/>
            </w14:solidFill>
          </w14:textFill>
        </w:rPr>
        <w:t>2</w:t>
      </w:r>
      <w:r>
        <w:rPr>
          <w:rFonts w:hint="eastAsia" w:ascii="Times New Roman" w:hAnsi="Times New Roman" w:eastAsia="宋体"/>
          <w:color w:val="000000" w:themeColor="text1"/>
          <w:sz w:val="21"/>
          <w:szCs w:val="21"/>
          <w14:textFill>
            <w14:solidFill>
              <w14:schemeClr w14:val="tx1"/>
            </w14:solidFill>
          </w14:textFill>
        </w:rPr>
        <w:t>、主控制室、继电器及通信室和继电器小室楼面活荷载标准值设计参照《</w:t>
      </w:r>
      <w:r>
        <w:rPr>
          <w:rFonts w:ascii="Times New Roman" w:hAnsi="Times New Roman" w:eastAsia="宋体"/>
          <w:color w:val="000000" w:themeColor="text1"/>
          <w:sz w:val="21"/>
          <w:szCs w:val="21"/>
          <w14:textFill>
            <w14:solidFill>
              <w14:schemeClr w14:val="tx1"/>
            </w14:solidFill>
          </w14:textFill>
        </w:rPr>
        <w:t>220kV~500kV</w:t>
      </w:r>
      <w:r>
        <w:rPr>
          <w:rFonts w:hint="eastAsia" w:ascii="Times New Roman" w:hAnsi="Times New Roman" w:eastAsia="宋体"/>
          <w:color w:val="000000" w:themeColor="text1"/>
          <w:sz w:val="21"/>
          <w:szCs w:val="21"/>
          <w14:textFill>
            <w14:solidFill>
              <w14:schemeClr w14:val="tx1"/>
            </w14:solidFill>
          </w14:textFill>
        </w:rPr>
        <w:t>变电所设计技术规程（</w:t>
      </w:r>
      <w:r>
        <w:rPr>
          <w:rFonts w:ascii="Times New Roman" w:hAnsi="Times New Roman" w:eastAsia="宋体"/>
          <w:color w:val="000000" w:themeColor="text1"/>
          <w:sz w:val="21"/>
          <w:szCs w:val="21"/>
          <w14:textFill>
            <w14:solidFill>
              <w14:schemeClr w14:val="tx1"/>
            </w14:solidFill>
          </w14:textFill>
        </w:rPr>
        <w:t>DL/T 5218-2005</w:t>
      </w:r>
      <w:r>
        <w:rPr>
          <w:rFonts w:hint="eastAsia" w:ascii="Times New Roman" w:hAnsi="Times New Roman" w:eastAsia="宋体"/>
          <w:color w:val="000000" w:themeColor="text1"/>
          <w:sz w:val="21"/>
          <w:szCs w:val="21"/>
          <w14:textFill>
            <w14:solidFill>
              <w14:schemeClr w14:val="tx1"/>
            </w14:solidFill>
          </w14:textFill>
        </w:rPr>
        <w:t>）》第</w:t>
      </w:r>
      <w:r>
        <w:rPr>
          <w:rFonts w:ascii="Times New Roman" w:hAnsi="Times New Roman" w:eastAsia="宋体"/>
          <w:color w:val="000000" w:themeColor="text1"/>
          <w:sz w:val="21"/>
          <w:szCs w:val="21"/>
          <w14:textFill>
            <w14:solidFill>
              <w14:schemeClr w14:val="tx1"/>
            </w14:solidFill>
          </w14:textFill>
        </w:rPr>
        <w:t>8.2.4</w:t>
      </w:r>
      <w:r>
        <w:rPr>
          <w:rFonts w:hint="eastAsia" w:ascii="Times New Roman" w:hAnsi="Times New Roman" w:eastAsia="宋体"/>
          <w:color w:val="000000" w:themeColor="text1"/>
          <w:sz w:val="21"/>
          <w:szCs w:val="21"/>
          <w14:textFill>
            <w14:solidFill>
              <w14:schemeClr w14:val="tx1"/>
            </w14:solidFill>
          </w14:textFill>
        </w:rPr>
        <w:t>条款执行。</w:t>
      </w:r>
    </w:p>
    <w:p>
      <w:pPr>
        <w:pStyle w:val="201"/>
        <w:adjustRightInd w:val="0"/>
        <w:snapToGrid w:val="0"/>
        <w:spacing w:line="360" w:lineRule="auto"/>
        <w:rPr>
          <w:rFonts w:ascii="Times New Roman" w:hAnsi="Times New Roman" w:eastAsia="宋体"/>
          <w:color w:val="000000" w:themeColor="text1"/>
          <w:sz w:val="21"/>
          <w:szCs w:val="21"/>
          <w14:textFill>
            <w14:solidFill>
              <w14:schemeClr w14:val="tx1"/>
            </w14:solidFill>
          </w14:textFill>
        </w:rPr>
      </w:pPr>
      <w:r>
        <w:rPr>
          <w:rFonts w:ascii="Times New Roman" w:hAnsi="Times New Roman" w:eastAsia="宋体"/>
          <w:color w:val="000000" w:themeColor="text1"/>
          <w:sz w:val="21"/>
          <w:szCs w:val="21"/>
          <w14:textFill>
            <w14:solidFill>
              <w14:schemeClr w14:val="tx1"/>
            </w14:solidFill>
          </w14:textFill>
        </w:rPr>
        <w:t>3</w:t>
      </w:r>
      <w:r>
        <w:rPr>
          <w:rFonts w:hint="eastAsia" w:ascii="Times New Roman" w:hAnsi="Times New Roman" w:eastAsia="宋体"/>
          <w:color w:val="000000" w:themeColor="text1"/>
          <w:sz w:val="21"/>
          <w:szCs w:val="21"/>
          <w14:textFill>
            <w14:solidFill>
              <w14:schemeClr w14:val="tx1"/>
            </w14:solidFill>
          </w14:textFill>
        </w:rPr>
        <w:t>、继电器及通信室和主控制室应设置屏蔽网，墙面、天花采用</w:t>
      </w:r>
      <w:r>
        <w:rPr>
          <w:rFonts w:ascii="Times New Roman" w:hAnsi="Times New Roman" w:eastAsia="宋体"/>
          <w:color w:val="000000" w:themeColor="text1"/>
          <w:sz w:val="21"/>
          <w:szCs w:val="21"/>
          <w14:textFill>
            <w14:solidFill>
              <w14:schemeClr w14:val="tx1"/>
            </w14:solidFill>
          </w14:textFill>
        </w:rPr>
        <w:t>∅3</w:t>
      </w:r>
      <w:r>
        <w:rPr>
          <w:rFonts w:hint="eastAsia" w:ascii="Times New Roman" w:hAnsi="Times New Roman" w:eastAsia="宋体"/>
          <w:color w:val="000000" w:themeColor="text1"/>
          <w:sz w:val="21"/>
          <w:szCs w:val="21"/>
          <w14:textFill>
            <w14:solidFill>
              <w14:schemeClr w14:val="tx1"/>
            </w14:solidFill>
          </w14:textFill>
        </w:rPr>
        <w:t>钢丝焊接成</w:t>
      </w:r>
      <w:r>
        <w:rPr>
          <w:rFonts w:ascii="Times New Roman" w:hAnsi="Times New Roman" w:eastAsia="宋体"/>
          <w:color w:val="000000" w:themeColor="text1"/>
          <w:sz w:val="21"/>
          <w:szCs w:val="21"/>
          <w14:textFill>
            <w14:solidFill>
              <w14:schemeClr w14:val="tx1"/>
            </w14:solidFill>
          </w14:textFill>
        </w:rPr>
        <w:t>20mm</w:t>
      </w:r>
      <w:r>
        <w:rPr>
          <w:rFonts w:hint="eastAsia" w:ascii="Times New Roman" w:hAnsi="Times New Roman" w:eastAsia="宋体"/>
          <w:color w:val="000000" w:themeColor="text1"/>
          <w:sz w:val="21"/>
          <w:szCs w:val="21"/>
          <w14:textFill>
            <w14:solidFill>
              <w14:schemeClr w14:val="tx1"/>
            </w14:solidFill>
          </w14:textFill>
        </w:rPr>
        <w:t>×</w:t>
      </w:r>
      <w:r>
        <w:rPr>
          <w:rFonts w:ascii="Times New Roman" w:hAnsi="Times New Roman" w:eastAsia="宋体"/>
          <w:color w:val="000000" w:themeColor="text1"/>
          <w:sz w:val="21"/>
          <w:szCs w:val="21"/>
          <w14:textFill>
            <w14:solidFill>
              <w14:schemeClr w14:val="tx1"/>
            </w14:solidFill>
          </w14:textFill>
        </w:rPr>
        <w:t>20mm</w:t>
      </w:r>
      <w:r>
        <w:rPr>
          <w:rFonts w:hint="eastAsia" w:ascii="Times New Roman" w:hAnsi="Times New Roman" w:eastAsia="宋体"/>
          <w:color w:val="000000" w:themeColor="text1"/>
          <w:sz w:val="21"/>
          <w:szCs w:val="21"/>
          <w14:textFill>
            <w14:solidFill>
              <w14:schemeClr w14:val="tx1"/>
            </w14:solidFill>
          </w14:textFill>
        </w:rPr>
        <w:t>的网格，楼（地）面采用</w:t>
      </w:r>
      <w:r>
        <w:rPr>
          <w:rFonts w:ascii="Times New Roman" w:hAnsi="Times New Roman" w:eastAsia="宋体"/>
          <w:color w:val="000000" w:themeColor="text1"/>
          <w:sz w:val="21"/>
          <w:szCs w:val="21"/>
          <w14:textFill>
            <w14:solidFill>
              <w14:schemeClr w14:val="tx1"/>
            </w14:solidFill>
          </w14:textFill>
        </w:rPr>
        <w:t>∅4</w:t>
      </w:r>
      <w:r>
        <w:rPr>
          <w:rFonts w:hint="eastAsia" w:ascii="Times New Roman" w:hAnsi="Times New Roman" w:eastAsia="宋体"/>
          <w:color w:val="000000" w:themeColor="text1"/>
          <w:sz w:val="21"/>
          <w:szCs w:val="21"/>
          <w14:textFill>
            <w14:solidFill>
              <w14:schemeClr w14:val="tx1"/>
            </w14:solidFill>
          </w14:textFill>
        </w:rPr>
        <w:t>钢丝焊接成</w:t>
      </w:r>
      <w:r>
        <w:rPr>
          <w:rFonts w:ascii="Times New Roman" w:hAnsi="Times New Roman" w:eastAsia="宋体"/>
          <w:color w:val="000000" w:themeColor="text1"/>
          <w:sz w:val="21"/>
          <w:szCs w:val="21"/>
          <w14:textFill>
            <w14:solidFill>
              <w14:schemeClr w14:val="tx1"/>
            </w14:solidFill>
          </w14:textFill>
        </w:rPr>
        <w:t>150mm</w:t>
      </w:r>
      <w:r>
        <w:rPr>
          <w:rFonts w:hint="eastAsia" w:ascii="Times New Roman" w:hAnsi="Times New Roman" w:eastAsia="宋体"/>
          <w:color w:val="000000" w:themeColor="text1"/>
          <w:sz w:val="21"/>
          <w:szCs w:val="21"/>
          <w14:textFill>
            <w14:solidFill>
              <w14:schemeClr w14:val="tx1"/>
            </w14:solidFill>
          </w14:textFill>
        </w:rPr>
        <w:t>×</w:t>
      </w:r>
      <w:r>
        <w:rPr>
          <w:rFonts w:ascii="Times New Roman" w:hAnsi="Times New Roman" w:eastAsia="宋体"/>
          <w:color w:val="000000" w:themeColor="text1"/>
          <w:sz w:val="21"/>
          <w:szCs w:val="21"/>
          <w14:textFill>
            <w14:solidFill>
              <w14:schemeClr w14:val="tx1"/>
            </w14:solidFill>
          </w14:textFill>
        </w:rPr>
        <w:t>150mm</w:t>
      </w:r>
      <w:r>
        <w:rPr>
          <w:rFonts w:hint="eastAsia" w:ascii="Times New Roman" w:hAnsi="Times New Roman" w:eastAsia="宋体"/>
          <w:color w:val="000000" w:themeColor="text1"/>
          <w:sz w:val="21"/>
          <w:szCs w:val="21"/>
          <w14:textFill>
            <w14:solidFill>
              <w14:schemeClr w14:val="tx1"/>
            </w14:solidFill>
          </w14:textFill>
        </w:rPr>
        <w:t>的网格，上述各部位或相同部位的不同网片之间均应互相焊接，形成六面体屏蔽。</w:t>
      </w:r>
    </w:p>
    <w:p>
      <w:pPr>
        <w:pStyle w:val="201"/>
        <w:adjustRightInd w:val="0"/>
        <w:snapToGrid w:val="0"/>
        <w:spacing w:line="360" w:lineRule="auto"/>
        <w:rPr>
          <w:rFonts w:ascii="Times New Roman" w:hAnsi="Times New Roman" w:eastAsia="宋体"/>
          <w:color w:val="000000" w:themeColor="text1"/>
          <w:sz w:val="21"/>
          <w:szCs w:val="21"/>
          <w14:textFill>
            <w14:solidFill>
              <w14:schemeClr w14:val="tx1"/>
            </w14:solidFill>
          </w14:textFill>
        </w:rPr>
      </w:pPr>
      <w:r>
        <w:rPr>
          <w:rFonts w:ascii="Times New Roman" w:hAnsi="Times New Roman" w:eastAsia="宋体"/>
          <w:color w:val="000000" w:themeColor="text1"/>
          <w:sz w:val="21"/>
          <w:szCs w:val="21"/>
          <w14:textFill>
            <w14:solidFill>
              <w14:schemeClr w14:val="tx1"/>
            </w14:solidFill>
          </w14:textFill>
        </w:rPr>
        <w:t>4</w:t>
      </w:r>
      <w:r>
        <w:rPr>
          <w:rFonts w:hint="eastAsia" w:ascii="Times New Roman" w:hAnsi="Times New Roman" w:eastAsia="宋体"/>
          <w:color w:val="000000" w:themeColor="text1"/>
          <w:sz w:val="21"/>
          <w:szCs w:val="21"/>
          <w14:textFill>
            <w14:solidFill>
              <w14:schemeClr w14:val="tx1"/>
            </w14:solidFill>
          </w14:textFill>
        </w:rPr>
        <w:t>、蓄电池室内的窗玻璃（如有）应采用毛玻璃或涂以半透明油漆的玻璃，阳光不应直射室内。蓄电池室不应有与蓄电池无关的设备和通道。蓄电池室走廊墙面不宜开设百叶窗或玻璃窗，与蓄电池室相邻房间的墙体上也不应留有任何门窗及孔洞。</w:t>
      </w:r>
    </w:p>
    <w:p>
      <w:pPr>
        <w:pStyle w:val="201"/>
        <w:adjustRightInd w:val="0"/>
        <w:snapToGrid w:val="0"/>
        <w:spacing w:line="360" w:lineRule="auto"/>
        <w:rPr>
          <w:rFonts w:ascii="Times New Roman" w:hAnsi="Times New Roman" w:eastAsia="宋体"/>
          <w:color w:val="000000" w:themeColor="text1"/>
          <w:sz w:val="21"/>
          <w:szCs w:val="21"/>
          <w14:textFill>
            <w14:solidFill>
              <w14:schemeClr w14:val="tx1"/>
            </w14:solidFill>
          </w14:textFill>
        </w:rPr>
      </w:pPr>
      <w:r>
        <w:rPr>
          <w:rFonts w:ascii="Times New Roman" w:hAnsi="Times New Roman" w:eastAsia="宋体"/>
          <w:color w:val="000000" w:themeColor="text1"/>
          <w:sz w:val="21"/>
          <w:szCs w:val="21"/>
          <w14:textFill>
            <w14:solidFill>
              <w14:schemeClr w14:val="tx1"/>
            </w14:solidFill>
          </w14:textFill>
        </w:rPr>
        <w:t>3</w:t>
      </w:r>
      <w:r>
        <w:rPr>
          <w:rFonts w:hint="eastAsia" w:ascii="Times New Roman" w:hAnsi="Times New Roman" w:eastAsia="宋体"/>
          <w:color w:val="000000" w:themeColor="text1"/>
          <w:sz w:val="21"/>
          <w:szCs w:val="21"/>
          <w14:textFill>
            <w14:solidFill>
              <w14:schemeClr w14:val="tx1"/>
            </w14:solidFill>
          </w14:textFill>
        </w:rPr>
        <w:t>、蓄电池室应采用非燃性建筑材料，顶棚宜做成平顶，不应吊天棚，也不宜采用折板或槽型天花板。</w:t>
      </w:r>
    </w:p>
    <w:p>
      <w:pPr>
        <w:pStyle w:val="201"/>
        <w:adjustRightInd w:val="0"/>
        <w:snapToGrid w:val="0"/>
        <w:spacing w:line="360" w:lineRule="auto"/>
        <w:rPr>
          <w:rFonts w:ascii="Times New Roman" w:hAnsi="Times New Roman" w:eastAsia="宋体"/>
          <w:color w:val="000000" w:themeColor="text1"/>
          <w:sz w:val="21"/>
          <w:szCs w:val="21"/>
          <w14:textFill>
            <w14:solidFill>
              <w14:schemeClr w14:val="tx1"/>
            </w14:solidFill>
          </w14:textFill>
        </w:rPr>
      </w:pPr>
      <w:r>
        <w:rPr>
          <w:rFonts w:ascii="Times New Roman" w:hAnsi="Times New Roman" w:eastAsia="宋体"/>
          <w:color w:val="000000" w:themeColor="text1"/>
          <w:sz w:val="21"/>
          <w:szCs w:val="21"/>
          <w14:textFill>
            <w14:solidFill>
              <w14:schemeClr w14:val="tx1"/>
            </w14:solidFill>
          </w14:textFill>
        </w:rPr>
        <w:t>4</w:t>
      </w:r>
      <w:r>
        <w:rPr>
          <w:rFonts w:hint="eastAsia" w:ascii="Times New Roman" w:hAnsi="Times New Roman" w:eastAsia="宋体"/>
          <w:color w:val="000000" w:themeColor="text1"/>
          <w:sz w:val="21"/>
          <w:szCs w:val="21"/>
          <w14:textFill>
            <w14:solidFill>
              <w14:schemeClr w14:val="tx1"/>
            </w14:solidFill>
          </w14:textFill>
        </w:rPr>
        <w:t>、蓄电池室的门应向外开启，应采用非燃烧体或难燃烧体的实体门，门的尺寸不应小于</w:t>
      </w:r>
      <w:r>
        <w:rPr>
          <w:rFonts w:ascii="Times New Roman" w:hAnsi="Times New Roman" w:eastAsia="宋体"/>
          <w:color w:val="000000" w:themeColor="text1"/>
          <w:sz w:val="21"/>
          <w:szCs w:val="21"/>
          <w14:textFill>
            <w14:solidFill>
              <w14:schemeClr w14:val="tx1"/>
            </w14:solidFill>
          </w14:textFill>
        </w:rPr>
        <w:t>750mm</w:t>
      </w:r>
      <w:r>
        <w:rPr>
          <w:rFonts w:hint="eastAsia" w:ascii="Times New Roman" w:hAnsi="Times New Roman" w:eastAsia="宋体"/>
          <w:color w:val="000000" w:themeColor="text1"/>
          <w:sz w:val="21"/>
          <w:szCs w:val="21"/>
          <w14:textFill>
            <w14:solidFill>
              <w14:schemeClr w14:val="tx1"/>
            </w14:solidFill>
          </w14:textFill>
        </w:rPr>
        <w:t>×</w:t>
      </w:r>
      <w:r>
        <w:rPr>
          <w:rFonts w:ascii="Times New Roman" w:hAnsi="Times New Roman" w:eastAsia="宋体"/>
          <w:color w:val="000000" w:themeColor="text1"/>
          <w:sz w:val="21"/>
          <w:szCs w:val="21"/>
          <w14:textFill>
            <w14:solidFill>
              <w14:schemeClr w14:val="tx1"/>
            </w14:solidFill>
          </w14:textFill>
        </w:rPr>
        <w:t>1960mm</w:t>
      </w:r>
      <w:r>
        <w:rPr>
          <w:rFonts w:hint="eastAsia" w:ascii="Times New Roman" w:hAnsi="Times New Roman" w:eastAsia="宋体"/>
          <w:color w:val="000000" w:themeColor="text1"/>
          <w:sz w:val="21"/>
          <w:szCs w:val="21"/>
          <w14:textFill>
            <w14:solidFill>
              <w14:schemeClr w14:val="tx1"/>
            </w14:solidFill>
          </w14:textFill>
        </w:rPr>
        <w:t>（宽×高）。</w:t>
      </w:r>
    </w:p>
    <w:p>
      <w:pPr>
        <w:pStyle w:val="201"/>
        <w:adjustRightInd w:val="0"/>
        <w:snapToGrid w:val="0"/>
        <w:spacing w:line="360" w:lineRule="auto"/>
        <w:rPr>
          <w:rFonts w:ascii="Times New Roman" w:hAnsi="Times New Roman" w:eastAsia="宋体"/>
          <w:color w:val="000000" w:themeColor="text1"/>
          <w:sz w:val="21"/>
          <w:szCs w:val="21"/>
          <w14:textFill>
            <w14:solidFill>
              <w14:schemeClr w14:val="tx1"/>
            </w14:solidFill>
          </w14:textFill>
        </w:rPr>
      </w:pPr>
      <w:r>
        <w:rPr>
          <w:rFonts w:ascii="Times New Roman" w:hAnsi="Times New Roman" w:eastAsia="宋体"/>
          <w:color w:val="000000" w:themeColor="text1"/>
          <w:sz w:val="21"/>
          <w:szCs w:val="21"/>
          <w14:textFill>
            <w14:solidFill>
              <w14:schemeClr w14:val="tx1"/>
            </w14:solidFill>
          </w14:textFill>
        </w:rPr>
        <w:t>5</w:t>
      </w:r>
      <w:r>
        <w:rPr>
          <w:rFonts w:hint="eastAsia" w:ascii="Times New Roman" w:hAnsi="Times New Roman" w:eastAsia="宋体"/>
          <w:color w:val="000000" w:themeColor="text1"/>
          <w:sz w:val="21"/>
          <w:szCs w:val="21"/>
          <w14:textFill>
            <w14:solidFill>
              <w14:schemeClr w14:val="tx1"/>
            </w14:solidFill>
          </w14:textFill>
        </w:rPr>
        <w:t>、蓄电池室面积、蓄电池架的安装位置及尺寸、是否需要预埋槽钢（用于接地）、蓄电池电源电缆所需的预埋管规格和位置、蓄电池重量由甲方按工程实际情况另行提资。</w:t>
      </w:r>
    </w:p>
    <w:p>
      <w:pPr>
        <w:pStyle w:val="201"/>
        <w:adjustRightInd w:val="0"/>
        <w:snapToGrid w:val="0"/>
        <w:spacing w:line="360" w:lineRule="auto"/>
        <w:rPr>
          <w:rFonts w:ascii="Times New Roman" w:hAnsi="Times New Roman" w:eastAsia="宋体"/>
          <w:color w:val="000000" w:themeColor="text1"/>
          <w:sz w:val="21"/>
          <w:szCs w:val="21"/>
          <w14:textFill>
            <w14:solidFill>
              <w14:schemeClr w14:val="tx1"/>
            </w14:solidFill>
          </w14:textFill>
        </w:rPr>
      </w:pPr>
      <w:r>
        <w:rPr>
          <w:rFonts w:ascii="Times New Roman" w:hAnsi="Times New Roman" w:eastAsia="宋体"/>
          <w:color w:val="000000" w:themeColor="text1"/>
          <w:sz w:val="21"/>
          <w:szCs w:val="21"/>
          <w14:textFill>
            <w14:solidFill>
              <w14:schemeClr w14:val="tx1"/>
            </w14:solidFill>
          </w14:textFill>
        </w:rPr>
        <w:t>6</w:t>
      </w:r>
      <w:r>
        <w:rPr>
          <w:rFonts w:hint="eastAsia" w:ascii="Times New Roman" w:hAnsi="Times New Roman" w:eastAsia="宋体"/>
          <w:color w:val="000000" w:themeColor="text1"/>
          <w:sz w:val="21"/>
          <w:szCs w:val="21"/>
          <w14:textFill>
            <w14:solidFill>
              <w14:schemeClr w14:val="tx1"/>
            </w14:solidFill>
          </w14:textFill>
        </w:rPr>
        <w:t>、蓄电池由甲方提供、现场安装，预制舱集成厂家仅负责按甲方提资预留位置、预埋槽钢、埋管。</w:t>
      </w:r>
    </w:p>
    <w:p>
      <w:pPr>
        <w:pStyle w:val="201"/>
        <w:adjustRightInd w:val="0"/>
        <w:snapToGrid w:val="0"/>
        <w:spacing w:line="360" w:lineRule="auto"/>
        <w:rPr>
          <w:rFonts w:ascii="Times New Roman" w:hAnsi="Times New Roman" w:eastAsia="宋体"/>
          <w:color w:val="000000" w:themeColor="text1"/>
          <w:sz w:val="21"/>
          <w:szCs w:val="21"/>
          <w14:textFill>
            <w14:solidFill>
              <w14:schemeClr w14:val="tx1"/>
            </w14:solidFill>
          </w14:textFill>
        </w:rPr>
      </w:pPr>
      <w:r>
        <w:rPr>
          <w:rFonts w:ascii="Times New Roman" w:hAnsi="Times New Roman" w:eastAsia="宋体"/>
          <w:color w:val="000000" w:themeColor="text1"/>
          <w:sz w:val="21"/>
          <w:szCs w:val="21"/>
          <w14:textFill>
            <w14:solidFill>
              <w14:schemeClr w14:val="tx1"/>
            </w14:solidFill>
          </w14:textFill>
        </w:rPr>
        <w:t>7</w:t>
      </w:r>
      <w:r>
        <w:rPr>
          <w:rFonts w:hint="eastAsia" w:ascii="Times New Roman" w:hAnsi="Times New Roman" w:eastAsia="宋体"/>
          <w:color w:val="000000" w:themeColor="text1"/>
          <w:sz w:val="21"/>
          <w:szCs w:val="21"/>
          <w14:textFill>
            <w14:solidFill>
              <w14:schemeClr w14:val="tx1"/>
            </w14:solidFill>
          </w14:textFill>
        </w:rPr>
        <w:t>、蓄电池内辅控系统要求见</w:t>
      </w:r>
      <w:r>
        <w:rPr>
          <w:rFonts w:ascii="Times New Roman" w:hAnsi="Times New Roman" w:eastAsia="宋体"/>
          <w:color w:val="000000" w:themeColor="text1"/>
          <w:sz w:val="21"/>
          <w:szCs w:val="21"/>
          <w14:textFill>
            <w14:solidFill>
              <w14:schemeClr w14:val="tx1"/>
            </w14:solidFill>
          </w14:textFill>
        </w:rPr>
        <w:t>5.3</w:t>
      </w:r>
      <w:r>
        <w:rPr>
          <w:rFonts w:hint="eastAsia" w:ascii="Times New Roman" w:hAnsi="Times New Roman" w:eastAsia="宋体"/>
          <w:color w:val="000000" w:themeColor="text1"/>
          <w:sz w:val="21"/>
          <w:szCs w:val="21"/>
          <w14:textFill>
            <w14:solidFill>
              <w14:schemeClr w14:val="tx1"/>
            </w14:solidFill>
          </w14:textFill>
        </w:rPr>
        <w:t>。</w:t>
      </w:r>
    </w:p>
    <w:p>
      <w:pPr>
        <w:pStyle w:val="201"/>
        <w:adjustRightInd w:val="0"/>
        <w:snapToGrid w:val="0"/>
        <w:spacing w:line="360" w:lineRule="auto"/>
        <w:rPr>
          <w:rFonts w:ascii="Times New Roman" w:hAnsi="Times New Roman" w:eastAsia="宋体"/>
          <w:color w:val="000000" w:themeColor="text1"/>
          <w:sz w:val="21"/>
          <w:szCs w:val="21"/>
          <w14:textFill>
            <w14:solidFill>
              <w14:schemeClr w14:val="tx1"/>
            </w14:solidFill>
          </w14:textFill>
        </w:rPr>
      </w:pPr>
      <w:r>
        <w:rPr>
          <w:rFonts w:ascii="Times New Roman" w:hAnsi="Times New Roman" w:eastAsia="宋体"/>
          <w:color w:val="000000" w:themeColor="text1"/>
          <w:sz w:val="21"/>
          <w:szCs w:val="21"/>
          <w14:textFill>
            <w14:solidFill>
              <w14:schemeClr w14:val="tx1"/>
            </w14:solidFill>
          </w14:textFill>
        </w:rPr>
        <w:t>8</w:t>
      </w:r>
      <w:r>
        <w:rPr>
          <w:rFonts w:hint="eastAsia" w:ascii="Times New Roman" w:hAnsi="Times New Roman" w:eastAsia="宋体"/>
          <w:color w:val="000000" w:themeColor="text1"/>
          <w:sz w:val="21"/>
          <w:szCs w:val="21"/>
          <w14:textFill>
            <w14:solidFill>
              <w14:schemeClr w14:val="tx1"/>
            </w14:solidFill>
          </w14:textFill>
        </w:rPr>
        <w:t>、在蓄电池室中加装具有防爆性能、能自启动空调，具体要求以暖通专业要求为准。</w:t>
      </w:r>
    </w:p>
    <w:p>
      <w:pPr>
        <w:pStyle w:val="201"/>
        <w:adjustRightInd w:val="0"/>
        <w:snapToGrid w:val="0"/>
        <w:spacing w:line="360" w:lineRule="auto"/>
        <w:rPr>
          <w:rFonts w:ascii="Times New Roman" w:hAnsi="Times New Roman" w:eastAsia="宋体"/>
          <w:color w:val="000000" w:themeColor="text1"/>
          <w:sz w:val="21"/>
          <w:szCs w:val="21"/>
          <w14:textFill>
            <w14:solidFill>
              <w14:schemeClr w14:val="tx1"/>
            </w14:solidFill>
          </w14:textFill>
        </w:rPr>
      </w:pPr>
      <w:r>
        <w:rPr>
          <w:rFonts w:ascii="Times New Roman" w:hAnsi="Times New Roman" w:eastAsia="宋体"/>
          <w:color w:val="000000" w:themeColor="text1"/>
          <w:sz w:val="21"/>
          <w:szCs w:val="21"/>
          <w14:textFill>
            <w14:solidFill>
              <w14:schemeClr w14:val="tx1"/>
            </w14:solidFill>
          </w14:textFill>
        </w:rPr>
        <w:t>9</w:t>
      </w:r>
      <w:r>
        <w:rPr>
          <w:rFonts w:hint="eastAsia" w:ascii="Times New Roman" w:hAnsi="Times New Roman" w:eastAsia="宋体"/>
          <w:color w:val="000000" w:themeColor="text1"/>
          <w:sz w:val="21"/>
          <w:szCs w:val="21"/>
          <w14:textFill>
            <w14:solidFill>
              <w14:schemeClr w14:val="tx1"/>
            </w14:solidFill>
          </w14:textFill>
        </w:rPr>
        <w:t>、二次设备室内应设环形接地母线，并应就近两点以上（含两点）接至总接地网。环形接地母线一般应采用截面不小于</w:t>
      </w:r>
      <w:r>
        <w:rPr>
          <w:rFonts w:ascii="Times New Roman" w:hAnsi="Times New Roman" w:eastAsia="宋体"/>
          <w:color w:val="000000" w:themeColor="text1"/>
          <w:sz w:val="21"/>
          <w:szCs w:val="21"/>
          <w14:textFill>
            <w14:solidFill>
              <w14:schemeClr w14:val="tx1"/>
            </w14:solidFill>
          </w14:textFill>
        </w:rPr>
        <w:t>90mm</w:t>
      </w:r>
      <w:r>
        <w:rPr>
          <w:rFonts w:ascii="Times New Roman" w:hAnsi="Times New Roman" w:eastAsia="宋体"/>
          <w:color w:val="000000" w:themeColor="text1"/>
          <w:sz w:val="21"/>
          <w:szCs w:val="21"/>
          <w:vertAlign w:val="superscript"/>
          <w14:textFill>
            <w14:solidFill>
              <w14:schemeClr w14:val="tx1"/>
            </w14:solidFill>
          </w14:textFill>
        </w:rPr>
        <w:t>2</w:t>
      </w:r>
      <w:r>
        <w:rPr>
          <w:rFonts w:hint="eastAsia" w:ascii="Times New Roman" w:hAnsi="Times New Roman" w:eastAsia="宋体"/>
          <w:color w:val="000000" w:themeColor="text1"/>
          <w:sz w:val="21"/>
          <w:szCs w:val="21"/>
          <w14:textFill>
            <w14:solidFill>
              <w14:schemeClr w14:val="tx1"/>
            </w14:solidFill>
          </w14:textFill>
        </w:rPr>
        <w:t>的铜排或</w:t>
      </w:r>
      <w:r>
        <w:rPr>
          <w:rFonts w:ascii="Times New Roman" w:hAnsi="Times New Roman" w:eastAsia="宋体"/>
          <w:color w:val="000000" w:themeColor="text1"/>
          <w:sz w:val="21"/>
          <w:szCs w:val="21"/>
          <w14:textFill>
            <w14:solidFill>
              <w14:schemeClr w14:val="tx1"/>
            </w14:solidFill>
          </w14:textFill>
        </w:rPr>
        <w:t>120mm</w:t>
      </w:r>
      <w:r>
        <w:rPr>
          <w:rFonts w:ascii="Times New Roman" w:hAnsi="Times New Roman" w:eastAsia="宋体"/>
          <w:color w:val="000000" w:themeColor="text1"/>
          <w:sz w:val="21"/>
          <w:szCs w:val="21"/>
          <w:vertAlign w:val="superscript"/>
          <w14:textFill>
            <w14:solidFill>
              <w14:schemeClr w14:val="tx1"/>
            </w14:solidFill>
          </w14:textFill>
        </w:rPr>
        <w:t>2</w:t>
      </w:r>
      <w:r>
        <w:rPr>
          <w:rFonts w:hint="eastAsia" w:ascii="Times New Roman" w:hAnsi="Times New Roman" w:eastAsia="宋体"/>
          <w:color w:val="000000" w:themeColor="text1"/>
          <w:sz w:val="21"/>
          <w:szCs w:val="21"/>
          <w14:textFill>
            <w14:solidFill>
              <w14:schemeClr w14:val="tx1"/>
            </w14:solidFill>
          </w14:textFill>
        </w:rPr>
        <w:t>的镀锌扁钢。</w:t>
      </w:r>
    </w:p>
    <w:p>
      <w:pPr>
        <w:pStyle w:val="2"/>
        <w:numPr>
          <w:ilvl w:val="0"/>
          <w:numId w:val="0"/>
        </w:numPr>
        <w:snapToGrid/>
        <w:spacing w:before="0" w:beforeLines="0" w:line="480" w:lineRule="auto"/>
        <w:rPr>
          <w:rFonts w:ascii="黑体" w:eastAsia="黑体"/>
          <w:color w:val="000000" w:themeColor="text1"/>
          <w14:textFill>
            <w14:solidFill>
              <w14:schemeClr w14:val="tx1"/>
            </w14:solidFill>
          </w14:textFill>
        </w:rPr>
      </w:pPr>
      <w:bookmarkStart w:id="99" w:name="_Toc177995334"/>
      <w:r>
        <w:rPr>
          <w:rFonts w:ascii="黑体" w:eastAsia="黑体"/>
          <w:color w:val="000000" w:themeColor="text1"/>
          <w14:textFill>
            <w14:solidFill>
              <w14:schemeClr w14:val="tx1"/>
            </w14:solidFill>
          </w14:textFill>
        </w:rPr>
        <w:t xml:space="preserve">6 </w:t>
      </w:r>
      <w:r>
        <w:rPr>
          <w:rFonts w:hint="eastAsia" w:ascii="黑体" w:eastAsia="黑体"/>
          <w:color w:val="000000" w:themeColor="text1"/>
          <w14:textFill>
            <w14:solidFill>
              <w14:schemeClr w14:val="tx1"/>
            </w14:solidFill>
          </w14:textFill>
        </w:rPr>
        <w:t>★舱体专用部分技术要求</w:t>
      </w:r>
      <w:bookmarkEnd w:id="99"/>
    </w:p>
    <w:p>
      <w:pPr>
        <w:pStyle w:val="3"/>
        <w:numPr>
          <w:ilvl w:val="1"/>
          <w:numId w:val="0"/>
        </w:numPr>
        <w:rPr>
          <w:rFonts w:ascii="黑体" w:hAnsi="黑体" w:eastAsia="黑体"/>
          <w:color w:val="000000" w:themeColor="text1"/>
          <w14:textFill>
            <w14:solidFill>
              <w14:schemeClr w14:val="tx1"/>
            </w14:solidFill>
          </w14:textFill>
        </w:rPr>
      </w:pPr>
      <w:bookmarkStart w:id="100" w:name="_Toc177995335"/>
      <w:bookmarkStart w:id="101" w:name="_Toc119049824"/>
      <w:r>
        <w:rPr>
          <w:rFonts w:ascii="黑体" w:hAnsi="黑体" w:eastAsia="黑体"/>
          <w:color w:val="000000" w:themeColor="text1"/>
          <w14:textFill>
            <w14:solidFill>
              <w14:schemeClr w14:val="tx1"/>
            </w14:solidFill>
          </w14:textFill>
        </w:rPr>
        <w:t xml:space="preserve">6.1 </w:t>
      </w:r>
      <w:r>
        <w:rPr>
          <w:rFonts w:hint="eastAsia" w:ascii="黑体" w:hAnsi="黑体" w:eastAsia="黑体"/>
          <w:color w:val="000000" w:themeColor="text1"/>
          <w14:textFill>
            <w14:solidFill>
              <w14:schemeClr w14:val="tx1"/>
            </w14:solidFill>
          </w14:textFill>
        </w:rPr>
        <w:t>预制舱技术特性要求</w:t>
      </w:r>
      <w:bookmarkEnd w:id="100"/>
      <w:bookmarkEnd w:id="101"/>
    </w:p>
    <w:p>
      <w:pPr>
        <w:pStyle w:val="201"/>
        <w:adjustRightInd w:val="0"/>
        <w:snapToGrid w:val="0"/>
        <w:spacing w:line="360" w:lineRule="auto"/>
        <w:rPr>
          <w:rFonts w:ascii="Times New Roman" w:hAnsi="Times New Roman" w:eastAsia="宋体"/>
          <w:color w:val="000000" w:themeColor="text1"/>
          <w:sz w:val="21"/>
          <w:szCs w:val="21"/>
          <w14:textFill>
            <w14:solidFill>
              <w14:schemeClr w14:val="tx1"/>
            </w14:solidFill>
          </w14:textFill>
        </w:rPr>
      </w:pPr>
      <w:r>
        <w:rPr>
          <w:rFonts w:hint="eastAsia" w:ascii="Times New Roman" w:hAnsi="Times New Roman" w:eastAsia="宋体"/>
          <w:color w:val="000000" w:themeColor="text1"/>
          <w:sz w:val="21"/>
          <w:szCs w:val="21"/>
          <w14:textFill>
            <w14:solidFill>
              <w14:schemeClr w14:val="tx1"/>
            </w14:solidFill>
          </w14:textFill>
        </w:rPr>
        <w:t>投标人应认真逐项填写技术参数响应表中投标人保证值，不能空格，也不能以“响应”两字代替，不允许改动标准参数值。</w:t>
      </w:r>
    </w:p>
    <w:p>
      <w:pPr>
        <w:pStyle w:val="236"/>
        <w:spacing w:line="360" w:lineRule="auto"/>
        <w:ind w:firstLine="0" w:firstLineChars="0"/>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表</w:t>
      </w:r>
      <w:r>
        <w:rPr>
          <w:color w:val="000000" w:themeColor="text1"/>
          <w14:textFill>
            <w14:solidFill>
              <w14:schemeClr w14:val="tx1"/>
            </w14:solidFill>
          </w14:textFill>
        </w:rPr>
        <w:t xml:space="preserve">6.1-1 </w:t>
      </w:r>
      <w:r>
        <w:rPr>
          <w:rFonts w:hint="eastAsia"/>
          <w:color w:val="000000" w:themeColor="text1"/>
          <w14:textFill>
            <w14:solidFill>
              <w14:schemeClr w14:val="tx1"/>
            </w14:solidFill>
          </w14:textFill>
        </w:rPr>
        <w:t>预制舱标准技术参数表（一次、二次通用）</w:t>
      </w:r>
    </w:p>
    <w:tbl>
      <w:tblPr>
        <w:tblStyle w:val="84"/>
        <w:tblW w:w="9125" w:type="dxa"/>
        <w:jc w:val="center"/>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Layout w:type="fixed"/>
        <w:tblCellMar>
          <w:top w:w="0" w:type="dxa"/>
          <w:left w:w="108" w:type="dxa"/>
          <w:bottom w:w="0" w:type="dxa"/>
          <w:right w:w="108" w:type="dxa"/>
        </w:tblCellMar>
      </w:tblPr>
      <w:tblGrid>
        <w:gridCol w:w="837"/>
        <w:gridCol w:w="2141"/>
        <w:gridCol w:w="717"/>
        <w:gridCol w:w="1963"/>
        <w:gridCol w:w="1606"/>
        <w:gridCol w:w="1861"/>
      </w:tblGrid>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488" w:hRule="atLeast"/>
          <w:tblHeader/>
          <w:jc w:val="center"/>
        </w:trPr>
        <w:tc>
          <w:tcPr>
            <w:tcW w:w="837" w:type="dxa"/>
            <w:tcMar>
              <w:top w:w="0" w:type="dxa"/>
              <w:left w:w="85" w:type="dxa"/>
              <w:bottom w:w="0" w:type="dxa"/>
              <w:right w:w="85" w:type="dxa"/>
            </w:tcMar>
            <w:vAlign w:val="center"/>
          </w:tcPr>
          <w:p>
            <w:pPr>
              <w:pStyle w:val="236"/>
              <w:spacing w:line="360" w:lineRule="auto"/>
              <w:ind w:firstLine="0" w:firstLineChars="0"/>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序号</w:t>
            </w:r>
          </w:p>
        </w:tc>
        <w:tc>
          <w:tcPr>
            <w:tcW w:w="2141" w:type="dxa"/>
            <w:tcMar>
              <w:top w:w="0" w:type="dxa"/>
              <w:left w:w="85" w:type="dxa"/>
              <w:bottom w:w="0" w:type="dxa"/>
              <w:right w:w="85" w:type="dxa"/>
            </w:tcMar>
            <w:vAlign w:val="center"/>
          </w:tcPr>
          <w:p>
            <w:pPr>
              <w:pStyle w:val="236"/>
              <w:spacing w:line="360" w:lineRule="auto"/>
              <w:ind w:firstLine="0" w:firstLineChars="0"/>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参数名称</w:t>
            </w:r>
          </w:p>
        </w:tc>
        <w:tc>
          <w:tcPr>
            <w:tcW w:w="717" w:type="dxa"/>
            <w:tcMar>
              <w:top w:w="0" w:type="dxa"/>
              <w:left w:w="85" w:type="dxa"/>
              <w:bottom w:w="0" w:type="dxa"/>
              <w:right w:w="85" w:type="dxa"/>
            </w:tcMar>
            <w:vAlign w:val="center"/>
          </w:tcPr>
          <w:p>
            <w:pPr>
              <w:pStyle w:val="236"/>
              <w:spacing w:line="360" w:lineRule="auto"/>
              <w:ind w:firstLine="0" w:firstLineChars="0"/>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单位</w:t>
            </w:r>
          </w:p>
        </w:tc>
        <w:tc>
          <w:tcPr>
            <w:tcW w:w="1963" w:type="dxa"/>
            <w:tcMar>
              <w:top w:w="0" w:type="dxa"/>
              <w:left w:w="85" w:type="dxa"/>
              <w:bottom w:w="0" w:type="dxa"/>
              <w:right w:w="85" w:type="dxa"/>
            </w:tcMar>
            <w:vAlign w:val="center"/>
          </w:tcPr>
          <w:p>
            <w:pPr>
              <w:pStyle w:val="236"/>
              <w:spacing w:line="360" w:lineRule="auto"/>
              <w:ind w:firstLine="0" w:firstLineChars="0"/>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标准参数值</w:t>
            </w:r>
          </w:p>
        </w:tc>
        <w:tc>
          <w:tcPr>
            <w:tcW w:w="1606" w:type="dxa"/>
            <w:vAlign w:val="center"/>
          </w:tcPr>
          <w:p>
            <w:pPr>
              <w:pStyle w:val="236"/>
              <w:spacing w:line="360" w:lineRule="auto"/>
              <w:ind w:firstLine="0" w:firstLineChars="0"/>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投标人保证值</w:t>
            </w:r>
          </w:p>
        </w:tc>
        <w:tc>
          <w:tcPr>
            <w:tcW w:w="1861" w:type="dxa"/>
            <w:vAlign w:val="center"/>
          </w:tcPr>
          <w:p>
            <w:pPr>
              <w:pStyle w:val="236"/>
              <w:spacing w:line="360" w:lineRule="auto"/>
              <w:ind w:firstLine="0" w:firstLineChars="0"/>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备注</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284" w:hRule="atLeast"/>
          <w:tblHeader/>
          <w:jc w:val="center"/>
        </w:trPr>
        <w:tc>
          <w:tcPr>
            <w:tcW w:w="837" w:type="dxa"/>
            <w:tcMar>
              <w:top w:w="0" w:type="dxa"/>
              <w:left w:w="85" w:type="dxa"/>
              <w:bottom w:w="0" w:type="dxa"/>
              <w:right w:w="85" w:type="dxa"/>
            </w:tcMar>
            <w:vAlign w:val="center"/>
          </w:tcPr>
          <w:p>
            <w:pPr>
              <w:pStyle w:val="236"/>
              <w:spacing w:line="360" w:lineRule="auto"/>
              <w:ind w:firstLine="0" w:firstLineChars="0"/>
              <w:jc w:val="center"/>
              <w:rPr>
                <w:color w:val="000000" w:themeColor="text1"/>
                <w14:textFill>
                  <w14:solidFill>
                    <w14:schemeClr w14:val="tx1"/>
                  </w14:solidFill>
                </w14:textFill>
              </w:rPr>
            </w:pPr>
            <w:r>
              <w:rPr>
                <w:color w:val="000000" w:themeColor="text1"/>
                <w14:textFill>
                  <w14:solidFill>
                    <w14:schemeClr w14:val="tx1"/>
                  </w14:solidFill>
                </w14:textFill>
              </w:rPr>
              <w:t>1</w:t>
            </w:r>
          </w:p>
        </w:tc>
        <w:tc>
          <w:tcPr>
            <w:tcW w:w="2141" w:type="dxa"/>
            <w:tcMar>
              <w:top w:w="0" w:type="dxa"/>
              <w:left w:w="85" w:type="dxa"/>
              <w:bottom w:w="0" w:type="dxa"/>
              <w:right w:w="85" w:type="dxa"/>
            </w:tcMar>
            <w:vAlign w:val="center"/>
          </w:tcPr>
          <w:p>
            <w:pPr>
              <w:pStyle w:val="236"/>
              <w:spacing w:line="360" w:lineRule="auto"/>
              <w:ind w:firstLine="0" w:firstLineChars="0"/>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舱体外壳金属材料耐中性盐雾时间</w:t>
            </w:r>
          </w:p>
        </w:tc>
        <w:tc>
          <w:tcPr>
            <w:tcW w:w="717" w:type="dxa"/>
            <w:tcMar>
              <w:top w:w="0" w:type="dxa"/>
              <w:left w:w="85" w:type="dxa"/>
              <w:bottom w:w="0" w:type="dxa"/>
              <w:right w:w="85" w:type="dxa"/>
            </w:tcMar>
            <w:vAlign w:val="center"/>
          </w:tcPr>
          <w:p>
            <w:pPr>
              <w:pStyle w:val="236"/>
              <w:spacing w:line="360" w:lineRule="auto"/>
              <w:ind w:firstLine="0" w:firstLineChars="0"/>
              <w:jc w:val="center"/>
              <w:rPr>
                <w:color w:val="000000" w:themeColor="text1"/>
                <w14:textFill>
                  <w14:solidFill>
                    <w14:schemeClr w14:val="tx1"/>
                  </w14:solidFill>
                </w14:textFill>
              </w:rPr>
            </w:pPr>
            <w:r>
              <w:rPr>
                <w:color w:val="000000" w:themeColor="text1"/>
                <w14:textFill>
                  <w14:solidFill>
                    <w14:schemeClr w14:val="tx1"/>
                  </w14:solidFill>
                </w14:textFill>
              </w:rPr>
              <w:t>h</w:t>
            </w:r>
          </w:p>
        </w:tc>
        <w:tc>
          <w:tcPr>
            <w:tcW w:w="1963" w:type="dxa"/>
            <w:tcMar>
              <w:top w:w="0" w:type="dxa"/>
              <w:left w:w="85" w:type="dxa"/>
              <w:bottom w:w="0" w:type="dxa"/>
              <w:right w:w="85" w:type="dxa"/>
            </w:tcMar>
            <w:vAlign w:val="center"/>
          </w:tcPr>
          <w:p>
            <w:pPr>
              <w:pStyle w:val="236"/>
              <w:spacing w:line="360" w:lineRule="auto"/>
              <w:ind w:firstLine="0" w:firstLineChars="0"/>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不低于</w:t>
            </w:r>
            <w:r>
              <w:rPr>
                <w:color w:val="000000" w:themeColor="text1"/>
                <w14:textFill>
                  <w14:solidFill>
                    <w14:schemeClr w14:val="tx1"/>
                  </w14:solidFill>
                </w14:textFill>
              </w:rPr>
              <w:t>1440</w:t>
            </w:r>
          </w:p>
        </w:tc>
        <w:tc>
          <w:tcPr>
            <w:tcW w:w="1606" w:type="dxa"/>
            <w:vAlign w:val="center"/>
          </w:tcPr>
          <w:p>
            <w:pPr>
              <w:pStyle w:val="236"/>
              <w:spacing w:line="360" w:lineRule="auto"/>
              <w:ind w:firstLine="0" w:firstLineChars="0"/>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（投标人填写）</w:t>
            </w:r>
          </w:p>
        </w:tc>
        <w:tc>
          <w:tcPr>
            <w:tcW w:w="1861" w:type="dxa"/>
            <w:vAlign w:val="center"/>
          </w:tcPr>
          <w:p>
            <w:pPr>
              <w:pStyle w:val="236"/>
              <w:spacing w:line="360" w:lineRule="auto"/>
              <w:ind w:firstLine="0" w:firstLineChars="0"/>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提供相应的检测报告</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284" w:hRule="atLeast"/>
          <w:tblHeader/>
          <w:jc w:val="center"/>
        </w:trPr>
        <w:tc>
          <w:tcPr>
            <w:tcW w:w="837" w:type="dxa"/>
            <w:tcMar>
              <w:top w:w="0" w:type="dxa"/>
              <w:left w:w="85" w:type="dxa"/>
              <w:bottom w:w="0" w:type="dxa"/>
              <w:right w:w="85" w:type="dxa"/>
            </w:tcMar>
            <w:vAlign w:val="center"/>
          </w:tcPr>
          <w:p>
            <w:pPr>
              <w:pStyle w:val="236"/>
              <w:spacing w:line="360" w:lineRule="auto"/>
              <w:ind w:firstLine="0" w:firstLineChars="0"/>
              <w:jc w:val="center"/>
              <w:rPr>
                <w:color w:val="000000" w:themeColor="text1"/>
                <w14:textFill>
                  <w14:solidFill>
                    <w14:schemeClr w14:val="tx1"/>
                  </w14:solidFill>
                </w14:textFill>
              </w:rPr>
            </w:pPr>
            <w:r>
              <w:rPr>
                <w:color w:val="000000" w:themeColor="text1"/>
                <w14:textFill>
                  <w14:solidFill>
                    <w14:schemeClr w14:val="tx1"/>
                  </w14:solidFill>
                </w14:textFill>
              </w:rPr>
              <w:t>2</w:t>
            </w:r>
          </w:p>
        </w:tc>
        <w:tc>
          <w:tcPr>
            <w:tcW w:w="2141" w:type="dxa"/>
            <w:tcMar>
              <w:top w:w="0" w:type="dxa"/>
              <w:left w:w="85" w:type="dxa"/>
              <w:bottom w:w="0" w:type="dxa"/>
              <w:right w:w="85" w:type="dxa"/>
            </w:tcMar>
            <w:vAlign w:val="center"/>
          </w:tcPr>
          <w:p>
            <w:pPr>
              <w:pStyle w:val="236"/>
              <w:spacing w:line="360" w:lineRule="auto"/>
              <w:ind w:firstLine="0" w:firstLineChars="0"/>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舱体外壳金属材料交变盐雾</w:t>
            </w:r>
          </w:p>
        </w:tc>
        <w:tc>
          <w:tcPr>
            <w:tcW w:w="717" w:type="dxa"/>
            <w:tcMar>
              <w:top w:w="0" w:type="dxa"/>
              <w:left w:w="85" w:type="dxa"/>
              <w:bottom w:w="0" w:type="dxa"/>
              <w:right w:w="85" w:type="dxa"/>
            </w:tcMar>
            <w:vAlign w:val="center"/>
          </w:tcPr>
          <w:p>
            <w:pPr>
              <w:pStyle w:val="236"/>
              <w:spacing w:line="360" w:lineRule="auto"/>
              <w:ind w:firstLine="0" w:firstLineChars="0"/>
              <w:jc w:val="center"/>
              <w:rPr>
                <w:color w:val="000000" w:themeColor="text1"/>
                <w14:textFill>
                  <w14:solidFill>
                    <w14:schemeClr w14:val="tx1"/>
                  </w14:solidFill>
                </w14:textFill>
              </w:rPr>
            </w:pPr>
            <w:r>
              <w:rPr>
                <w:color w:val="000000" w:themeColor="text1"/>
                <w14:textFill>
                  <w14:solidFill>
                    <w14:schemeClr w14:val="tx1"/>
                  </w14:solidFill>
                </w14:textFill>
              </w:rPr>
              <w:t>/</w:t>
            </w:r>
          </w:p>
        </w:tc>
        <w:tc>
          <w:tcPr>
            <w:tcW w:w="1963" w:type="dxa"/>
            <w:tcMar>
              <w:top w:w="0" w:type="dxa"/>
              <w:left w:w="85" w:type="dxa"/>
              <w:bottom w:w="0" w:type="dxa"/>
              <w:right w:w="85" w:type="dxa"/>
            </w:tcMar>
            <w:vAlign w:val="center"/>
          </w:tcPr>
          <w:p>
            <w:pPr>
              <w:pStyle w:val="236"/>
              <w:spacing w:line="360" w:lineRule="auto"/>
              <w:ind w:firstLine="0" w:firstLineChars="0"/>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严酷等级（</w:t>
            </w:r>
            <w:r>
              <w:rPr>
                <w:color w:val="000000" w:themeColor="text1"/>
                <w14:textFill>
                  <w14:solidFill>
                    <w14:schemeClr w14:val="tx1"/>
                  </w14:solidFill>
                </w14:textFill>
              </w:rPr>
              <w:t>2</w:t>
            </w:r>
            <w:r>
              <w:rPr>
                <w:rFonts w:hint="eastAsia"/>
                <w:color w:val="000000" w:themeColor="text1"/>
                <w14:textFill>
                  <w14:solidFill>
                    <w14:schemeClr w14:val="tx1"/>
                  </w14:solidFill>
                </w14:textFill>
              </w:rPr>
              <w:t>）</w:t>
            </w:r>
          </w:p>
        </w:tc>
        <w:tc>
          <w:tcPr>
            <w:tcW w:w="1606" w:type="dxa"/>
            <w:vAlign w:val="center"/>
          </w:tcPr>
          <w:p>
            <w:pPr>
              <w:pStyle w:val="236"/>
              <w:spacing w:line="360" w:lineRule="auto"/>
              <w:ind w:firstLine="0" w:firstLineChars="0"/>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（投标人填写）</w:t>
            </w:r>
          </w:p>
        </w:tc>
        <w:tc>
          <w:tcPr>
            <w:tcW w:w="1861" w:type="dxa"/>
            <w:vAlign w:val="center"/>
          </w:tcPr>
          <w:p>
            <w:pPr>
              <w:pStyle w:val="236"/>
              <w:spacing w:line="360" w:lineRule="auto"/>
              <w:ind w:firstLine="0" w:firstLineChars="0"/>
              <w:jc w:val="center"/>
              <w:rPr>
                <w:color w:val="000000" w:themeColor="text1"/>
                <w14:textFill>
                  <w14:solidFill>
                    <w14:schemeClr w14:val="tx1"/>
                  </w14:solidFill>
                </w14:textFill>
              </w:rPr>
            </w:pP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391" w:hRule="atLeast"/>
          <w:tblHeader/>
          <w:jc w:val="center"/>
        </w:trPr>
        <w:tc>
          <w:tcPr>
            <w:tcW w:w="837" w:type="dxa"/>
            <w:tcMar>
              <w:top w:w="0" w:type="dxa"/>
              <w:left w:w="85" w:type="dxa"/>
              <w:bottom w:w="0" w:type="dxa"/>
              <w:right w:w="85" w:type="dxa"/>
            </w:tcMar>
            <w:vAlign w:val="center"/>
          </w:tcPr>
          <w:p>
            <w:pPr>
              <w:pStyle w:val="236"/>
              <w:spacing w:line="360" w:lineRule="auto"/>
              <w:ind w:firstLine="0" w:firstLineChars="0"/>
              <w:jc w:val="center"/>
              <w:rPr>
                <w:color w:val="000000" w:themeColor="text1"/>
                <w14:textFill>
                  <w14:solidFill>
                    <w14:schemeClr w14:val="tx1"/>
                  </w14:solidFill>
                </w14:textFill>
              </w:rPr>
            </w:pPr>
            <w:r>
              <w:rPr>
                <w:color w:val="000000" w:themeColor="text1"/>
                <w14:textFill>
                  <w14:solidFill>
                    <w14:schemeClr w14:val="tx1"/>
                  </w14:solidFill>
                </w14:textFill>
              </w:rPr>
              <w:t>3</w:t>
            </w:r>
          </w:p>
        </w:tc>
        <w:tc>
          <w:tcPr>
            <w:tcW w:w="2141" w:type="dxa"/>
            <w:tcMar>
              <w:top w:w="0" w:type="dxa"/>
              <w:left w:w="85" w:type="dxa"/>
              <w:bottom w:w="0" w:type="dxa"/>
              <w:right w:w="85" w:type="dxa"/>
            </w:tcMar>
            <w:vAlign w:val="center"/>
          </w:tcPr>
          <w:p>
            <w:pPr>
              <w:pStyle w:val="236"/>
              <w:spacing w:line="360" w:lineRule="auto"/>
              <w:ind w:firstLine="0" w:firstLineChars="0"/>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舱体使用寿命</w:t>
            </w:r>
          </w:p>
        </w:tc>
        <w:tc>
          <w:tcPr>
            <w:tcW w:w="717" w:type="dxa"/>
            <w:tcMar>
              <w:top w:w="0" w:type="dxa"/>
              <w:left w:w="85" w:type="dxa"/>
              <w:bottom w:w="0" w:type="dxa"/>
              <w:right w:w="85" w:type="dxa"/>
            </w:tcMar>
            <w:vAlign w:val="center"/>
          </w:tcPr>
          <w:p>
            <w:pPr>
              <w:pStyle w:val="236"/>
              <w:spacing w:line="360" w:lineRule="auto"/>
              <w:ind w:firstLine="0" w:firstLineChars="0"/>
              <w:jc w:val="center"/>
              <w:rPr>
                <w:color w:val="000000" w:themeColor="text1"/>
                <w14:textFill>
                  <w14:solidFill>
                    <w14:schemeClr w14:val="tx1"/>
                  </w14:solidFill>
                </w14:textFill>
              </w:rPr>
            </w:pPr>
            <w:r>
              <w:rPr>
                <w:color w:val="000000" w:themeColor="text1"/>
                <w14:textFill>
                  <w14:solidFill>
                    <w14:schemeClr w14:val="tx1"/>
                  </w14:solidFill>
                </w14:textFill>
              </w:rPr>
              <w:t>y</w:t>
            </w:r>
          </w:p>
        </w:tc>
        <w:tc>
          <w:tcPr>
            <w:tcW w:w="1963" w:type="dxa"/>
            <w:tcMar>
              <w:top w:w="0" w:type="dxa"/>
              <w:left w:w="85" w:type="dxa"/>
              <w:bottom w:w="0" w:type="dxa"/>
              <w:right w:w="85" w:type="dxa"/>
            </w:tcMar>
            <w:vAlign w:val="center"/>
          </w:tcPr>
          <w:p>
            <w:pPr>
              <w:pStyle w:val="236"/>
              <w:spacing w:line="360" w:lineRule="auto"/>
              <w:ind w:firstLine="0" w:firstLineChars="0"/>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不低于</w:t>
            </w:r>
            <w:r>
              <w:rPr>
                <w:color w:val="000000" w:themeColor="text1"/>
                <w14:textFill>
                  <w14:solidFill>
                    <w14:schemeClr w14:val="tx1"/>
                  </w14:solidFill>
                </w14:textFill>
              </w:rPr>
              <w:t>40</w:t>
            </w:r>
          </w:p>
        </w:tc>
        <w:tc>
          <w:tcPr>
            <w:tcW w:w="1606" w:type="dxa"/>
            <w:vAlign w:val="center"/>
          </w:tcPr>
          <w:p>
            <w:pPr>
              <w:pStyle w:val="236"/>
              <w:spacing w:line="360" w:lineRule="auto"/>
              <w:ind w:firstLine="0" w:firstLineChars="0"/>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（投标人填写）</w:t>
            </w:r>
          </w:p>
        </w:tc>
        <w:tc>
          <w:tcPr>
            <w:tcW w:w="1861" w:type="dxa"/>
            <w:vAlign w:val="center"/>
          </w:tcPr>
          <w:p>
            <w:pPr>
              <w:pStyle w:val="236"/>
              <w:spacing w:line="360" w:lineRule="auto"/>
              <w:ind w:firstLine="0" w:firstLineChars="0"/>
              <w:jc w:val="center"/>
              <w:rPr>
                <w:color w:val="000000" w:themeColor="text1"/>
                <w14:textFill>
                  <w14:solidFill>
                    <w14:schemeClr w14:val="tx1"/>
                  </w14:solidFill>
                </w14:textFill>
              </w:rPr>
            </w:pP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PrEx>
        <w:trPr>
          <w:trHeight w:val="284" w:hRule="atLeast"/>
          <w:tblHeader/>
          <w:jc w:val="center"/>
        </w:trPr>
        <w:tc>
          <w:tcPr>
            <w:tcW w:w="837" w:type="dxa"/>
            <w:tcMar>
              <w:top w:w="0" w:type="dxa"/>
              <w:left w:w="85" w:type="dxa"/>
              <w:bottom w:w="0" w:type="dxa"/>
              <w:right w:w="85" w:type="dxa"/>
            </w:tcMar>
            <w:vAlign w:val="center"/>
          </w:tcPr>
          <w:p>
            <w:pPr>
              <w:pStyle w:val="236"/>
              <w:spacing w:line="360" w:lineRule="auto"/>
              <w:ind w:firstLine="0" w:firstLineChars="0"/>
              <w:jc w:val="center"/>
              <w:rPr>
                <w:color w:val="000000" w:themeColor="text1"/>
                <w14:textFill>
                  <w14:solidFill>
                    <w14:schemeClr w14:val="tx1"/>
                  </w14:solidFill>
                </w14:textFill>
              </w:rPr>
            </w:pPr>
            <w:r>
              <w:rPr>
                <w:color w:val="000000" w:themeColor="text1"/>
                <w14:textFill>
                  <w14:solidFill>
                    <w14:schemeClr w14:val="tx1"/>
                  </w14:solidFill>
                </w14:textFill>
              </w:rPr>
              <w:t>4</w:t>
            </w:r>
          </w:p>
        </w:tc>
        <w:tc>
          <w:tcPr>
            <w:tcW w:w="2141" w:type="dxa"/>
            <w:tcMar>
              <w:top w:w="0" w:type="dxa"/>
              <w:left w:w="85" w:type="dxa"/>
              <w:bottom w:w="0" w:type="dxa"/>
              <w:right w:w="85" w:type="dxa"/>
            </w:tcMar>
            <w:vAlign w:val="center"/>
          </w:tcPr>
          <w:p>
            <w:pPr>
              <w:pStyle w:val="236"/>
              <w:spacing w:line="360" w:lineRule="auto"/>
              <w:ind w:firstLine="0" w:firstLineChars="0"/>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舱体外壳防护等级</w:t>
            </w:r>
          </w:p>
        </w:tc>
        <w:tc>
          <w:tcPr>
            <w:tcW w:w="717" w:type="dxa"/>
            <w:tcMar>
              <w:top w:w="0" w:type="dxa"/>
              <w:left w:w="85" w:type="dxa"/>
              <w:bottom w:w="0" w:type="dxa"/>
              <w:right w:w="85" w:type="dxa"/>
            </w:tcMar>
            <w:vAlign w:val="center"/>
          </w:tcPr>
          <w:p>
            <w:pPr>
              <w:pStyle w:val="236"/>
              <w:spacing w:line="360" w:lineRule="auto"/>
              <w:ind w:firstLine="0" w:firstLineChars="0"/>
              <w:jc w:val="center"/>
              <w:rPr>
                <w:color w:val="000000" w:themeColor="text1"/>
                <w14:textFill>
                  <w14:solidFill>
                    <w14:schemeClr w14:val="tx1"/>
                  </w14:solidFill>
                </w14:textFill>
              </w:rPr>
            </w:pPr>
          </w:p>
        </w:tc>
        <w:tc>
          <w:tcPr>
            <w:tcW w:w="1963" w:type="dxa"/>
            <w:tcMar>
              <w:top w:w="0" w:type="dxa"/>
              <w:left w:w="85" w:type="dxa"/>
              <w:bottom w:w="0" w:type="dxa"/>
              <w:right w:w="85" w:type="dxa"/>
            </w:tcMar>
            <w:vAlign w:val="center"/>
          </w:tcPr>
          <w:p>
            <w:pPr>
              <w:pStyle w:val="236"/>
              <w:spacing w:line="360" w:lineRule="auto"/>
              <w:ind w:firstLine="0" w:firstLineChars="0"/>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不小于</w:t>
            </w:r>
            <w:r>
              <w:rPr>
                <w:color w:val="000000" w:themeColor="text1"/>
                <w14:textFill>
                  <w14:solidFill>
                    <w14:schemeClr w14:val="tx1"/>
                  </w14:solidFill>
                </w14:textFill>
              </w:rPr>
              <w:t>IP55</w:t>
            </w:r>
          </w:p>
        </w:tc>
        <w:tc>
          <w:tcPr>
            <w:tcW w:w="1606" w:type="dxa"/>
            <w:vAlign w:val="center"/>
          </w:tcPr>
          <w:p>
            <w:pPr>
              <w:pStyle w:val="236"/>
              <w:spacing w:line="360" w:lineRule="auto"/>
              <w:ind w:firstLine="0" w:firstLineChars="0"/>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（投标人填写）</w:t>
            </w:r>
          </w:p>
        </w:tc>
        <w:tc>
          <w:tcPr>
            <w:tcW w:w="1861" w:type="dxa"/>
            <w:vAlign w:val="center"/>
          </w:tcPr>
          <w:p>
            <w:pPr>
              <w:pStyle w:val="236"/>
              <w:spacing w:line="360" w:lineRule="auto"/>
              <w:ind w:firstLine="0" w:firstLineChars="0"/>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提供相应的检测报告</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284" w:hRule="atLeast"/>
          <w:tblHeader/>
          <w:jc w:val="center"/>
        </w:trPr>
        <w:tc>
          <w:tcPr>
            <w:tcW w:w="837" w:type="dxa"/>
            <w:tcMar>
              <w:top w:w="0" w:type="dxa"/>
              <w:left w:w="85" w:type="dxa"/>
              <w:bottom w:w="0" w:type="dxa"/>
              <w:right w:w="85" w:type="dxa"/>
            </w:tcMar>
            <w:vAlign w:val="center"/>
          </w:tcPr>
          <w:p>
            <w:pPr>
              <w:pStyle w:val="236"/>
              <w:spacing w:line="360" w:lineRule="auto"/>
              <w:ind w:firstLine="0" w:firstLineChars="0"/>
              <w:jc w:val="center"/>
              <w:rPr>
                <w:color w:val="000000" w:themeColor="text1"/>
                <w14:textFill>
                  <w14:solidFill>
                    <w14:schemeClr w14:val="tx1"/>
                  </w14:solidFill>
                </w14:textFill>
              </w:rPr>
            </w:pPr>
            <w:r>
              <w:rPr>
                <w:color w:val="000000" w:themeColor="text1"/>
                <w14:textFill>
                  <w14:solidFill>
                    <w14:schemeClr w14:val="tx1"/>
                  </w14:solidFill>
                </w14:textFill>
              </w:rPr>
              <w:t>5</w:t>
            </w:r>
          </w:p>
        </w:tc>
        <w:tc>
          <w:tcPr>
            <w:tcW w:w="2141" w:type="dxa"/>
            <w:tcMar>
              <w:top w:w="0" w:type="dxa"/>
              <w:left w:w="85" w:type="dxa"/>
              <w:bottom w:w="0" w:type="dxa"/>
              <w:right w:w="85" w:type="dxa"/>
            </w:tcMar>
            <w:vAlign w:val="center"/>
          </w:tcPr>
          <w:p>
            <w:pPr>
              <w:pStyle w:val="236"/>
              <w:spacing w:line="360" w:lineRule="auto"/>
              <w:ind w:firstLine="0" w:firstLineChars="0"/>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舱体耐火极限</w:t>
            </w:r>
          </w:p>
        </w:tc>
        <w:tc>
          <w:tcPr>
            <w:tcW w:w="717" w:type="dxa"/>
            <w:tcMar>
              <w:top w:w="0" w:type="dxa"/>
              <w:left w:w="85" w:type="dxa"/>
              <w:bottom w:w="0" w:type="dxa"/>
              <w:right w:w="85" w:type="dxa"/>
            </w:tcMar>
            <w:vAlign w:val="center"/>
          </w:tcPr>
          <w:p>
            <w:pPr>
              <w:pStyle w:val="236"/>
              <w:spacing w:line="360" w:lineRule="auto"/>
              <w:ind w:firstLine="0" w:firstLineChars="0"/>
              <w:jc w:val="center"/>
              <w:rPr>
                <w:color w:val="000000" w:themeColor="text1"/>
                <w14:textFill>
                  <w14:solidFill>
                    <w14:schemeClr w14:val="tx1"/>
                  </w14:solidFill>
                </w14:textFill>
              </w:rPr>
            </w:pPr>
            <w:r>
              <w:rPr>
                <w:color w:val="000000" w:themeColor="text1"/>
                <w14:textFill>
                  <w14:solidFill>
                    <w14:schemeClr w14:val="tx1"/>
                  </w14:solidFill>
                </w14:textFill>
              </w:rPr>
              <w:t>min</w:t>
            </w:r>
          </w:p>
        </w:tc>
        <w:tc>
          <w:tcPr>
            <w:tcW w:w="1963" w:type="dxa"/>
            <w:tcMar>
              <w:top w:w="0" w:type="dxa"/>
              <w:left w:w="85" w:type="dxa"/>
              <w:bottom w:w="0" w:type="dxa"/>
              <w:right w:w="85" w:type="dxa"/>
            </w:tcMar>
            <w:vAlign w:val="center"/>
          </w:tcPr>
          <w:p>
            <w:pPr>
              <w:pStyle w:val="236"/>
              <w:spacing w:line="360" w:lineRule="auto"/>
              <w:ind w:firstLine="0" w:firstLineChars="0"/>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不小于</w:t>
            </w:r>
            <w:r>
              <w:rPr>
                <w:color w:val="000000" w:themeColor="text1"/>
                <w14:textFill>
                  <w14:solidFill>
                    <w14:schemeClr w14:val="tx1"/>
                  </w14:solidFill>
                </w14:textFill>
              </w:rPr>
              <w:t>180</w:t>
            </w:r>
          </w:p>
        </w:tc>
        <w:tc>
          <w:tcPr>
            <w:tcW w:w="1606" w:type="dxa"/>
            <w:vAlign w:val="center"/>
          </w:tcPr>
          <w:p>
            <w:pPr>
              <w:pStyle w:val="236"/>
              <w:spacing w:line="360" w:lineRule="auto"/>
              <w:ind w:firstLine="0" w:firstLineChars="0"/>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（投标人填写）</w:t>
            </w:r>
          </w:p>
        </w:tc>
        <w:tc>
          <w:tcPr>
            <w:tcW w:w="1861" w:type="dxa"/>
            <w:vAlign w:val="center"/>
          </w:tcPr>
          <w:p>
            <w:pPr>
              <w:pStyle w:val="236"/>
              <w:spacing w:line="360" w:lineRule="auto"/>
              <w:ind w:firstLine="0" w:firstLineChars="0"/>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提供相应的检测报告</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284" w:hRule="atLeast"/>
          <w:tblHeader/>
          <w:jc w:val="center"/>
        </w:trPr>
        <w:tc>
          <w:tcPr>
            <w:tcW w:w="837" w:type="dxa"/>
            <w:tcMar>
              <w:top w:w="0" w:type="dxa"/>
              <w:left w:w="85" w:type="dxa"/>
              <w:bottom w:w="0" w:type="dxa"/>
              <w:right w:w="85" w:type="dxa"/>
            </w:tcMar>
            <w:vAlign w:val="center"/>
          </w:tcPr>
          <w:p>
            <w:pPr>
              <w:pStyle w:val="236"/>
              <w:spacing w:line="360" w:lineRule="auto"/>
              <w:ind w:firstLine="0" w:firstLineChars="0"/>
              <w:jc w:val="center"/>
              <w:rPr>
                <w:color w:val="000000" w:themeColor="text1"/>
                <w14:textFill>
                  <w14:solidFill>
                    <w14:schemeClr w14:val="tx1"/>
                  </w14:solidFill>
                </w14:textFill>
              </w:rPr>
            </w:pPr>
            <w:r>
              <w:rPr>
                <w:color w:val="000000" w:themeColor="text1"/>
                <w14:textFill>
                  <w14:solidFill>
                    <w14:schemeClr w14:val="tx1"/>
                  </w14:solidFill>
                </w14:textFill>
              </w:rPr>
              <w:t>6</w:t>
            </w:r>
          </w:p>
        </w:tc>
        <w:tc>
          <w:tcPr>
            <w:tcW w:w="2141" w:type="dxa"/>
            <w:tcMar>
              <w:top w:w="0" w:type="dxa"/>
              <w:left w:w="85" w:type="dxa"/>
              <w:bottom w:w="0" w:type="dxa"/>
              <w:right w:w="85" w:type="dxa"/>
            </w:tcMar>
            <w:vAlign w:val="center"/>
          </w:tcPr>
          <w:p>
            <w:pPr>
              <w:pStyle w:val="236"/>
              <w:spacing w:line="360" w:lineRule="auto"/>
              <w:ind w:firstLine="0" w:firstLineChars="0"/>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舱体壁板厚度</w:t>
            </w:r>
          </w:p>
        </w:tc>
        <w:tc>
          <w:tcPr>
            <w:tcW w:w="717" w:type="dxa"/>
            <w:tcMar>
              <w:top w:w="0" w:type="dxa"/>
              <w:left w:w="85" w:type="dxa"/>
              <w:bottom w:w="0" w:type="dxa"/>
              <w:right w:w="85" w:type="dxa"/>
            </w:tcMar>
            <w:vAlign w:val="center"/>
          </w:tcPr>
          <w:p>
            <w:pPr>
              <w:pStyle w:val="236"/>
              <w:spacing w:line="360" w:lineRule="auto"/>
              <w:ind w:firstLine="0" w:firstLineChars="0"/>
              <w:jc w:val="center"/>
              <w:rPr>
                <w:color w:val="000000" w:themeColor="text1"/>
                <w14:textFill>
                  <w14:solidFill>
                    <w14:schemeClr w14:val="tx1"/>
                  </w14:solidFill>
                </w14:textFill>
              </w:rPr>
            </w:pPr>
            <w:r>
              <w:rPr>
                <w:color w:val="000000" w:themeColor="text1"/>
                <w14:textFill>
                  <w14:solidFill>
                    <w14:schemeClr w14:val="tx1"/>
                  </w14:solidFill>
                </w14:textFill>
              </w:rPr>
              <w:t>mm</w:t>
            </w:r>
          </w:p>
        </w:tc>
        <w:tc>
          <w:tcPr>
            <w:tcW w:w="1963" w:type="dxa"/>
            <w:tcMar>
              <w:top w:w="0" w:type="dxa"/>
              <w:left w:w="85" w:type="dxa"/>
              <w:bottom w:w="0" w:type="dxa"/>
              <w:right w:w="85" w:type="dxa"/>
            </w:tcMar>
            <w:vAlign w:val="center"/>
          </w:tcPr>
          <w:p>
            <w:pPr>
              <w:pStyle w:val="236"/>
              <w:spacing w:line="360" w:lineRule="auto"/>
              <w:ind w:firstLine="0" w:firstLineChars="0"/>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不小于</w:t>
            </w:r>
            <w:r>
              <w:rPr>
                <w:color w:val="000000" w:themeColor="text1"/>
                <w14:textFill>
                  <w14:solidFill>
                    <w14:schemeClr w14:val="tx1"/>
                  </w14:solidFill>
                </w14:textFill>
              </w:rPr>
              <w:t>70</w:t>
            </w:r>
          </w:p>
        </w:tc>
        <w:tc>
          <w:tcPr>
            <w:tcW w:w="1606" w:type="dxa"/>
            <w:vAlign w:val="center"/>
          </w:tcPr>
          <w:p>
            <w:pPr>
              <w:pStyle w:val="236"/>
              <w:spacing w:line="360" w:lineRule="auto"/>
              <w:ind w:firstLine="0" w:firstLineChars="0"/>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（投标人填写）</w:t>
            </w:r>
          </w:p>
        </w:tc>
        <w:tc>
          <w:tcPr>
            <w:tcW w:w="1861" w:type="dxa"/>
            <w:vAlign w:val="center"/>
          </w:tcPr>
          <w:p>
            <w:pPr>
              <w:pStyle w:val="236"/>
              <w:spacing w:line="360" w:lineRule="auto"/>
              <w:ind w:firstLine="0" w:firstLineChars="0"/>
              <w:jc w:val="center"/>
              <w:rPr>
                <w:color w:val="0000FF"/>
              </w:rPr>
            </w:pP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449" w:hRule="atLeast"/>
          <w:tblHeader/>
          <w:jc w:val="center"/>
        </w:trPr>
        <w:tc>
          <w:tcPr>
            <w:tcW w:w="837" w:type="dxa"/>
            <w:tcMar>
              <w:top w:w="0" w:type="dxa"/>
              <w:left w:w="85" w:type="dxa"/>
              <w:bottom w:w="0" w:type="dxa"/>
              <w:right w:w="85" w:type="dxa"/>
            </w:tcMar>
            <w:vAlign w:val="center"/>
          </w:tcPr>
          <w:p>
            <w:pPr>
              <w:pStyle w:val="236"/>
              <w:spacing w:line="360" w:lineRule="auto"/>
              <w:ind w:firstLine="0" w:firstLineChars="0"/>
              <w:jc w:val="center"/>
              <w:rPr>
                <w:color w:val="000000" w:themeColor="text1"/>
                <w14:textFill>
                  <w14:solidFill>
                    <w14:schemeClr w14:val="tx1"/>
                  </w14:solidFill>
                </w14:textFill>
              </w:rPr>
            </w:pPr>
            <w:r>
              <w:rPr>
                <w:color w:val="000000" w:themeColor="text1"/>
                <w14:textFill>
                  <w14:solidFill>
                    <w14:schemeClr w14:val="tx1"/>
                  </w14:solidFill>
                </w14:textFill>
              </w:rPr>
              <w:t>7</w:t>
            </w:r>
          </w:p>
        </w:tc>
        <w:tc>
          <w:tcPr>
            <w:tcW w:w="2141" w:type="dxa"/>
            <w:tcMar>
              <w:top w:w="0" w:type="dxa"/>
              <w:left w:w="85" w:type="dxa"/>
              <w:bottom w:w="0" w:type="dxa"/>
              <w:right w:w="85" w:type="dxa"/>
            </w:tcMar>
            <w:vAlign w:val="center"/>
          </w:tcPr>
          <w:p>
            <w:pPr>
              <w:pStyle w:val="236"/>
              <w:spacing w:line="360" w:lineRule="auto"/>
              <w:ind w:firstLine="0" w:firstLineChars="0"/>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门板厚度</w:t>
            </w:r>
          </w:p>
        </w:tc>
        <w:tc>
          <w:tcPr>
            <w:tcW w:w="717" w:type="dxa"/>
            <w:tcMar>
              <w:top w:w="0" w:type="dxa"/>
              <w:left w:w="85" w:type="dxa"/>
              <w:bottom w:w="0" w:type="dxa"/>
              <w:right w:w="85" w:type="dxa"/>
            </w:tcMar>
            <w:vAlign w:val="center"/>
          </w:tcPr>
          <w:p>
            <w:pPr>
              <w:pStyle w:val="236"/>
              <w:spacing w:line="360" w:lineRule="auto"/>
              <w:ind w:firstLine="0" w:firstLineChars="0"/>
              <w:jc w:val="center"/>
              <w:rPr>
                <w:color w:val="000000" w:themeColor="text1"/>
                <w14:textFill>
                  <w14:solidFill>
                    <w14:schemeClr w14:val="tx1"/>
                  </w14:solidFill>
                </w14:textFill>
              </w:rPr>
            </w:pPr>
            <w:r>
              <w:rPr>
                <w:color w:val="000000" w:themeColor="text1"/>
                <w14:textFill>
                  <w14:solidFill>
                    <w14:schemeClr w14:val="tx1"/>
                  </w14:solidFill>
                </w14:textFill>
              </w:rPr>
              <w:t>mm</w:t>
            </w:r>
          </w:p>
        </w:tc>
        <w:tc>
          <w:tcPr>
            <w:tcW w:w="1963" w:type="dxa"/>
            <w:tcMar>
              <w:top w:w="0" w:type="dxa"/>
              <w:left w:w="85" w:type="dxa"/>
              <w:bottom w:w="0" w:type="dxa"/>
              <w:right w:w="85" w:type="dxa"/>
            </w:tcMar>
            <w:vAlign w:val="center"/>
          </w:tcPr>
          <w:p>
            <w:pPr>
              <w:pStyle w:val="236"/>
              <w:spacing w:line="360" w:lineRule="auto"/>
              <w:ind w:firstLine="0" w:firstLineChars="0"/>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不小于</w:t>
            </w:r>
            <w:r>
              <w:rPr>
                <w:color w:val="000000" w:themeColor="text1"/>
                <w14:textFill>
                  <w14:solidFill>
                    <w14:schemeClr w14:val="tx1"/>
                  </w14:solidFill>
                </w14:textFill>
              </w:rPr>
              <w:t>45</w:t>
            </w:r>
          </w:p>
        </w:tc>
        <w:tc>
          <w:tcPr>
            <w:tcW w:w="1606" w:type="dxa"/>
            <w:vAlign w:val="center"/>
          </w:tcPr>
          <w:p>
            <w:pPr>
              <w:pStyle w:val="236"/>
              <w:spacing w:line="360" w:lineRule="auto"/>
              <w:ind w:firstLine="0" w:firstLineChars="0"/>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（投标人填写）</w:t>
            </w:r>
          </w:p>
        </w:tc>
        <w:tc>
          <w:tcPr>
            <w:tcW w:w="1861" w:type="dxa"/>
            <w:vAlign w:val="center"/>
          </w:tcPr>
          <w:p>
            <w:pPr>
              <w:pStyle w:val="236"/>
              <w:spacing w:line="360" w:lineRule="auto"/>
              <w:ind w:firstLine="0" w:firstLineChars="0"/>
              <w:jc w:val="center"/>
              <w:rPr>
                <w:color w:val="000000" w:themeColor="text1"/>
                <w14:textFill>
                  <w14:solidFill>
                    <w14:schemeClr w14:val="tx1"/>
                  </w14:solidFill>
                </w14:textFill>
              </w:rPr>
            </w:pP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412" w:hRule="atLeast"/>
          <w:tblHeader/>
          <w:jc w:val="center"/>
        </w:trPr>
        <w:tc>
          <w:tcPr>
            <w:tcW w:w="837" w:type="dxa"/>
            <w:tcMar>
              <w:top w:w="0" w:type="dxa"/>
              <w:left w:w="85" w:type="dxa"/>
              <w:bottom w:w="0" w:type="dxa"/>
              <w:right w:w="85" w:type="dxa"/>
            </w:tcMar>
            <w:vAlign w:val="center"/>
          </w:tcPr>
          <w:p>
            <w:pPr>
              <w:pStyle w:val="236"/>
              <w:spacing w:line="360" w:lineRule="auto"/>
              <w:ind w:firstLine="0" w:firstLineChars="0"/>
              <w:jc w:val="center"/>
              <w:rPr>
                <w:color w:val="000000" w:themeColor="text1"/>
                <w14:textFill>
                  <w14:solidFill>
                    <w14:schemeClr w14:val="tx1"/>
                  </w14:solidFill>
                </w14:textFill>
              </w:rPr>
            </w:pPr>
            <w:r>
              <w:rPr>
                <w:color w:val="000000" w:themeColor="text1"/>
                <w14:textFill>
                  <w14:solidFill>
                    <w14:schemeClr w14:val="tx1"/>
                  </w14:solidFill>
                </w14:textFill>
              </w:rPr>
              <w:t>8</w:t>
            </w:r>
          </w:p>
        </w:tc>
        <w:tc>
          <w:tcPr>
            <w:tcW w:w="2141" w:type="dxa"/>
            <w:tcMar>
              <w:top w:w="0" w:type="dxa"/>
              <w:left w:w="85" w:type="dxa"/>
              <w:bottom w:w="0" w:type="dxa"/>
              <w:right w:w="85" w:type="dxa"/>
            </w:tcMar>
            <w:vAlign w:val="center"/>
          </w:tcPr>
          <w:p>
            <w:pPr>
              <w:pStyle w:val="236"/>
              <w:spacing w:line="360" w:lineRule="auto"/>
              <w:ind w:firstLine="0" w:firstLineChars="0"/>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舱体气压</w:t>
            </w:r>
          </w:p>
        </w:tc>
        <w:tc>
          <w:tcPr>
            <w:tcW w:w="717" w:type="dxa"/>
            <w:tcMar>
              <w:top w:w="0" w:type="dxa"/>
              <w:left w:w="85" w:type="dxa"/>
              <w:bottom w:w="0" w:type="dxa"/>
              <w:right w:w="85" w:type="dxa"/>
            </w:tcMar>
            <w:vAlign w:val="center"/>
          </w:tcPr>
          <w:p>
            <w:pPr>
              <w:pStyle w:val="236"/>
              <w:spacing w:line="360" w:lineRule="auto"/>
              <w:ind w:firstLine="0" w:firstLineChars="0"/>
              <w:jc w:val="center"/>
              <w:rPr>
                <w:color w:val="000000" w:themeColor="text1"/>
                <w14:textFill>
                  <w14:solidFill>
                    <w14:schemeClr w14:val="tx1"/>
                  </w14:solidFill>
                </w14:textFill>
              </w:rPr>
            </w:pPr>
            <w:r>
              <w:rPr>
                <w:color w:val="000000" w:themeColor="text1"/>
                <w14:textFill>
                  <w14:solidFill>
                    <w14:schemeClr w14:val="tx1"/>
                  </w14:solidFill>
                </w14:textFill>
              </w:rPr>
              <w:t>Pa</w:t>
            </w:r>
          </w:p>
        </w:tc>
        <w:tc>
          <w:tcPr>
            <w:tcW w:w="1963" w:type="dxa"/>
            <w:tcMar>
              <w:top w:w="0" w:type="dxa"/>
              <w:left w:w="85" w:type="dxa"/>
              <w:bottom w:w="0" w:type="dxa"/>
              <w:right w:w="85" w:type="dxa"/>
            </w:tcMar>
            <w:vAlign w:val="center"/>
          </w:tcPr>
          <w:p>
            <w:pPr>
              <w:pStyle w:val="236"/>
              <w:spacing w:line="360" w:lineRule="auto"/>
              <w:ind w:firstLine="0" w:firstLineChars="0"/>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高于大气压</w:t>
            </w:r>
            <w:r>
              <w:rPr>
                <w:color w:val="000000" w:themeColor="text1"/>
                <w14:textFill>
                  <w14:solidFill>
                    <w14:schemeClr w14:val="tx1"/>
                  </w14:solidFill>
                </w14:textFill>
              </w:rPr>
              <w:t>5Pa</w:t>
            </w:r>
          </w:p>
        </w:tc>
        <w:tc>
          <w:tcPr>
            <w:tcW w:w="1606" w:type="dxa"/>
            <w:vAlign w:val="center"/>
          </w:tcPr>
          <w:p>
            <w:pPr>
              <w:pStyle w:val="236"/>
              <w:spacing w:line="360" w:lineRule="auto"/>
              <w:ind w:firstLine="0" w:firstLineChars="0"/>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（投标人填写）</w:t>
            </w:r>
          </w:p>
        </w:tc>
        <w:tc>
          <w:tcPr>
            <w:tcW w:w="1861" w:type="dxa"/>
            <w:vAlign w:val="center"/>
          </w:tcPr>
          <w:p>
            <w:pPr>
              <w:pStyle w:val="236"/>
              <w:spacing w:line="360" w:lineRule="auto"/>
              <w:ind w:firstLine="0" w:firstLineChars="0"/>
              <w:jc w:val="center"/>
              <w:rPr>
                <w:color w:val="000000" w:themeColor="text1"/>
                <w14:textFill>
                  <w14:solidFill>
                    <w14:schemeClr w14:val="tx1"/>
                  </w14:solidFill>
                </w14:textFill>
              </w:rPr>
            </w:pP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284" w:hRule="atLeast"/>
          <w:tblHeader/>
          <w:jc w:val="center"/>
        </w:trPr>
        <w:tc>
          <w:tcPr>
            <w:tcW w:w="837" w:type="dxa"/>
            <w:tcMar>
              <w:top w:w="0" w:type="dxa"/>
              <w:left w:w="85" w:type="dxa"/>
              <w:bottom w:w="0" w:type="dxa"/>
              <w:right w:w="85" w:type="dxa"/>
            </w:tcMar>
            <w:vAlign w:val="center"/>
          </w:tcPr>
          <w:p>
            <w:pPr>
              <w:pStyle w:val="236"/>
              <w:spacing w:line="360" w:lineRule="auto"/>
              <w:ind w:firstLine="0" w:firstLineChars="0"/>
              <w:jc w:val="center"/>
              <w:rPr>
                <w:color w:val="000000" w:themeColor="text1"/>
                <w14:textFill>
                  <w14:solidFill>
                    <w14:schemeClr w14:val="tx1"/>
                  </w14:solidFill>
                </w14:textFill>
              </w:rPr>
            </w:pPr>
            <w:r>
              <w:rPr>
                <w:color w:val="000000" w:themeColor="text1"/>
                <w14:textFill>
                  <w14:solidFill>
                    <w14:schemeClr w14:val="tx1"/>
                  </w14:solidFill>
                </w14:textFill>
              </w:rPr>
              <w:t>9</w:t>
            </w:r>
          </w:p>
        </w:tc>
        <w:tc>
          <w:tcPr>
            <w:tcW w:w="2141" w:type="dxa"/>
            <w:tcMar>
              <w:top w:w="0" w:type="dxa"/>
              <w:left w:w="85" w:type="dxa"/>
              <w:bottom w:w="0" w:type="dxa"/>
              <w:right w:w="85" w:type="dxa"/>
            </w:tcMar>
            <w:vAlign w:val="center"/>
          </w:tcPr>
          <w:p>
            <w:pPr>
              <w:pStyle w:val="236"/>
              <w:spacing w:line="360" w:lineRule="auto"/>
              <w:ind w:firstLine="0" w:firstLineChars="0"/>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抗震性能</w:t>
            </w:r>
          </w:p>
        </w:tc>
        <w:tc>
          <w:tcPr>
            <w:tcW w:w="717" w:type="dxa"/>
            <w:tcMar>
              <w:top w:w="0" w:type="dxa"/>
              <w:left w:w="85" w:type="dxa"/>
              <w:bottom w:w="0" w:type="dxa"/>
              <w:right w:w="85" w:type="dxa"/>
            </w:tcMar>
            <w:vAlign w:val="center"/>
          </w:tcPr>
          <w:p>
            <w:pPr>
              <w:pStyle w:val="236"/>
              <w:spacing w:line="360" w:lineRule="auto"/>
              <w:ind w:firstLine="0" w:firstLineChars="0"/>
              <w:jc w:val="center"/>
              <w:rPr>
                <w:color w:val="000000" w:themeColor="text1"/>
                <w14:textFill>
                  <w14:solidFill>
                    <w14:schemeClr w14:val="tx1"/>
                  </w14:solidFill>
                </w14:textFill>
              </w:rPr>
            </w:pPr>
          </w:p>
        </w:tc>
        <w:tc>
          <w:tcPr>
            <w:tcW w:w="1963" w:type="dxa"/>
            <w:tcMar>
              <w:top w:w="0" w:type="dxa"/>
              <w:left w:w="85" w:type="dxa"/>
              <w:bottom w:w="0" w:type="dxa"/>
              <w:right w:w="85" w:type="dxa"/>
            </w:tcMar>
            <w:vAlign w:val="center"/>
          </w:tcPr>
          <w:p>
            <w:pPr>
              <w:pStyle w:val="236"/>
              <w:spacing w:line="360" w:lineRule="auto"/>
              <w:ind w:firstLine="0" w:firstLineChars="0"/>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不低于</w:t>
            </w:r>
            <w:r>
              <w:rPr>
                <w:color w:val="000000" w:themeColor="text1"/>
                <w14:textFill>
                  <w14:solidFill>
                    <w14:schemeClr w14:val="tx1"/>
                  </w14:solidFill>
                </w14:textFill>
              </w:rPr>
              <w:t>9</w:t>
            </w:r>
            <w:r>
              <w:rPr>
                <w:rFonts w:hint="eastAsia"/>
                <w:color w:val="000000" w:themeColor="text1"/>
                <w14:textFill>
                  <w14:solidFill>
                    <w14:schemeClr w14:val="tx1"/>
                  </w14:solidFill>
                </w14:textFill>
              </w:rPr>
              <w:t>度</w:t>
            </w:r>
          </w:p>
        </w:tc>
        <w:tc>
          <w:tcPr>
            <w:tcW w:w="1606" w:type="dxa"/>
            <w:vAlign w:val="center"/>
          </w:tcPr>
          <w:p>
            <w:pPr>
              <w:pStyle w:val="236"/>
              <w:spacing w:line="360" w:lineRule="auto"/>
              <w:ind w:firstLine="0" w:firstLineChars="0"/>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（投标人填写）</w:t>
            </w:r>
          </w:p>
        </w:tc>
        <w:tc>
          <w:tcPr>
            <w:tcW w:w="1861" w:type="dxa"/>
            <w:vAlign w:val="center"/>
          </w:tcPr>
          <w:p>
            <w:pPr>
              <w:pStyle w:val="236"/>
              <w:spacing w:line="360" w:lineRule="auto"/>
              <w:ind w:firstLine="0" w:firstLineChars="0"/>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提供国家权威机构出具的抗震计算书或报告</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700" w:hRule="atLeast"/>
          <w:tblHeader/>
          <w:jc w:val="center"/>
        </w:trPr>
        <w:tc>
          <w:tcPr>
            <w:tcW w:w="837" w:type="dxa"/>
            <w:tcMar>
              <w:top w:w="0" w:type="dxa"/>
              <w:left w:w="85" w:type="dxa"/>
              <w:bottom w:w="0" w:type="dxa"/>
              <w:right w:w="85" w:type="dxa"/>
            </w:tcMar>
            <w:vAlign w:val="center"/>
          </w:tcPr>
          <w:p>
            <w:pPr>
              <w:pStyle w:val="236"/>
              <w:spacing w:line="360" w:lineRule="auto"/>
              <w:ind w:firstLine="0" w:firstLineChars="0"/>
              <w:jc w:val="center"/>
              <w:rPr>
                <w:color w:val="000000" w:themeColor="text1"/>
                <w14:textFill>
                  <w14:solidFill>
                    <w14:schemeClr w14:val="tx1"/>
                  </w14:solidFill>
                </w14:textFill>
              </w:rPr>
            </w:pPr>
            <w:r>
              <w:rPr>
                <w:color w:val="000000" w:themeColor="text1"/>
                <w14:textFill>
                  <w14:solidFill>
                    <w14:schemeClr w14:val="tx1"/>
                  </w14:solidFill>
                </w14:textFill>
              </w:rPr>
              <w:t>10</w:t>
            </w:r>
          </w:p>
        </w:tc>
        <w:tc>
          <w:tcPr>
            <w:tcW w:w="2141" w:type="dxa"/>
            <w:tcMar>
              <w:top w:w="0" w:type="dxa"/>
              <w:left w:w="85" w:type="dxa"/>
              <w:bottom w:w="0" w:type="dxa"/>
              <w:right w:w="85" w:type="dxa"/>
            </w:tcMar>
            <w:vAlign w:val="center"/>
          </w:tcPr>
          <w:p>
            <w:pPr>
              <w:pStyle w:val="236"/>
              <w:spacing w:line="360" w:lineRule="auto"/>
              <w:ind w:firstLine="0" w:firstLineChars="0"/>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抗风能力</w:t>
            </w:r>
          </w:p>
        </w:tc>
        <w:tc>
          <w:tcPr>
            <w:tcW w:w="717" w:type="dxa"/>
            <w:tcMar>
              <w:top w:w="0" w:type="dxa"/>
              <w:left w:w="85" w:type="dxa"/>
              <w:bottom w:w="0" w:type="dxa"/>
              <w:right w:w="85" w:type="dxa"/>
            </w:tcMar>
            <w:vAlign w:val="center"/>
          </w:tcPr>
          <w:p>
            <w:pPr>
              <w:pStyle w:val="236"/>
              <w:spacing w:line="360" w:lineRule="auto"/>
              <w:ind w:firstLine="0" w:firstLineChars="0"/>
              <w:jc w:val="center"/>
              <w:rPr>
                <w:color w:val="000000" w:themeColor="text1"/>
                <w14:textFill>
                  <w14:solidFill>
                    <w14:schemeClr w14:val="tx1"/>
                  </w14:solidFill>
                </w14:textFill>
              </w:rPr>
            </w:pPr>
            <w:r>
              <w:rPr>
                <w:color w:val="000000" w:themeColor="text1"/>
                <w14:textFill>
                  <w14:solidFill>
                    <w14:schemeClr w14:val="tx1"/>
                  </w14:solidFill>
                </w14:textFill>
              </w:rPr>
              <w:t>m/s</w:t>
            </w:r>
          </w:p>
        </w:tc>
        <w:tc>
          <w:tcPr>
            <w:tcW w:w="1963" w:type="dxa"/>
            <w:tcMar>
              <w:top w:w="0" w:type="dxa"/>
              <w:left w:w="85" w:type="dxa"/>
              <w:bottom w:w="0" w:type="dxa"/>
              <w:right w:w="85" w:type="dxa"/>
            </w:tcMar>
            <w:vAlign w:val="center"/>
          </w:tcPr>
          <w:p>
            <w:pPr>
              <w:pStyle w:val="236"/>
              <w:spacing w:line="360" w:lineRule="auto"/>
              <w:ind w:firstLine="0" w:firstLineChars="0"/>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w:t>
            </w:r>
            <w:r>
              <w:rPr>
                <w:color w:val="000000" w:themeColor="text1"/>
                <w14:textFill>
                  <w14:solidFill>
                    <w14:schemeClr w14:val="tx1"/>
                  </w14:solidFill>
                </w14:textFill>
              </w:rPr>
              <w:t>34</w:t>
            </w:r>
          </w:p>
        </w:tc>
        <w:tc>
          <w:tcPr>
            <w:tcW w:w="1606" w:type="dxa"/>
            <w:vAlign w:val="center"/>
          </w:tcPr>
          <w:p>
            <w:pPr>
              <w:pStyle w:val="236"/>
              <w:spacing w:line="360" w:lineRule="auto"/>
              <w:ind w:firstLine="0" w:firstLineChars="0"/>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（投标人填写）</w:t>
            </w:r>
          </w:p>
        </w:tc>
        <w:tc>
          <w:tcPr>
            <w:tcW w:w="1861" w:type="dxa"/>
            <w:vAlign w:val="center"/>
          </w:tcPr>
          <w:p>
            <w:pPr>
              <w:pStyle w:val="236"/>
              <w:spacing w:line="360" w:lineRule="auto"/>
              <w:ind w:firstLine="0" w:firstLineChars="0"/>
              <w:jc w:val="center"/>
              <w:rPr>
                <w:color w:val="000000" w:themeColor="text1"/>
                <w14:textFill>
                  <w14:solidFill>
                    <w14:schemeClr w14:val="tx1"/>
                  </w14:solidFill>
                </w14:textFill>
              </w:rPr>
            </w:pP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575" w:hRule="atLeast"/>
          <w:tblHeader/>
          <w:jc w:val="center"/>
        </w:trPr>
        <w:tc>
          <w:tcPr>
            <w:tcW w:w="837" w:type="dxa"/>
            <w:tcMar>
              <w:top w:w="0" w:type="dxa"/>
              <w:left w:w="85" w:type="dxa"/>
              <w:bottom w:w="0" w:type="dxa"/>
              <w:right w:w="85" w:type="dxa"/>
            </w:tcMar>
            <w:vAlign w:val="center"/>
          </w:tcPr>
          <w:p>
            <w:pPr>
              <w:pStyle w:val="236"/>
              <w:spacing w:line="360" w:lineRule="auto"/>
              <w:ind w:firstLine="0" w:firstLineChars="0"/>
              <w:jc w:val="center"/>
              <w:rPr>
                <w:color w:val="000000" w:themeColor="text1"/>
                <w14:textFill>
                  <w14:solidFill>
                    <w14:schemeClr w14:val="tx1"/>
                  </w14:solidFill>
                </w14:textFill>
              </w:rPr>
            </w:pPr>
            <w:r>
              <w:rPr>
                <w:color w:val="000000" w:themeColor="text1"/>
                <w14:textFill>
                  <w14:solidFill>
                    <w14:schemeClr w14:val="tx1"/>
                  </w14:solidFill>
                </w14:textFill>
              </w:rPr>
              <w:t>11</w:t>
            </w:r>
          </w:p>
        </w:tc>
        <w:tc>
          <w:tcPr>
            <w:tcW w:w="2141" w:type="dxa"/>
            <w:tcMar>
              <w:top w:w="0" w:type="dxa"/>
              <w:left w:w="85" w:type="dxa"/>
              <w:bottom w:w="0" w:type="dxa"/>
              <w:right w:w="85" w:type="dxa"/>
            </w:tcMar>
            <w:vAlign w:val="center"/>
          </w:tcPr>
          <w:p>
            <w:pPr>
              <w:pStyle w:val="236"/>
              <w:spacing w:line="360" w:lineRule="auto"/>
              <w:ind w:firstLine="0" w:firstLineChars="0"/>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海拔高度</w:t>
            </w:r>
          </w:p>
        </w:tc>
        <w:tc>
          <w:tcPr>
            <w:tcW w:w="717" w:type="dxa"/>
            <w:tcMar>
              <w:top w:w="0" w:type="dxa"/>
              <w:left w:w="85" w:type="dxa"/>
              <w:bottom w:w="0" w:type="dxa"/>
              <w:right w:w="85" w:type="dxa"/>
            </w:tcMar>
            <w:vAlign w:val="center"/>
          </w:tcPr>
          <w:p>
            <w:pPr>
              <w:pStyle w:val="236"/>
              <w:spacing w:line="360" w:lineRule="auto"/>
              <w:ind w:firstLine="0" w:firstLineChars="0"/>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米</w:t>
            </w:r>
          </w:p>
        </w:tc>
        <w:tc>
          <w:tcPr>
            <w:tcW w:w="1963" w:type="dxa"/>
            <w:tcMar>
              <w:top w:w="0" w:type="dxa"/>
              <w:left w:w="85" w:type="dxa"/>
              <w:bottom w:w="0" w:type="dxa"/>
              <w:right w:w="85" w:type="dxa"/>
            </w:tcMar>
            <w:vAlign w:val="center"/>
          </w:tcPr>
          <w:p>
            <w:pPr>
              <w:pStyle w:val="236"/>
              <w:spacing w:line="360" w:lineRule="auto"/>
              <w:ind w:firstLine="0" w:firstLineChars="0"/>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w:t>
            </w:r>
            <w:r>
              <w:rPr>
                <w:color w:val="000000" w:themeColor="text1"/>
                <w14:textFill>
                  <w14:solidFill>
                    <w14:schemeClr w14:val="tx1"/>
                  </w14:solidFill>
                </w14:textFill>
              </w:rPr>
              <w:t>1000</w:t>
            </w:r>
          </w:p>
        </w:tc>
        <w:tc>
          <w:tcPr>
            <w:tcW w:w="1606" w:type="dxa"/>
            <w:vAlign w:val="center"/>
          </w:tcPr>
          <w:p>
            <w:pPr>
              <w:pStyle w:val="236"/>
              <w:spacing w:line="360" w:lineRule="auto"/>
              <w:ind w:firstLine="0" w:firstLineChars="0"/>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（投标人填写）</w:t>
            </w:r>
          </w:p>
        </w:tc>
        <w:tc>
          <w:tcPr>
            <w:tcW w:w="1861" w:type="dxa"/>
            <w:vAlign w:val="center"/>
          </w:tcPr>
          <w:p>
            <w:pPr>
              <w:pStyle w:val="236"/>
              <w:spacing w:line="360" w:lineRule="auto"/>
              <w:ind w:firstLine="0" w:firstLineChars="0"/>
              <w:jc w:val="center"/>
              <w:rPr>
                <w:color w:val="000000" w:themeColor="text1"/>
                <w14:textFill>
                  <w14:solidFill>
                    <w14:schemeClr w14:val="tx1"/>
                  </w14:solidFill>
                </w14:textFill>
              </w:rPr>
            </w:pP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838" w:hRule="atLeast"/>
          <w:tblHeader/>
          <w:jc w:val="center"/>
        </w:trPr>
        <w:tc>
          <w:tcPr>
            <w:tcW w:w="837" w:type="dxa"/>
            <w:tcMar>
              <w:top w:w="0" w:type="dxa"/>
              <w:left w:w="85" w:type="dxa"/>
              <w:bottom w:w="0" w:type="dxa"/>
              <w:right w:w="85" w:type="dxa"/>
            </w:tcMar>
            <w:vAlign w:val="center"/>
          </w:tcPr>
          <w:p>
            <w:pPr>
              <w:pStyle w:val="236"/>
              <w:spacing w:line="360" w:lineRule="auto"/>
              <w:ind w:firstLine="0" w:firstLineChars="0"/>
              <w:jc w:val="center"/>
              <w:rPr>
                <w:color w:val="000000" w:themeColor="text1"/>
                <w14:textFill>
                  <w14:solidFill>
                    <w14:schemeClr w14:val="tx1"/>
                  </w14:solidFill>
                </w14:textFill>
              </w:rPr>
            </w:pPr>
            <w:r>
              <w:rPr>
                <w:color w:val="000000" w:themeColor="text1"/>
                <w14:textFill>
                  <w14:solidFill>
                    <w14:schemeClr w14:val="tx1"/>
                  </w14:solidFill>
                </w14:textFill>
              </w:rPr>
              <w:t>12</w:t>
            </w:r>
          </w:p>
        </w:tc>
        <w:tc>
          <w:tcPr>
            <w:tcW w:w="2141" w:type="dxa"/>
            <w:tcMar>
              <w:top w:w="0" w:type="dxa"/>
              <w:left w:w="85" w:type="dxa"/>
              <w:bottom w:w="0" w:type="dxa"/>
              <w:right w:w="85" w:type="dxa"/>
            </w:tcMar>
            <w:vAlign w:val="center"/>
          </w:tcPr>
          <w:p>
            <w:pPr>
              <w:pStyle w:val="236"/>
              <w:spacing w:line="360" w:lineRule="auto"/>
              <w:ind w:firstLine="0" w:firstLineChars="0"/>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预制舱适用环境条件</w:t>
            </w:r>
          </w:p>
        </w:tc>
        <w:tc>
          <w:tcPr>
            <w:tcW w:w="717" w:type="dxa"/>
            <w:tcMar>
              <w:top w:w="0" w:type="dxa"/>
              <w:left w:w="85" w:type="dxa"/>
              <w:bottom w:w="0" w:type="dxa"/>
              <w:right w:w="85" w:type="dxa"/>
            </w:tcMar>
            <w:vAlign w:val="center"/>
          </w:tcPr>
          <w:p>
            <w:pPr>
              <w:pStyle w:val="236"/>
              <w:spacing w:line="360" w:lineRule="auto"/>
              <w:ind w:firstLine="0" w:firstLineChars="0"/>
              <w:jc w:val="center"/>
              <w:rPr>
                <w:color w:val="000000" w:themeColor="text1"/>
                <w14:textFill>
                  <w14:solidFill>
                    <w14:schemeClr w14:val="tx1"/>
                  </w14:solidFill>
                </w14:textFill>
              </w:rPr>
            </w:pPr>
          </w:p>
        </w:tc>
        <w:tc>
          <w:tcPr>
            <w:tcW w:w="1963" w:type="dxa"/>
            <w:tcMar>
              <w:top w:w="0" w:type="dxa"/>
              <w:left w:w="85" w:type="dxa"/>
              <w:bottom w:w="0" w:type="dxa"/>
              <w:right w:w="85" w:type="dxa"/>
            </w:tcMar>
            <w:vAlign w:val="center"/>
          </w:tcPr>
          <w:p>
            <w:pPr>
              <w:pStyle w:val="236"/>
              <w:spacing w:line="360" w:lineRule="auto"/>
              <w:ind w:firstLine="0" w:firstLineChars="0"/>
              <w:jc w:val="center"/>
              <w:rPr>
                <w:color w:val="000000" w:themeColor="text1"/>
                <w14:textFill>
                  <w14:solidFill>
                    <w14:schemeClr w14:val="tx1"/>
                  </w14:solidFill>
                </w14:textFill>
              </w:rPr>
            </w:pPr>
            <w:r>
              <w:rPr>
                <w:color w:val="000000" w:themeColor="text1"/>
                <w14:textFill>
                  <w14:solidFill>
                    <w14:schemeClr w14:val="tx1"/>
                  </w14:solidFill>
                </w14:textFill>
              </w:rPr>
              <w:t>C4</w:t>
            </w:r>
            <w:r>
              <w:rPr>
                <w:rFonts w:hint="eastAsia"/>
                <w:color w:val="000000" w:themeColor="text1"/>
                <w14:textFill>
                  <w14:solidFill>
                    <w14:schemeClr w14:val="tx1"/>
                  </w14:solidFill>
                </w14:textFill>
              </w:rPr>
              <w:t>以上环境</w:t>
            </w:r>
          </w:p>
        </w:tc>
        <w:tc>
          <w:tcPr>
            <w:tcW w:w="1606" w:type="dxa"/>
            <w:vAlign w:val="center"/>
          </w:tcPr>
          <w:p>
            <w:pPr>
              <w:pStyle w:val="236"/>
              <w:spacing w:line="360" w:lineRule="auto"/>
              <w:ind w:firstLine="0" w:firstLineChars="0"/>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（投标人填写）</w:t>
            </w:r>
          </w:p>
        </w:tc>
        <w:tc>
          <w:tcPr>
            <w:tcW w:w="1861" w:type="dxa"/>
            <w:vAlign w:val="center"/>
          </w:tcPr>
          <w:p>
            <w:pPr>
              <w:pStyle w:val="236"/>
              <w:spacing w:line="360" w:lineRule="auto"/>
              <w:ind w:firstLine="0" w:firstLineChars="0"/>
              <w:jc w:val="center"/>
              <w:rPr>
                <w:color w:val="000000" w:themeColor="text1"/>
                <w14:textFill>
                  <w14:solidFill>
                    <w14:schemeClr w14:val="tx1"/>
                  </w14:solidFill>
                </w14:textFill>
              </w:rPr>
            </w:pP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284" w:hRule="atLeast"/>
          <w:tblHeader/>
          <w:jc w:val="center"/>
        </w:trPr>
        <w:tc>
          <w:tcPr>
            <w:tcW w:w="837" w:type="dxa"/>
            <w:tcMar>
              <w:top w:w="0" w:type="dxa"/>
              <w:left w:w="85" w:type="dxa"/>
              <w:bottom w:w="0" w:type="dxa"/>
              <w:right w:w="85" w:type="dxa"/>
            </w:tcMar>
            <w:vAlign w:val="center"/>
          </w:tcPr>
          <w:p>
            <w:pPr>
              <w:pStyle w:val="236"/>
              <w:spacing w:line="360" w:lineRule="auto"/>
              <w:ind w:firstLine="0" w:firstLineChars="0"/>
              <w:jc w:val="center"/>
              <w:rPr>
                <w:color w:val="000000" w:themeColor="text1"/>
                <w14:textFill>
                  <w14:solidFill>
                    <w14:schemeClr w14:val="tx1"/>
                  </w14:solidFill>
                </w14:textFill>
              </w:rPr>
            </w:pPr>
            <w:r>
              <w:rPr>
                <w:color w:val="000000" w:themeColor="text1"/>
                <w14:textFill>
                  <w14:solidFill>
                    <w14:schemeClr w14:val="tx1"/>
                  </w14:solidFill>
                </w14:textFill>
              </w:rPr>
              <w:t>13</w:t>
            </w:r>
          </w:p>
        </w:tc>
        <w:tc>
          <w:tcPr>
            <w:tcW w:w="2141" w:type="dxa"/>
            <w:tcMar>
              <w:top w:w="0" w:type="dxa"/>
              <w:left w:w="85" w:type="dxa"/>
              <w:bottom w:w="0" w:type="dxa"/>
              <w:right w:w="85" w:type="dxa"/>
            </w:tcMar>
            <w:vAlign w:val="center"/>
          </w:tcPr>
          <w:p>
            <w:pPr>
              <w:pStyle w:val="236"/>
              <w:spacing w:line="360" w:lineRule="auto"/>
              <w:ind w:firstLine="0" w:firstLineChars="0"/>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屋顶坡度</w:t>
            </w:r>
          </w:p>
        </w:tc>
        <w:tc>
          <w:tcPr>
            <w:tcW w:w="717" w:type="dxa"/>
            <w:tcMar>
              <w:top w:w="0" w:type="dxa"/>
              <w:left w:w="85" w:type="dxa"/>
              <w:bottom w:w="0" w:type="dxa"/>
              <w:right w:w="85" w:type="dxa"/>
            </w:tcMar>
            <w:vAlign w:val="center"/>
          </w:tcPr>
          <w:p>
            <w:pPr>
              <w:pStyle w:val="236"/>
              <w:spacing w:line="360" w:lineRule="auto"/>
              <w:ind w:firstLine="0" w:firstLineChars="0"/>
              <w:jc w:val="center"/>
              <w:rPr>
                <w:color w:val="000000" w:themeColor="text1"/>
                <w14:textFill>
                  <w14:solidFill>
                    <w14:schemeClr w14:val="tx1"/>
                  </w14:solidFill>
                </w14:textFill>
              </w:rPr>
            </w:pPr>
          </w:p>
        </w:tc>
        <w:tc>
          <w:tcPr>
            <w:tcW w:w="1963" w:type="dxa"/>
            <w:tcMar>
              <w:top w:w="0" w:type="dxa"/>
              <w:left w:w="85" w:type="dxa"/>
              <w:bottom w:w="0" w:type="dxa"/>
              <w:right w:w="85" w:type="dxa"/>
            </w:tcMar>
            <w:vAlign w:val="center"/>
          </w:tcPr>
          <w:p>
            <w:pPr>
              <w:pStyle w:val="236"/>
              <w:spacing w:line="360" w:lineRule="auto"/>
              <w:ind w:firstLine="0" w:firstLineChars="0"/>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不低于</w:t>
            </w:r>
            <w:r>
              <w:rPr>
                <w:color w:val="000000" w:themeColor="text1"/>
                <w14:textFill>
                  <w14:solidFill>
                    <w14:schemeClr w14:val="tx1"/>
                  </w14:solidFill>
                </w14:textFill>
              </w:rPr>
              <w:t>3</w:t>
            </w:r>
            <w:r>
              <w:rPr>
                <w:rFonts w:hint="eastAsia"/>
                <w:color w:val="000000" w:themeColor="text1"/>
                <w14:textFill>
                  <w14:solidFill>
                    <w14:schemeClr w14:val="tx1"/>
                  </w14:solidFill>
                </w14:textFill>
              </w:rPr>
              <w:t>°</w:t>
            </w:r>
            <w:r>
              <w:rPr>
                <w:color w:val="000000" w:themeColor="text1"/>
                <w14:textFill>
                  <w14:solidFill>
                    <w14:schemeClr w14:val="tx1"/>
                  </w14:solidFill>
                </w14:textFill>
              </w:rPr>
              <w:t>~5</w:t>
            </w:r>
            <w:r>
              <w:rPr>
                <w:rFonts w:hint="eastAsia"/>
                <w:color w:val="000000" w:themeColor="text1"/>
                <w14:textFill>
                  <w14:solidFill>
                    <w14:schemeClr w14:val="tx1"/>
                  </w14:solidFill>
                </w14:textFill>
              </w:rPr>
              <w:t>°</w:t>
            </w:r>
          </w:p>
        </w:tc>
        <w:tc>
          <w:tcPr>
            <w:tcW w:w="1606" w:type="dxa"/>
            <w:vAlign w:val="center"/>
          </w:tcPr>
          <w:p>
            <w:pPr>
              <w:pStyle w:val="236"/>
              <w:spacing w:line="360" w:lineRule="auto"/>
              <w:ind w:firstLine="0" w:firstLineChars="0"/>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（投标人填写）</w:t>
            </w:r>
          </w:p>
        </w:tc>
        <w:tc>
          <w:tcPr>
            <w:tcW w:w="1861" w:type="dxa"/>
            <w:vAlign w:val="center"/>
          </w:tcPr>
          <w:p>
            <w:pPr>
              <w:pStyle w:val="236"/>
              <w:spacing w:line="360" w:lineRule="auto"/>
              <w:ind w:firstLine="0" w:firstLineChars="0"/>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不可采用平顶预制舱模式</w:t>
            </w:r>
          </w:p>
        </w:tc>
      </w:tr>
    </w:tbl>
    <w:p>
      <w:pPr>
        <w:spacing w:line="360" w:lineRule="auto"/>
        <w:rPr>
          <w:color w:val="000000" w:themeColor="text1"/>
          <w14:textFill>
            <w14:solidFill>
              <w14:schemeClr w14:val="tx1"/>
            </w14:solidFill>
          </w14:textFill>
        </w:rPr>
      </w:pPr>
    </w:p>
    <w:p>
      <w:pPr>
        <w:pStyle w:val="3"/>
        <w:numPr>
          <w:ilvl w:val="1"/>
          <w:numId w:val="0"/>
        </w:numPr>
        <w:rPr>
          <w:rFonts w:ascii="黑体" w:hAnsi="黑体" w:eastAsia="黑体"/>
          <w:color w:val="000000" w:themeColor="text1"/>
          <w14:textFill>
            <w14:solidFill>
              <w14:schemeClr w14:val="tx1"/>
            </w14:solidFill>
          </w14:textFill>
        </w:rPr>
      </w:pPr>
      <w:bookmarkStart w:id="102" w:name="_Toc119049825"/>
      <w:bookmarkStart w:id="103" w:name="_Toc177995336"/>
      <w:r>
        <w:rPr>
          <w:rFonts w:ascii="黑体" w:hAnsi="黑体" w:eastAsia="黑体"/>
          <w:color w:val="000000" w:themeColor="text1"/>
          <w14:textFill>
            <w14:solidFill>
              <w14:schemeClr w14:val="tx1"/>
            </w14:solidFill>
          </w14:textFill>
        </w:rPr>
        <w:t xml:space="preserve">6.2 </w:t>
      </w:r>
      <w:bookmarkEnd w:id="102"/>
      <w:r>
        <w:rPr>
          <w:rFonts w:hint="eastAsia" w:ascii="黑体" w:hAnsi="黑体" w:eastAsia="黑体"/>
          <w:color w:val="000000" w:themeColor="text1"/>
          <w14:textFill>
            <w14:solidFill>
              <w14:schemeClr w14:val="tx1"/>
            </w14:solidFill>
          </w14:textFill>
        </w:rPr>
        <w:t>配电装置组合预制舱</w:t>
      </w:r>
      <w:bookmarkEnd w:id="103"/>
    </w:p>
    <w:p>
      <w:pPr>
        <w:pStyle w:val="201"/>
        <w:adjustRightInd w:val="0"/>
        <w:snapToGrid w:val="0"/>
        <w:spacing w:line="360" w:lineRule="auto"/>
        <w:rPr>
          <w:rFonts w:ascii="Times New Roman" w:hAnsi="Times New Roman" w:eastAsia="宋体"/>
          <w:color w:val="000000" w:themeColor="text1"/>
          <w:sz w:val="21"/>
          <w:szCs w:val="21"/>
          <w14:textFill>
            <w14:solidFill>
              <w14:schemeClr w14:val="tx1"/>
            </w14:solidFill>
          </w14:textFill>
        </w:rPr>
      </w:pPr>
      <w:bookmarkStart w:id="104" w:name="_Toc119049826"/>
      <w:r>
        <w:rPr>
          <w:rFonts w:ascii="Times New Roman" w:hAnsi="Times New Roman" w:eastAsia="宋体"/>
          <w:color w:val="000000" w:themeColor="text1"/>
          <w:sz w:val="21"/>
          <w:szCs w:val="21"/>
          <w14:textFill>
            <w14:solidFill>
              <w14:schemeClr w14:val="tx1"/>
            </w14:solidFill>
          </w14:textFill>
        </w:rPr>
        <w:t>1</w:t>
      </w:r>
      <w:r>
        <w:rPr>
          <w:rFonts w:hint="eastAsia" w:ascii="Times New Roman" w:hAnsi="Times New Roman" w:eastAsia="宋体"/>
          <w:color w:val="000000" w:themeColor="text1"/>
          <w:sz w:val="21"/>
          <w:szCs w:val="21"/>
          <w14:textFill>
            <w14:solidFill>
              <w14:schemeClr w14:val="tx1"/>
            </w14:solidFill>
          </w14:textFill>
        </w:rPr>
        <w:t>、总则</w:t>
      </w:r>
      <w:bookmarkEnd w:id="104"/>
    </w:p>
    <w:p>
      <w:pPr>
        <w:pStyle w:val="201"/>
        <w:adjustRightInd w:val="0"/>
        <w:snapToGrid w:val="0"/>
        <w:spacing w:line="360" w:lineRule="auto"/>
        <w:rPr>
          <w:rFonts w:ascii="Times New Roman" w:hAnsi="Times New Roman" w:eastAsia="宋体"/>
          <w:color w:val="000000" w:themeColor="text1"/>
          <w:sz w:val="21"/>
          <w:szCs w:val="21"/>
          <w14:textFill>
            <w14:solidFill>
              <w14:schemeClr w14:val="tx1"/>
            </w14:solidFill>
          </w14:textFill>
        </w:rPr>
      </w:pPr>
      <w:r>
        <w:rPr>
          <w:rFonts w:hint="eastAsia" w:ascii="Times New Roman" w:hAnsi="Times New Roman" w:eastAsia="宋体"/>
          <w:color w:val="000000" w:themeColor="text1"/>
          <w:sz w:val="21"/>
          <w:szCs w:val="21"/>
          <w14:textFill>
            <w14:solidFill>
              <w14:schemeClr w14:val="tx1"/>
            </w14:solidFill>
          </w14:textFill>
        </w:rPr>
        <w:t>技术规范书中标注有☆的条款为重要技术要求，投标方需在投标文件中对其做出重点响应。</w:t>
      </w:r>
    </w:p>
    <w:p>
      <w:pPr>
        <w:pStyle w:val="201"/>
        <w:adjustRightInd w:val="0"/>
        <w:snapToGrid w:val="0"/>
        <w:spacing w:line="360" w:lineRule="auto"/>
        <w:rPr>
          <w:rFonts w:ascii="Times New Roman" w:hAnsi="Times New Roman" w:eastAsia="宋体"/>
          <w:color w:val="000000" w:themeColor="text1"/>
          <w:sz w:val="21"/>
          <w:szCs w:val="21"/>
          <w14:textFill>
            <w14:solidFill>
              <w14:schemeClr w14:val="tx1"/>
            </w14:solidFill>
          </w14:textFill>
        </w:rPr>
      </w:pPr>
      <w:bookmarkStart w:id="105" w:name="_Toc119049827"/>
      <w:r>
        <w:rPr>
          <w:rFonts w:ascii="Times New Roman" w:hAnsi="Times New Roman" w:eastAsia="宋体"/>
          <w:color w:val="000000" w:themeColor="text1"/>
          <w:sz w:val="21"/>
          <w:szCs w:val="21"/>
          <w14:textFill>
            <w14:solidFill>
              <w14:schemeClr w14:val="tx1"/>
            </w14:solidFill>
          </w14:textFill>
        </w:rPr>
        <w:t>2</w:t>
      </w:r>
      <w:r>
        <w:rPr>
          <w:rFonts w:hint="eastAsia" w:ascii="Times New Roman" w:hAnsi="Times New Roman" w:eastAsia="宋体"/>
          <w:color w:val="000000" w:themeColor="text1"/>
          <w:sz w:val="21"/>
          <w:szCs w:val="21"/>
          <w14:textFill>
            <w14:solidFill>
              <w14:schemeClr w14:val="tx1"/>
            </w14:solidFill>
          </w14:textFill>
        </w:rPr>
        <w:t>、预制舱规格尺寸</w:t>
      </w:r>
      <w:bookmarkEnd w:id="105"/>
    </w:p>
    <w:p>
      <w:pPr>
        <w:pStyle w:val="201"/>
        <w:adjustRightInd w:val="0"/>
        <w:snapToGrid w:val="0"/>
        <w:spacing w:line="360" w:lineRule="auto"/>
        <w:rPr>
          <w:rFonts w:ascii="Times New Roman" w:hAnsi="Times New Roman" w:eastAsia="宋体"/>
          <w:color w:val="000000" w:themeColor="text1"/>
          <w:sz w:val="21"/>
          <w:szCs w:val="21"/>
          <w14:textFill>
            <w14:solidFill>
              <w14:schemeClr w14:val="tx1"/>
            </w14:solidFill>
          </w14:textFill>
        </w:rPr>
      </w:pPr>
      <w:r>
        <w:rPr>
          <w:rFonts w:hint="eastAsia" w:ascii="Times New Roman" w:hAnsi="Times New Roman" w:eastAsia="宋体"/>
          <w:color w:val="000000" w:themeColor="text1"/>
          <w:sz w:val="21"/>
          <w:szCs w:val="21"/>
          <w14:textFill>
            <w14:solidFill>
              <w14:schemeClr w14:val="tx1"/>
            </w14:solidFill>
          </w14:textFill>
        </w:rPr>
        <w:t>（</w:t>
      </w:r>
      <w:r>
        <w:rPr>
          <w:rFonts w:ascii="Times New Roman" w:hAnsi="Times New Roman" w:eastAsia="宋体"/>
          <w:color w:val="000000" w:themeColor="text1"/>
          <w:sz w:val="21"/>
          <w:szCs w:val="21"/>
          <w14:textFill>
            <w14:solidFill>
              <w14:schemeClr w14:val="tx1"/>
            </w14:solidFill>
          </w14:textFill>
        </w:rPr>
        <w:t>1</w:t>
      </w:r>
      <w:r>
        <w:rPr>
          <w:rFonts w:hint="eastAsia" w:ascii="Times New Roman" w:hAnsi="Times New Roman" w:eastAsia="宋体"/>
          <w:color w:val="000000" w:themeColor="text1"/>
          <w:sz w:val="21"/>
          <w:szCs w:val="21"/>
          <w14:textFill>
            <w14:solidFill>
              <w14:schemeClr w14:val="tx1"/>
            </w14:solidFill>
          </w14:textFill>
        </w:rPr>
        <w:t>）双层布置，设备房间内尺寸不小于图</w:t>
      </w:r>
      <w:r>
        <w:rPr>
          <w:rFonts w:ascii="Times New Roman" w:hAnsi="Times New Roman" w:eastAsia="宋体"/>
          <w:color w:val="000000" w:themeColor="text1"/>
          <w:sz w:val="21"/>
          <w:szCs w:val="21"/>
          <w14:textFill>
            <w14:solidFill>
              <w14:schemeClr w14:val="tx1"/>
            </w14:solidFill>
          </w14:textFill>
        </w:rPr>
        <w:t>6.2-1</w:t>
      </w:r>
      <w:r>
        <w:rPr>
          <w:rFonts w:hint="eastAsia" w:ascii="Times New Roman" w:hAnsi="Times New Roman" w:eastAsia="宋体"/>
          <w:color w:val="000000" w:themeColor="text1"/>
          <w:sz w:val="21"/>
          <w:szCs w:val="21"/>
          <w14:textFill>
            <w14:solidFill>
              <w14:schemeClr w14:val="tx1"/>
            </w14:solidFill>
          </w14:textFill>
        </w:rPr>
        <w:t>所标识尺寸，单层净高不小于</w:t>
      </w:r>
      <w:r>
        <w:rPr>
          <w:rFonts w:ascii="Times New Roman" w:hAnsi="Times New Roman" w:eastAsia="宋体"/>
          <w:color w:val="000000" w:themeColor="text1"/>
          <w:sz w:val="21"/>
          <w:szCs w:val="21"/>
          <w14:textFill>
            <w14:solidFill>
              <w14:schemeClr w14:val="tx1"/>
            </w14:solidFill>
          </w14:textFill>
        </w:rPr>
        <w:t>3500mm</w:t>
      </w:r>
      <w:r>
        <w:rPr>
          <w:rFonts w:hint="eastAsia" w:ascii="Times New Roman" w:hAnsi="Times New Roman" w:eastAsia="宋体"/>
          <w:color w:val="000000" w:themeColor="text1"/>
          <w:sz w:val="21"/>
          <w:szCs w:val="21"/>
          <w14:textFill>
            <w14:solidFill>
              <w14:schemeClr w14:val="tx1"/>
            </w14:solidFill>
          </w14:textFill>
        </w:rPr>
        <w:t>。底座采用钢结构，供货范围包含底座。本规范仅规定了舱体最小尺寸，最终图纸确认按实际设备检修通道需求设计舱体尺寸。</w:t>
      </w:r>
    </w:p>
    <w:p>
      <w:pPr>
        <w:tabs>
          <w:tab w:val="left" w:pos="1267"/>
        </w:tabs>
        <w:spacing w:line="360" w:lineRule="auto"/>
        <w:ind w:firstLine="420" w:firstLineChars="200"/>
        <w:rPr>
          <w:color w:val="000000" w:themeColor="text1"/>
          <w:szCs w:val="21"/>
          <w14:textFill>
            <w14:solidFill>
              <w14:schemeClr w14:val="tx1"/>
            </w14:solidFill>
          </w14:textFill>
        </w:rPr>
      </w:pPr>
      <w:r>
        <w:rPr>
          <w:rFonts w:hint="eastAsia"/>
          <w:color w:val="000000" w:themeColor="text1"/>
          <w:szCs w:val="21"/>
          <w14:textFill>
            <w14:solidFill>
              <w14:schemeClr w14:val="tx1"/>
            </w14:solidFill>
          </w14:textFill>
        </w:rPr>
        <w:t>（</w:t>
      </w:r>
      <w:r>
        <w:rPr>
          <w:color w:val="000000" w:themeColor="text1"/>
          <w:szCs w:val="21"/>
          <w14:textFill>
            <w14:solidFill>
              <w14:schemeClr w14:val="tx1"/>
            </w14:solidFill>
          </w14:textFill>
        </w:rPr>
        <w:t>2</w:t>
      </w:r>
      <w:r>
        <w:rPr>
          <w:rFonts w:hint="eastAsia"/>
          <w:color w:val="000000" w:themeColor="text1"/>
          <w:szCs w:val="21"/>
          <w14:textFill>
            <w14:solidFill>
              <w14:schemeClr w14:val="tx1"/>
            </w14:solidFill>
          </w14:textFill>
        </w:rPr>
        <w:t>）预制舱舱体底架由型钢焊接而成，舱体骨架为焊装一体式结构，主要钢材材质应选用不低于</w:t>
      </w:r>
      <w:r>
        <w:rPr>
          <w:color w:val="000000" w:themeColor="text1"/>
          <w:szCs w:val="21"/>
          <w14:textFill>
            <w14:solidFill>
              <w14:schemeClr w14:val="tx1"/>
            </w14:solidFill>
          </w14:textFill>
        </w:rPr>
        <w:t>GB/T 700</w:t>
      </w:r>
      <w:r>
        <w:rPr>
          <w:rFonts w:hint="eastAsia"/>
          <w:color w:val="000000" w:themeColor="text1"/>
          <w:szCs w:val="21"/>
          <w14:textFill>
            <w14:solidFill>
              <w14:schemeClr w14:val="tx1"/>
            </w14:solidFill>
          </w14:textFill>
        </w:rPr>
        <w:t>标准的优质碳素结构钢，钢材的屈服强度不小于</w:t>
      </w:r>
      <w:r>
        <w:rPr>
          <w:color w:val="000000" w:themeColor="text1"/>
          <w:szCs w:val="21"/>
          <w14:textFill>
            <w14:solidFill>
              <w14:schemeClr w14:val="tx1"/>
            </w14:solidFill>
          </w14:textFill>
        </w:rPr>
        <w:t>235N/mm2(MPa)</w:t>
      </w:r>
      <w:r>
        <w:rPr>
          <w:rFonts w:hint="eastAsia"/>
          <w:color w:val="000000" w:themeColor="text1"/>
          <w:szCs w:val="21"/>
          <w14:textFill>
            <w14:solidFill>
              <w14:schemeClr w14:val="tx1"/>
            </w14:solidFill>
          </w14:textFill>
        </w:rPr>
        <w:t>，钢材的冲击吸收功</w:t>
      </w:r>
      <w:r>
        <w:rPr>
          <w:color w:val="000000" w:themeColor="text1"/>
          <w:szCs w:val="21"/>
          <w14:textFill>
            <w14:solidFill>
              <w14:schemeClr w14:val="tx1"/>
            </w14:solidFill>
          </w14:textFill>
        </w:rPr>
        <w:t>(</w:t>
      </w:r>
      <w:r>
        <w:rPr>
          <w:rFonts w:hint="eastAsia"/>
          <w:color w:val="000000" w:themeColor="text1"/>
          <w:szCs w:val="21"/>
          <w14:textFill>
            <w14:solidFill>
              <w14:schemeClr w14:val="tx1"/>
            </w14:solidFill>
          </w14:textFill>
        </w:rPr>
        <w:t>纵向</w:t>
      </w:r>
      <w:r>
        <w:rPr>
          <w:color w:val="000000" w:themeColor="text1"/>
          <w:szCs w:val="21"/>
          <w14:textFill>
            <w14:solidFill>
              <w14:schemeClr w14:val="tx1"/>
            </w14:solidFill>
          </w14:textFill>
        </w:rPr>
        <w:t>)</w:t>
      </w:r>
      <w:r>
        <w:rPr>
          <w:rFonts w:hint="eastAsia"/>
          <w:color w:val="000000" w:themeColor="text1"/>
          <w:szCs w:val="21"/>
          <w14:textFill>
            <w14:solidFill>
              <w14:schemeClr w14:val="tx1"/>
            </w14:solidFill>
          </w14:textFill>
        </w:rPr>
        <w:t>不小于</w:t>
      </w:r>
      <w:r>
        <w:rPr>
          <w:color w:val="000000" w:themeColor="text1"/>
          <w:szCs w:val="21"/>
          <w14:textFill>
            <w14:solidFill>
              <w14:schemeClr w14:val="tx1"/>
            </w14:solidFill>
          </w14:textFill>
        </w:rPr>
        <w:t>27J</w:t>
      </w:r>
      <w:r>
        <w:rPr>
          <w:rFonts w:hint="eastAsia"/>
          <w:color w:val="000000" w:themeColor="text1"/>
          <w:szCs w:val="21"/>
          <w14:textFill>
            <w14:solidFill>
              <w14:schemeClr w14:val="tx1"/>
            </w14:solidFill>
          </w14:textFill>
        </w:rPr>
        <w:t>，应有足够的机械强度和刚度，在起吊、运输和安装时不会产生变形，满足</w:t>
      </w:r>
      <w:r>
        <w:rPr>
          <w:color w:val="000000" w:themeColor="text1"/>
          <w:szCs w:val="21"/>
          <w14:textFill>
            <w14:solidFill>
              <w14:schemeClr w14:val="tx1"/>
            </w14:solidFill>
          </w14:textFill>
        </w:rPr>
        <w:t>GB17467</w:t>
      </w:r>
      <w:r>
        <w:rPr>
          <w:rFonts w:hint="eastAsia"/>
          <w:color w:val="000000" w:themeColor="text1"/>
          <w:szCs w:val="21"/>
          <w14:textFill>
            <w14:solidFill>
              <w14:schemeClr w14:val="tx1"/>
            </w14:solidFill>
          </w14:textFill>
        </w:rPr>
        <w:t>《高低压预装式变电站》防冲击试验要求，并耐受以下的负荷和撞击：</w:t>
      </w:r>
    </w:p>
    <w:p>
      <w:pPr>
        <w:tabs>
          <w:tab w:val="left" w:pos="1267"/>
        </w:tabs>
        <w:spacing w:line="360" w:lineRule="auto"/>
        <w:ind w:firstLine="420" w:firstLineChars="200"/>
        <w:rPr>
          <w:color w:val="000000" w:themeColor="text1"/>
          <w14:textFill>
            <w14:solidFill>
              <w14:schemeClr w14:val="tx1"/>
            </w14:solidFill>
          </w14:textFill>
        </w:rPr>
      </w:pPr>
      <w:r>
        <w:rPr>
          <w:color w:val="000000" w:themeColor="text1"/>
          <w14:textFill>
            <w14:solidFill>
              <w14:schemeClr w14:val="tx1"/>
            </w14:solidFill>
          </w14:textFill>
        </w:rPr>
        <w:t>a)</w:t>
      </w:r>
      <w:r>
        <w:rPr>
          <w:rFonts w:hint="eastAsia"/>
          <w:color w:val="000000" w:themeColor="text1"/>
          <w14:textFill>
            <w14:solidFill>
              <w14:schemeClr w14:val="tx1"/>
            </w14:solidFill>
          </w14:textFill>
        </w:rPr>
        <w:t>顶部负荷：最小值为</w:t>
      </w:r>
      <w:r>
        <w:rPr>
          <w:color w:val="000000" w:themeColor="text1"/>
          <w14:textFill>
            <w14:solidFill>
              <w14:schemeClr w14:val="tx1"/>
            </w14:solidFill>
          </w14:textFill>
        </w:rPr>
        <w:t>3500N/</w:t>
      </w:r>
      <w:r>
        <w:rPr>
          <w:rFonts w:hint="eastAsia"/>
          <w:color w:val="000000" w:themeColor="text1"/>
          <w14:textFill>
            <w14:solidFill>
              <w14:schemeClr w14:val="tx1"/>
            </w14:solidFill>
          </w14:textFill>
        </w:rPr>
        <w:t>㎡，顶部需安装单晶硅双面双玻光伏组件，最终负荷以设备厂家实际需求为准。</w:t>
      </w:r>
    </w:p>
    <w:p>
      <w:pPr>
        <w:tabs>
          <w:tab w:val="left" w:pos="1267"/>
        </w:tabs>
        <w:spacing w:line="360" w:lineRule="auto"/>
        <w:ind w:firstLine="420" w:firstLineChars="200"/>
        <w:rPr>
          <w:color w:val="000000" w:themeColor="text1"/>
          <w14:textFill>
            <w14:solidFill>
              <w14:schemeClr w14:val="tx1"/>
            </w14:solidFill>
          </w14:textFill>
        </w:rPr>
      </w:pPr>
      <w:r>
        <w:rPr>
          <w:color w:val="000000" w:themeColor="text1"/>
          <w14:textFill>
            <w14:solidFill>
              <w14:schemeClr w14:val="tx1"/>
            </w14:solidFill>
          </w14:textFill>
        </w:rPr>
        <w:t>b)</w:t>
      </w:r>
      <w:r>
        <w:rPr>
          <w:rFonts w:hint="eastAsia"/>
          <w:color w:val="000000" w:themeColor="text1"/>
          <w14:textFill>
            <w14:solidFill>
              <w14:schemeClr w14:val="tx1"/>
            </w14:solidFill>
          </w14:textFill>
        </w:rPr>
        <w:t>在面板、门和通风口上的外部机械撞击：外部机械撞击的撞击能量为</w:t>
      </w:r>
      <w:r>
        <w:rPr>
          <w:color w:val="000000" w:themeColor="text1"/>
          <w14:textFill>
            <w14:solidFill>
              <w14:schemeClr w14:val="tx1"/>
            </w14:solidFill>
          </w14:textFill>
        </w:rPr>
        <w:t>20J</w:t>
      </w:r>
      <w:r>
        <w:rPr>
          <w:rFonts w:hint="eastAsia"/>
          <w:color w:val="000000" w:themeColor="text1"/>
          <w14:textFill>
            <w14:solidFill>
              <w14:schemeClr w14:val="tx1"/>
            </w14:solidFill>
          </w14:textFill>
        </w:rPr>
        <w:t>，对应的防护等级为</w:t>
      </w:r>
      <w:r>
        <w:rPr>
          <w:color w:val="000000" w:themeColor="text1"/>
          <w14:textFill>
            <w14:solidFill>
              <w14:schemeClr w14:val="tx1"/>
            </w14:solidFill>
          </w14:textFill>
        </w:rPr>
        <w:t>GB/T20138</w:t>
      </w:r>
      <w:r>
        <w:rPr>
          <w:rFonts w:hint="eastAsia"/>
          <w:color w:val="000000" w:themeColor="text1"/>
          <w14:textFill>
            <w14:solidFill>
              <w14:schemeClr w14:val="tx1"/>
            </w14:solidFill>
          </w14:textFill>
        </w:rPr>
        <w:t>的</w:t>
      </w:r>
      <w:r>
        <w:rPr>
          <w:color w:val="000000" w:themeColor="text1"/>
          <w14:textFill>
            <w14:solidFill>
              <w14:schemeClr w14:val="tx1"/>
            </w14:solidFill>
          </w14:textFill>
        </w:rPr>
        <w:t>IK10</w:t>
      </w:r>
      <w:r>
        <w:rPr>
          <w:rFonts w:hint="eastAsia"/>
          <w:color w:val="000000" w:themeColor="text1"/>
          <w14:textFill>
            <w14:solidFill>
              <w14:schemeClr w14:val="tx1"/>
            </w14:solidFill>
          </w14:textFill>
        </w:rPr>
        <w:t>。</w:t>
      </w:r>
    </w:p>
    <w:p>
      <w:pPr>
        <w:tabs>
          <w:tab w:val="left" w:pos="1267"/>
        </w:tabs>
        <w:spacing w:line="360" w:lineRule="auto"/>
        <w:ind w:firstLine="420" w:firstLineChars="200"/>
        <w:rPr>
          <w:color w:val="000000" w:themeColor="text1"/>
          <w14:textFill>
            <w14:solidFill>
              <w14:schemeClr w14:val="tx1"/>
            </w14:solidFill>
          </w14:textFill>
        </w:rPr>
      </w:pPr>
      <w:r>
        <w:rPr>
          <w:rFonts w:hint="eastAsia"/>
          <w:color w:val="000000" w:themeColor="text1"/>
          <w14:textFill>
            <w14:solidFill>
              <w14:schemeClr w14:val="tx1"/>
            </w14:solidFill>
          </w14:textFill>
        </w:rPr>
        <w:t>（</w:t>
      </w:r>
      <w:r>
        <w:rPr>
          <w:color w:val="000000" w:themeColor="text1"/>
          <w14:textFill>
            <w14:solidFill>
              <w14:schemeClr w14:val="tx1"/>
            </w14:solidFill>
          </w14:textFill>
        </w:rPr>
        <w:t>3</w:t>
      </w:r>
      <w:r>
        <w:rPr>
          <w:rFonts w:hint="eastAsia"/>
          <w:color w:val="000000" w:themeColor="text1"/>
          <w14:textFill>
            <w14:solidFill>
              <w14:schemeClr w14:val="tx1"/>
            </w14:solidFill>
          </w14:textFill>
        </w:rPr>
        <w:t>）一层及二层底座与骨架主体结构为焊接一体式，不允许采用拼接形式。底座由型钢焊接而成，骨架主体结构采用型钢或薄壁冷弯型钢焊接式结构，钢板厚度不得小于</w:t>
      </w:r>
      <w:r>
        <w:rPr>
          <w:color w:val="000000" w:themeColor="text1"/>
          <w14:textFill>
            <w14:solidFill>
              <w14:schemeClr w14:val="tx1"/>
            </w14:solidFill>
          </w14:textFill>
        </w:rPr>
        <w:t>2mm</w:t>
      </w:r>
      <w:r>
        <w:rPr>
          <w:rFonts w:hint="eastAsia"/>
          <w:color w:val="000000" w:themeColor="text1"/>
          <w14:textFill>
            <w14:solidFill>
              <w14:schemeClr w14:val="tx1"/>
            </w14:solidFill>
          </w14:textFill>
        </w:rPr>
        <w:t>；底座需要满足设备荷载、开孔、穿线、穿管、安装及使用需求。</w:t>
      </w:r>
    </w:p>
    <w:p>
      <w:pPr>
        <w:tabs>
          <w:tab w:val="left" w:pos="1267"/>
        </w:tabs>
        <w:spacing w:line="360" w:lineRule="auto"/>
        <w:ind w:firstLine="420" w:firstLineChars="200"/>
        <w:rPr>
          <w:color w:val="000000" w:themeColor="text1"/>
          <w14:textFill>
            <w14:solidFill>
              <w14:schemeClr w14:val="tx1"/>
            </w14:solidFill>
          </w14:textFill>
        </w:rPr>
      </w:pPr>
      <w:r>
        <w:rPr>
          <w:color w:val="000000" w:themeColor="text1"/>
          <w14:textFill>
            <w14:solidFill>
              <w14:schemeClr w14:val="tx1"/>
            </w14:solidFill>
          </w14:textFill>
        </w:rPr>
        <w:t>（</w:t>
      </w:r>
      <w:r>
        <w:rPr>
          <w:rFonts w:hint="eastAsia"/>
          <w:color w:val="000000" w:themeColor="text1"/>
          <w14:textFill>
            <w14:solidFill>
              <w14:schemeClr w14:val="tx1"/>
            </w14:solidFill>
          </w14:textFill>
        </w:rPr>
        <w:t>4</w:t>
      </w:r>
      <w:r>
        <w:rPr>
          <w:color w:val="000000" w:themeColor="text1"/>
          <w14:textFill>
            <w14:solidFill>
              <w14:schemeClr w14:val="tx1"/>
            </w14:solidFill>
          </w14:textFill>
        </w:rPr>
        <w:t>）</w:t>
      </w:r>
      <w:r>
        <w:rPr>
          <w:color w:val="000000" w:themeColor="text1"/>
          <w:highlight w:val="none"/>
          <w14:textFill>
            <w14:solidFill>
              <w14:schemeClr w14:val="tx1"/>
            </w14:solidFill>
          </w14:textFill>
        </w:rPr>
        <w:t>舱体外墙体外彩钢板厚度不小于</w:t>
      </w:r>
      <w:r>
        <w:rPr>
          <w:rFonts w:hint="eastAsia"/>
          <w:color w:val="000000" w:themeColor="text1"/>
          <w:highlight w:val="none"/>
          <w14:textFill>
            <w14:solidFill>
              <w14:schemeClr w14:val="tx1"/>
            </w14:solidFill>
          </w14:textFill>
        </w:rPr>
        <w:t>0</w:t>
      </w:r>
      <w:r>
        <w:rPr>
          <w:color w:val="000000" w:themeColor="text1"/>
          <w:highlight w:val="none"/>
          <w14:textFill>
            <w14:solidFill>
              <w14:schemeClr w14:val="tx1"/>
            </w14:solidFill>
          </w14:textFill>
        </w:rPr>
        <w:t>.80mm，横向宽度不</w:t>
      </w:r>
      <w:r>
        <w:rPr>
          <w:rFonts w:hint="eastAsia"/>
          <w:color w:val="000000" w:themeColor="text1"/>
          <w:highlight w:val="none"/>
          <w14:textFill>
            <w14:solidFill>
              <w14:schemeClr w14:val="tx1"/>
            </w14:solidFill>
          </w14:textFill>
        </w:rPr>
        <w:t>小</w:t>
      </w:r>
      <w:r>
        <w:rPr>
          <w:color w:val="000000" w:themeColor="text1"/>
          <w:highlight w:val="none"/>
          <w14:textFill>
            <w14:solidFill>
              <w14:schemeClr w14:val="tx1"/>
            </w14:solidFill>
          </w14:textFill>
        </w:rPr>
        <w:t>于</w:t>
      </w:r>
      <w:r>
        <w:rPr>
          <w:rFonts w:hint="eastAsia"/>
          <w:color w:val="000000" w:themeColor="text1"/>
          <w:highlight w:val="none"/>
          <w14:textFill>
            <w14:solidFill>
              <w14:schemeClr w14:val="tx1"/>
            </w14:solidFill>
          </w14:textFill>
        </w:rPr>
        <w:t>1</w:t>
      </w:r>
      <w:r>
        <w:rPr>
          <w:color w:val="000000" w:themeColor="text1"/>
          <w:highlight w:val="none"/>
          <w14:textFill>
            <w14:solidFill>
              <w14:schemeClr w14:val="tx1"/>
            </w14:solidFill>
          </w14:textFill>
        </w:rPr>
        <w:t>250mm，纵向要求通长</w:t>
      </w:r>
      <w:r>
        <w:rPr>
          <w:rFonts w:hint="eastAsia"/>
          <w:color w:val="000000" w:themeColor="text1"/>
          <w:highlight w:val="none"/>
          <w14:textFill>
            <w14:solidFill>
              <w14:schemeClr w14:val="tx1"/>
            </w14:solidFill>
          </w14:textFill>
        </w:rPr>
        <w:t>；</w:t>
      </w:r>
      <w:r>
        <w:rPr>
          <w:color w:val="000000" w:themeColor="text1"/>
          <w:highlight w:val="none"/>
          <w14:textFill>
            <w14:solidFill>
              <w14:schemeClr w14:val="tx1"/>
            </w14:solidFill>
          </w14:textFill>
        </w:rPr>
        <w:t>外墙体</w:t>
      </w:r>
      <w:r>
        <w:rPr>
          <w:rFonts w:hint="eastAsia"/>
          <w:color w:val="000000" w:themeColor="text1"/>
          <w:highlight w:val="none"/>
          <w14:textFill>
            <w14:solidFill>
              <w14:schemeClr w14:val="tx1"/>
            </w14:solidFill>
          </w14:textFill>
        </w:rPr>
        <w:t>内</w:t>
      </w:r>
      <w:r>
        <w:rPr>
          <w:color w:val="000000" w:themeColor="text1"/>
          <w:highlight w:val="none"/>
          <w14:textFill>
            <w14:solidFill>
              <w14:schemeClr w14:val="tx1"/>
            </w14:solidFill>
          </w14:textFill>
        </w:rPr>
        <w:t>彩钢板厚度不小于</w:t>
      </w:r>
      <w:r>
        <w:rPr>
          <w:rFonts w:hint="eastAsia"/>
          <w:color w:val="000000" w:themeColor="text1"/>
          <w:highlight w:val="none"/>
          <w14:textFill>
            <w14:solidFill>
              <w14:schemeClr w14:val="tx1"/>
            </w14:solidFill>
          </w14:textFill>
        </w:rPr>
        <w:t>0</w:t>
      </w:r>
      <w:r>
        <w:rPr>
          <w:color w:val="000000" w:themeColor="text1"/>
          <w:highlight w:val="none"/>
          <w14:textFill>
            <w14:solidFill>
              <w14:schemeClr w14:val="tx1"/>
            </w14:solidFill>
          </w14:textFill>
        </w:rPr>
        <w:t>.60mm。舱体屋面外彩钢板厚度不小于</w:t>
      </w:r>
      <w:r>
        <w:rPr>
          <w:rFonts w:hint="eastAsia"/>
          <w:color w:val="000000" w:themeColor="text1"/>
          <w:highlight w:val="none"/>
          <w14:textFill>
            <w14:solidFill>
              <w14:schemeClr w14:val="tx1"/>
            </w14:solidFill>
          </w14:textFill>
        </w:rPr>
        <w:t>0</w:t>
      </w:r>
      <w:r>
        <w:rPr>
          <w:color w:val="000000" w:themeColor="text1"/>
          <w:highlight w:val="none"/>
          <w14:textFill>
            <w14:solidFill>
              <w14:schemeClr w14:val="tx1"/>
            </w14:solidFill>
          </w14:textFill>
        </w:rPr>
        <w:t>.65mm，要求单坡为整板</w:t>
      </w:r>
      <w:r>
        <w:rPr>
          <w:rFonts w:hint="eastAsia"/>
          <w:color w:val="000000" w:themeColor="text1"/>
          <w:highlight w:val="none"/>
          <w14:textFill>
            <w14:solidFill>
              <w14:schemeClr w14:val="tx1"/>
            </w14:solidFill>
          </w14:textFill>
        </w:rPr>
        <w:t>；</w:t>
      </w:r>
      <w:r>
        <w:rPr>
          <w:color w:val="000000" w:themeColor="text1"/>
          <w:highlight w:val="none"/>
          <w14:textFill>
            <w14:solidFill>
              <w14:schemeClr w14:val="tx1"/>
            </w14:solidFill>
          </w14:textFill>
        </w:rPr>
        <w:t>屋面内彩钢板厚度不小于</w:t>
      </w:r>
      <w:r>
        <w:rPr>
          <w:rFonts w:hint="eastAsia"/>
          <w:color w:val="000000" w:themeColor="text1"/>
          <w:highlight w:val="none"/>
          <w14:textFill>
            <w14:solidFill>
              <w14:schemeClr w14:val="tx1"/>
            </w14:solidFill>
          </w14:textFill>
        </w:rPr>
        <w:t>0</w:t>
      </w:r>
      <w:r>
        <w:rPr>
          <w:color w:val="000000" w:themeColor="text1"/>
          <w:highlight w:val="none"/>
          <w14:textFill>
            <w14:solidFill>
              <w14:schemeClr w14:val="tx1"/>
            </w14:solidFill>
          </w14:textFill>
        </w:rPr>
        <w:t>.60mm，要求单坡为整板。</w:t>
      </w:r>
    </w:p>
    <w:p>
      <w:pPr>
        <w:pStyle w:val="201"/>
        <w:adjustRightInd w:val="0"/>
        <w:snapToGrid w:val="0"/>
        <w:spacing w:line="360" w:lineRule="auto"/>
        <w:rPr>
          <w:rFonts w:ascii="Times New Roman" w:hAnsi="Times New Roman" w:eastAsia="宋体"/>
          <w:color w:val="000000" w:themeColor="text1"/>
          <w:kern w:val="2"/>
          <w:sz w:val="21"/>
          <w:szCs w:val="24"/>
          <w14:textFill>
            <w14:solidFill>
              <w14:schemeClr w14:val="tx1"/>
            </w14:solidFill>
          </w14:textFill>
        </w:rPr>
      </w:pPr>
      <w:r>
        <w:rPr>
          <w:rFonts w:hint="eastAsia" w:ascii="Times New Roman" w:hAnsi="Times New Roman" w:eastAsia="宋体"/>
          <w:color w:val="000000" w:themeColor="text1"/>
          <w:kern w:val="2"/>
          <w:sz w:val="21"/>
          <w:szCs w:val="24"/>
          <w14:textFill>
            <w14:solidFill>
              <w14:schemeClr w14:val="tx1"/>
            </w14:solidFill>
          </w14:textFill>
        </w:rPr>
        <w:t>（</w:t>
      </w:r>
      <w:r>
        <w:rPr>
          <w:rFonts w:ascii="Times New Roman" w:hAnsi="Times New Roman" w:eastAsia="宋体"/>
          <w:color w:val="000000" w:themeColor="text1"/>
          <w:kern w:val="2"/>
          <w:sz w:val="21"/>
          <w:szCs w:val="24"/>
          <w14:textFill>
            <w14:solidFill>
              <w14:schemeClr w14:val="tx1"/>
            </w14:solidFill>
          </w14:textFill>
        </w:rPr>
        <w:t>5</w:t>
      </w:r>
      <w:r>
        <w:rPr>
          <w:rFonts w:hint="eastAsia" w:ascii="Times New Roman" w:hAnsi="Times New Roman" w:eastAsia="宋体"/>
          <w:color w:val="000000" w:themeColor="text1"/>
          <w:kern w:val="2"/>
          <w:sz w:val="21"/>
          <w:szCs w:val="24"/>
          <w14:textFill>
            <w14:solidFill>
              <w14:schemeClr w14:val="tx1"/>
            </w14:solidFill>
          </w14:textFill>
        </w:rPr>
        <w:t>）舱门的设置需满足设备运输及整体搬出检修的需求。</w:t>
      </w:r>
    </w:p>
    <w:p>
      <w:pPr>
        <w:pStyle w:val="201"/>
        <w:adjustRightInd w:val="0"/>
        <w:snapToGrid w:val="0"/>
        <w:spacing w:line="360" w:lineRule="auto"/>
        <w:rPr>
          <w:rFonts w:ascii="Times New Roman" w:hAnsi="Times New Roman" w:eastAsia="宋体"/>
          <w:color w:val="000000" w:themeColor="text1"/>
          <w:kern w:val="2"/>
          <w:sz w:val="21"/>
          <w:szCs w:val="24"/>
          <w14:textFill>
            <w14:solidFill>
              <w14:schemeClr w14:val="tx1"/>
            </w14:solidFill>
          </w14:textFill>
        </w:rPr>
      </w:pPr>
      <w:bookmarkStart w:id="106" w:name="_Hlk182222712"/>
      <w:r>
        <w:rPr>
          <w:rFonts w:hint="eastAsia" w:ascii="Times New Roman" w:hAnsi="Times New Roman" w:eastAsia="宋体"/>
          <w:color w:val="000000" w:themeColor="text1"/>
          <w:kern w:val="2"/>
          <w:sz w:val="21"/>
          <w:szCs w:val="24"/>
          <w14:textFill>
            <w14:solidFill>
              <w14:schemeClr w14:val="tx1"/>
            </w14:solidFill>
          </w14:textFill>
        </w:rPr>
        <w:t>（</w:t>
      </w:r>
      <w:r>
        <w:rPr>
          <w:rFonts w:ascii="Times New Roman" w:hAnsi="Times New Roman" w:eastAsia="宋体"/>
          <w:color w:val="000000" w:themeColor="text1"/>
          <w:kern w:val="2"/>
          <w:sz w:val="21"/>
          <w:szCs w:val="24"/>
          <w14:textFill>
            <w14:solidFill>
              <w14:schemeClr w14:val="tx1"/>
            </w14:solidFill>
          </w14:textFill>
        </w:rPr>
        <w:t>6</w:t>
      </w:r>
      <w:r>
        <w:rPr>
          <w:rFonts w:hint="eastAsia" w:ascii="Times New Roman" w:hAnsi="Times New Roman" w:eastAsia="宋体"/>
          <w:color w:val="000000" w:themeColor="text1"/>
          <w:kern w:val="2"/>
          <w:sz w:val="21"/>
          <w:szCs w:val="24"/>
          <w14:textFill>
            <w14:solidFill>
              <w14:schemeClr w14:val="tx1"/>
            </w14:solidFill>
          </w14:textFill>
        </w:rPr>
        <w:t>）舱顶需安装</w:t>
      </w:r>
      <w:bookmarkStart w:id="107" w:name="_Hlk182222540"/>
      <w:r>
        <w:rPr>
          <w:rFonts w:hint="eastAsia" w:ascii="Times New Roman" w:hAnsi="Times New Roman" w:eastAsia="宋体"/>
          <w:color w:val="000000" w:themeColor="text1"/>
          <w:kern w:val="2"/>
          <w:sz w:val="21"/>
          <w:szCs w:val="24"/>
          <w14:textFill>
            <w14:solidFill>
              <w14:schemeClr w14:val="tx1"/>
            </w14:solidFill>
          </w14:textFill>
        </w:rPr>
        <w:t>单晶硅双面双玻光伏组件</w:t>
      </w:r>
      <w:bookmarkEnd w:id="107"/>
      <w:r>
        <w:rPr>
          <w:rFonts w:hint="eastAsia" w:ascii="Times New Roman" w:hAnsi="Times New Roman" w:eastAsia="宋体"/>
          <w:color w:val="000000" w:themeColor="text1"/>
          <w:kern w:val="2"/>
          <w:sz w:val="21"/>
          <w:szCs w:val="24"/>
          <w14:textFill>
            <w14:solidFill>
              <w14:schemeClr w14:val="tx1"/>
            </w14:solidFill>
          </w14:textFill>
        </w:rPr>
        <w:t>，单晶硅双面双玻光伏组件由第三方提供，投标方需设计、提供单晶硅双面双玻光伏组件安装支架及线缆槽盒等。</w:t>
      </w:r>
    </w:p>
    <w:p>
      <w:pPr>
        <w:pStyle w:val="201"/>
        <w:adjustRightInd w:val="0"/>
        <w:snapToGrid w:val="0"/>
        <w:spacing w:line="360" w:lineRule="auto"/>
        <w:rPr>
          <w:rFonts w:ascii="Times New Roman" w:hAnsi="Times New Roman" w:eastAsia="宋体"/>
          <w:color w:val="000000" w:themeColor="text1"/>
          <w:kern w:val="2"/>
          <w:sz w:val="21"/>
          <w:szCs w:val="24"/>
          <w14:textFill>
            <w14:solidFill>
              <w14:schemeClr w14:val="tx1"/>
            </w14:solidFill>
          </w14:textFill>
        </w:rPr>
      </w:pPr>
      <w:r>
        <w:rPr>
          <w:rFonts w:hint="eastAsia" w:ascii="Times New Roman" w:hAnsi="Times New Roman" w:eastAsia="宋体"/>
          <w:color w:val="000000" w:themeColor="text1"/>
          <w:kern w:val="2"/>
          <w:sz w:val="21"/>
          <w:szCs w:val="24"/>
          <w14:textFill>
            <w14:solidFill>
              <w14:schemeClr w14:val="tx1"/>
            </w14:solidFill>
          </w14:textFill>
        </w:rPr>
        <w:t>（7）舱体底部需有保温隔气层，确保室外水气不进入舱体内，导致舱内设备产生凝露。</w:t>
      </w:r>
    </w:p>
    <w:bookmarkEnd w:id="106"/>
    <w:p>
      <w:pPr>
        <w:pStyle w:val="201"/>
        <w:adjustRightInd w:val="0"/>
        <w:snapToGrid w:val="0"/>
        <w:spacing w:line="360" w:lineRule="auto"/>
        <w:ind w:firstLine="400"/>
        <w:jc w:val="center"/>
        <w:rPr>
          <w:rFonts w:ascii="Times New Roman" w:hAnsi="Times New Roman" w:eastAsia="宋体"/>
          <w:color w:val="000000" w:themeColor="text1"/>
          <w:sz w:val="21"/>
          <w:szCs w:val="21"/>
          <w14:textFill>
            <w14:solidFill>
              <w14:schemeClr w14:val="tx1"/>
            </w14:solidFill>
          </w14:textFill>
        </w:rPr>
      </w:pPr>
      <w:bookmarkStart w:id="108" w:name="_Toc119049829"/>
      <w:bookmarkStart w:id="109" w:name="_Toc429918944"/>
      <w:r>
        <w:drawing>
          <wp:inline distT="0" distB="0" distL="0" distR="0">
            <wp:extent cx="2193290" cy="3837305"/>
            <wp:effectExtent l="0" t="0" r="0" b="0"/>
            <wp:docPr id="43" name="图片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 name="图片 43"/>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a:xfrm>
                      <a:off x="0" y="0"/>
                      <a:ext cx="2203650" cy="3855163"/>
                    </a:xfrm>
                    <a:prstGeom prst="rect">
                      <a:avLst/>
                    </a:prstGeom>
                    <a:noFill/>
                    <a:ln>
                      <a:noFill/>
                    </a:ln>
                  </pic:spPr>
                </pic:pic>
              </a:graphicData>
            </a:graphic>
          </wp:inline>
        </w:drawing>
      </w:r>
    </w:p>
    <w:p>
      <w:pPr>
        <w:pStyle w:val="201"/>
        <w:adjustRightInd w:val="0"/>
        <w:snapToGrid w:val="0"/>
        <w:spacing w:line="360" w:lineRule="auto"/>
        <w:jc w:val="center"/>
        <w:rPr>
          <w:rFonts w:ascii="Times New Roman" w:hAnsi="Times New Roman" w:eastAsia="宋体"/>
          <w:color w:val="000000" w:themeColor="text1"/>
          <w:sz w:val="21"/>
          <w:szCs w:val="21"/>
          <w14:textFill>
            <w14:solidFill>
              <w14:schemeClr w14:val="tx1"/>
            </w14:solidFill>
          </w14:textFill>
        </w:rPr>
      </w:pPr>
    </w:p>
    <w:p>
      <w:pPr>
        <w:pStyle w:val="201"/>
        <w:adjustRightInd w:val="0"/>
        <w:snapToGrid w:val="0"/>
        <w:spacing w:line="360" w:lineRule="auto"/>
        <w:ind w:firstLine="400"/>
        <w:jc w:val="center"/>
        <w:rPr>
          <w:rFonts w:ascii="Times New Roman" w:hAnsi="Times New Roman" w:eastAsia="宋体"/>
          <w:color w:val="000000" w:themeColor="text1"/>
          <w:sz w:val="21"/>
          <w:szCs w:val="21"/>
          <w14:textFill>
            <w14:solidFill>
              <w14:schemeClr w14:val="tx1"/>
            </w14:solidFill>
          </w14:textFill>
        </w:rPr>
      </w:pPr>
      <w:r>
        <w:drawing>
          <wp:inline distT="0" distB="0" distL="0" distR="0">
            <wp:extent cx="1847215" cy="3539490"/>
            <wp:effectExtent l="0" t="0" r="635" b="3810"/>
            <wp:docPr id="38" name="图片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 name="图片 38"/>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a:xfrm>
                      <a:off x="0" y="0"/>
                      <a:ext cx="1856178" cy="3555807"/>
                    </a:xfrm>
                    <a:prstGeom prst="rect">
                      <a:avLst/>
                    </a:prstGeom>
                    <a:noFill/>
                    <a:ln>
                      <a:noFill/>
                    </a:ln>
                  </pic:spPr>
                </pic:pic>
              </a:graphicData>
            </a:graphic>
          </wp:inline>
        </w:drawing>
      </w:r>
    </w:p>
    <w:p>
      <w:pPr>
        <w:pStyle w:val="201"/>
        <w:adjustRightInd w:val="0"/>
        <w:snapToGrid w:val="0"/>
        <w:spacing w:line="360" w:lineRule="auto"/>
        <w:ind w:firstLine="400"/>
        <w:jc w:val="center"/>
        <w:rPr>
          <w:rFonts w:ascii="Times New Roman" w:hAnsi="Times New Roman" w:eastAsia="宋体"/>
          <w:color w:val="000000" w:themeColor="text1"/>
          <w:sz w:val="21"/>
          <w:szCs w:val="21"/>
          <w14:textFill>
            <w14:solidFill>
              <w14:schemeClr w14:val="tx1"/>
            </w14:solidFill>
          </w14:textFill>
        </w:rPr>
      </w:pPr>
      <w:r>
        <w:drawing>
          <wp:inline distT="0" distB="0" distL="0" distR="0">
            <wp:extent cx="1887855" cy="3865245"/>
            <wp:effectExtent l="0" t="0" r="0" b="1905"/>
            <wp:docPr id="37" name="图片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 name="图片 37"/>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a:xfrm>
                      <a:off x="0" y="0"/>
                      <a:ext cx="1891968" cy="3873735"/>
                    </a:xfrm>
                    <a:prstGeom prst="rect">
                      <a:avLst/>
                    </a:prstGeom>
                    <a:noFill/>
                    <a:ln>
                      <a:noFill/>
                    </a:ln>
                  </pic:spPr>
                </pic:pic>
              </a:graphicData>
            </a:graphic>
          </wp:inline>
        </w:drawing>
      </w:r>
    </w:p>
    <w:p>
      <w:pPr>
        <w:pStyle w:val="201"/>
        <w:adjustRightInd w:val="0"/>
        <w:snapToGrid w:val="0"/>
        <w:spacing w:line="360" w:lineRule="auto"/>
        <w:jc w:val="center"/>
        <w:rPr>
          <w:rFonts w:ascii="Times New Roman" w:hAnsi="Times New Roman" w:eastAsia="宋体"/>
          <w:color w:val="000000" w:themeColor="text1"/>
          <w:sz w:val="21"/>
          <w:szCs w:val="21"/>
          <w14:textFill>
            <w14:solidFill>
              <w14:schemeClr w14:val="tx1"/>
            </w14:solidFill>
          </w14:textFill>
        </w:rPr>
      </w:pPr>
      <w:r>
        <w:rPr>
          <w:rFonts w:hint="eastAsia" w:ascii="Times New Roman" w:hAnsi="Times New Roman" w:eastAsia="宋体"/>
          <w:color w:val="000000" w:themeColor="text1"/>
          <w:sz w:val="21"/>
          <w:szCs w:val="21"/>
          <w14:textFill>
            <w14:solidFill>
              <w14:schemeClr w14:val="tx1"/>
            </w14:solidFill>
          </w14:textFill>
        </w:rPr>
        <w:t>图</w:t>
      </w:r>
      <w:r>
        <w:rPr>
          <w:rFonts w:ascii="Times New Roman" w:hAnsi="Times New Roman" w:eastAsia="宋体"/>
          <w:color w:val="000000" w:themeColor="text1"/>
          <w:sz w:val="21"/>
          <w:szCs w:val="21"/>
          <w14:textFill>
            <w14:solidFill>
              <w14:schemeClr w14:val="tx1"/>
            </w14:solidFill>
          </w14:textFill>
        </w:rPr>
        <w:t xml:space="preserve">6.2-1 </w:t>
      </w:r>
      <w:r>
        <w:rPr>
          <w:rFonts w:hint="eastAsia" w:ascii="Times New Roman" w:hAnsi="Times New Roman" w:eastAsia="宋体"/>
          <w:color w:val="000000" w:themeColor="text1"/>
          <w:sz w:val="21"/>
          <w:szCs w:val="21"/>
          <w14:textFill>
            <w14:solidFill>
              <w14:schemeClr w14:val="tx1"/>
            </w14:solidFill>
          </w14:textFill>
        </w:rPr>
        <w:t>配电装置组合舱示意图（双层结构，单层净高≮</w:t>
      </w:r>
      <w:r>
        <w:rPr>
          <w:rFonts w:ascii="Times New Roman" w:hAnsi="Times New Roman" w:eastAsia="宋体"/>
          <w:color w:val="000000" w:themeColor="text1"/>
          <w:sz w:val="21"/>
          <w:szCs w:val="21"/>
          <w14:textFill>
            <w14:solidFill>
              <w14:schemeClr w14:val="tx1"/>
            </w14:solidFill>
          </w14:textFill>
        </w:rPr>
        <w:t>3500mm</w:t>
      </w:r>
      <w:r>
        <w:rPr>
          <w:rFonts w:hint="eastAsia" w:ascii="Times New Roman" w:hAnsi="Times New Roman" w:eastAsia="宋体"/>
          <w:color w:val="000000" w:themeColor="text1"/>
          <w:sz w:val="21"/>
          <w:szCs w:val="21"/>
          <w14:textFill>
            <w14:solidFill>
              <w14:schemeClr w14:val="tx1"/>
            </w14:solidFill>
          </w14:textFill>
        </w:rPr>
        <w:t>）</w:t>
      </w:r>
    </w:p>
    <w:p>
      <w:pPr>
        <w:pStyle w:val="201"/>
        <w:adjustRightInd w:val="0"/>
        <w:snapToGrid w:val="0"/>
        <w:spacing w:line="360" w:lineRule="auto"/>
        <w:rPr>
          <w:rFonts w:ascii="Times New Roman" w:hAnsi="Times New Roman" w:eastAsia="宋体"/>
          <w:color w:val="000000" w:themeColor="text1"/>
          <w:sz w:val="21"/>
          <w:szCs w:val="21"/>
          <w14:textFill>
            <w14:solidFill>
              <w14:schemeClr w14:val="tx1"/>
            </w14:solidFill>
          </w14:textFill>
        </w:rPr>
      </w:pPr>
      <w:r>
        <w:rPr>
          <w:rFonts w:ascii="Times New Roman" w:hAnsi="Times New Roman" w:eastAsia="宋体"/>
          <w:color w:val="000000" w:themeColor="text1"/>
          <w:sz w:val="21"/>
          <w:szCs w:val="21"/>
          <w14:textFill>
            <w14:solidFill>
              <w14:schemeClr w14:val="tx1"/>
            </w14:solidFill>
          </w14:textFill>
        </w:rPr>
        <w:t>3</w:t>
      </w:r>
      <w:r>
        <w:rPr>
          <w:rFonts w:hint="eastAsia" w:ascii="Times New Roman" w:hAnsi="Times New Roman" w:eastAsia="宋体"/>
          <w:color w:val="000000" w:themeColor="text1"/>
          <w:sz w:val="21"/>
          <w:szCs w:val="21"/>
          <w14:textFill>
            <w14:solidFill>
              <w14:schemeClr w14:val="tx1"/>
            </w14:solidFill>
          </w14:textFill>
        </w:rPr>
        <w:t>、舱体护栏与检修爬梯</w:t>
      </w:r>
      <w:bookmarkEnd w:id="108"/>
      <w:bookmarkEnd w:id="109"/>
    </w:p>
    <w:p>
      <w:pPr>
        <w:pStyle w:val="201"/>
        <w:adjustRightInd w:val="0"/>
        <w:snapToGrid w:val="0"/>
        <w:spacing w:line="360" w:lineRule="auto"/>
        <w:rPr>
          <w:rFonts w:ascii="Times New Roman" w:hAnsi="Times New Roman" w:eastAsia="宋体"/>
          <w:color w:val="000000" w:themeColor="text1"/>
          <w:sz w:val="21"/>
          <w:szCs w:val="21"/>
          <w14:textFill>
            <w14:solidFill>
              <w14:schemeClr w14:val="tx1"/>
            </w14:solidFill>
          </w14:textFill>
        </w:rPr>
      </w:pPr>
      <w:r>
        <w:rPr>
          <w:rFonts w:hint="eastAsia" w:ascii="Times New Roman" w:hAnsi="Times New Roman" w:eastAsia="宋体"/>
          <w:color w:val="000000" w:themeColor="text1"/>
          <w:sz w:val="21"/>
          <w:szCs w:val="21"/>
          <w14:textFill>
            <w14:solidFill>
              <w14:schemeClr w14:val="tx1"/>
            </w14:solidFill>
          </w14:textFill>
        </w:rPr>
        <w:t>围栏、爬梯等的设计和生产制作应遵循相关设计规范和标准。</w:t>
      </w:r>
    </w:p>
    <w:p>
      <w:pPr>
        <w:pStyle w:val="201"/>
        <w:adjustRightInd w:val="0"/>
        <w:snapToGrid w:val="0"/>
        <w:spacing w:line="360" w:lineRule="auto"/>
        <w:rPr>
          <w:rFonts w:ascii="Times New Roman" w:hAnsi="Times New Roman" w:eastAsia="宋体"/>
          <w:color w:val="000000" w:themeColor="text1"/>
          <w:sz w:val="21"/>
          <w:szCs w:val="21"/>
          <w14:textFill>
            <w14:solidFill>
              <w14:schemeClr w14:val="tx1"/>
            </w14:solidFill>
          </w14:textFill>
        </w:rPr>
      </w:pPr>
      <w:r>
        <w:rPr>
          <w:rFonts w:hint="eastAsia" w:ascii="Times New Roman" w:hAnsi="Times New Roman" w:eastAsia="宋体"/>
          <w:color w:val="000000" w:themeColor="text1"/>
          <w:sz w:val="21"/>
          <w:szCs w:val="21"/>
          <w14:textFill>
            <w14:solidFill>
              <w14:schemeClr w14:val="tx1"/>
            </w14:solidFill>
          </w14:textFill>
        </w:rPr>
        <w:t>在舱顶附近舱壁处需设置检修爬梯及护笼，方便运维检修及保证安全。</w:t>
      </w:r>
    </w:p>
    <w:p>
      <w:pPr>
        <w:pStyle w:val="201"/>
        <w:adjustRightInd w:val="0"/>
        <w:snapToGrid w:val="0"/>
        <w:spacing w:line="360" w:lineRule="auto"/>
        <w:rPr>
          <w:rFonts w:ascii="Times New Roman" w:hAnsi="Times New Roman" w:eastAsia="宋体"/>
          <w:color w:val="000000" w:themeColor="text1"/>
          <w:sz w:val="21"/>
          <w:szCs w:val="21"/>
          <w14:textFill>
            <w14:solidFill>
              <w14:schemeClr w14:val="tx1"/>
            </w14:solidFill>
          </w14:textFill>
        </w:rPr>
      </w:pPr>
      <w:r>
        <w:rPr>
          <w:rFonts w:hint="eastAsia" w:ascii="Times New Roman" w:hAnsi="Times New Roman" w:eastAsia="宋体"/>
          <w:color w:val="000000" w:themeColor="text1"/>
          <w:sz w:val="21"/>
          <w:szCs w:val="21"/>
          <w14:textFill>
            <w14:solidFill>
              <w14:schemeClr w14:val="tx1"/>
            </w14:solidFill>
          </w14:textFill>
        </w:rPr>
        <w:t>检修爬梯、围栏、扶手等必须采用不锈钢材质以保证防腐效果。</w:t>
      </w:r>
    </w:p>
    <w:p>
      <w:pPr>
        <w:pStyle w:val="201"/>
        <w:adjustRightInd w:val="0"/>
        <w:snapToGrid w:val="0"/>
        <w:spacing w:line="360" w:lineRule="auto"/>
        <w:rPr>
          <w:rFonts w:ascii="Times New Roman" w:hAnsi="Times New Roman" w:eastAsia="宋体"/>
          <w:color w:val="000000" w:themeColor="text1"/>
          <w:sz w:val="21"/>
          <w:szCs w:val="21"/>
          <w:highlight w:val="none"/>
          <w14:textFill>
            <w14:solidFill>
              <w14:schemeClr w14:val="tx1"/>
            </w14:solidFill>
          </w14:textFill>
        </w:rPr>
      </w:pPr>
      <w:r>
        <w:rPr>
          <w:rFonts w:ascii="Times New Roman" w:hAnsi="Times New Roman" w:eastAsia="宋体"/>
          <w:color w:val="000000" w:themeColor="text1"/>
          <w:sz w:val="21"/>
          <w:szCs w:val="21"/>
          <w:highlight w:val="none"/>
          <w14:textFill>
            <w14:solidFill>
              <w14:schemeClr w14:val="tx1"/>
            </w14:solidFill>
          </w14:textFill>
        </w:rPr>
        <w:t>4</w:t>
      </w:r>
      <w:r>
        <w:rPr>
          <w:rFonts w:hint="eastAsia" w:ascii="Times New Roman" w:hAnsi="Times New Roman" w:eastAsia="宋体"/>
          <w:color w:val="000000" w:themeColor="text1"/>
          <w:sz w:val="21"/>
          <w:szCs w:val="21"/>
          <w:highlight w:val="none"/>
          <w14:textFill>
            <w14:solidFill>
              <w14:schemeClr w14:val="tx1"/>
            </w14:solidFill>
          </w14:textFill>
        </w:rPr>
        <w:t>、工作界面划分</w:t>
      </w:r>
    </w:p>
    <w:p>
      <w:pPr>
        <w:pStyle w:val="201"/>
        <w:adjustRightInd w:val="0"/>
        <w:snapToGrid w:val="0"/>
        <w:spacing w:line="360" w:lineRule="auto"/>
        <w:rPr>
          <w:rFonts w:ascii="Times New Roman" w:hAnsi="Times New Roman" w:eastAsia="宋体"/>
          <w:color w:val="000000" w:themeColor="text1"/>
          <w:sz w:val="21"/>
          <w:szCs w:val="21"/>
          <w:highlight w:val="none"/>
          <w14:textFill>
            <w14:solidFill>
              <w14:schemeClr w14:val="tx1"/>
            </w14:solidFill>
          </w14:textFill>
        </w:rPr>
      </w:pPr>
      <w:r>
        <w:rPr>
          <w:rFonts w:hint="eastAsia" w:ascii="Times New Roman" w:hAnsi="Times New Roman" w:eastAsia="宋体"/>
          <w:color w:val="000000" w:themeColor="text1"/>
          <w:sz w:val="21"/>
          <w:szCs w:val="21"/>
          <w:highlight w:val="none"/>
          <w14:textFill>
            <w14:solidFill>
              <w14:schemeClr w14:val="tx1"/>
            </w14:solidFill>
          </w14:textFill>
        </w:rPr>
        <w:t>（</w:t>
      </w:r>
      <w:r>
        <w:rPr>
          <w:rFonts w:ascii="Times New Roman" w:hAnsi="Times New Roman" w:eastAsia="宋体"/>
          <w:color w:val="000000" w:themeColor="text1"/>
          <w:sz w:val="21"/>
          <w:szCs w:val="21"/>
          <w:highlight w:val="none"/>
          <w14:textFill>
            <w14:solidFill>
              <w14:schemeClr w14:val="tx1"/>
            </w14:solidFill>
          </w14:textFill>
        </w:rPr>
        <w:t>1</w:t>
      </w:r>
      <w:r>
        <w:rPr>
          <w:rFonts w:hint="eastAsia" w:ascii="Times New Roman" w:hAnsi="Times New Roman" w:eastAsia="宋体"/>
          <w:color w:val="000000" w:themeColor="text1"/>
          <w:sz w:val="21"/>
          <w:szCs w:val="21"/>
          <w:highlight w:val="none"/>
          <w14:textFill>
            <w14:solidFill>
              <w14:schemeClr w14:val="tx1"/>
            </w14:solidFill>
          </w14:textFill>
        </w:rPr>
        <w:t>）舱体内10kV开关柜、站用电系统设备、二次设备、通信设备等主设备的安装和调试由施工单位负责，预制舱厂商及其他厂商配合；照明、动力、消防、通风、空调、检修、接地、检修爬梯及附属围栏、扶手、防小动物措施等辅助设施由投标方提供，由投标方在工厂内安装及并调试交付；</w:t>
      </w:r>
    </w:p>
    <w:p>
      <w:pPr>
        <w:pStyle w:val="201"/>
        <w:adjustRightInd w:val="0"/>
        <w:snapToGrid w:val="0"/>
        <w:spacing w:line="360" w:lineRule="auto"/>
        <w:rPr>
          <w:rFonts w:ascii="Times New Roman" w:hAnsi="Times New Roman" w:eastAsia="宋体"/>
          <w:color w:val="000000" w:themeColor="text1"/>
          <w:sz w:val="21"/>
          <w:szCs w:val="21"/>
          <w:highlight w:val="none"/>
          <w14:textFill>
            <w14:solidFill>
              <w14:schemeClr w14:val="tx1"/>
            </w14:solidFill>
          </w14:textFill>
        </w:rPr>
      </w:pPr>
      <w:r>
        <w:rPr>
          <w:rFonts w:hint="eastAsia" w:ascii="Times New Roman" w:hAnsi="Times New Roman" w:eastAsia="宋体"/>
          <w:color w:val="000000" w:themeColor="text1"/>
          <w:sz w:val="21"/>
          <w:szCs w:val="21"/>
          <w:highlight w:val="none"/>
          <w14:textFill>
            <w14:solidFill>
              <w14:schemeClr w14:val="tx1"/>
            </w14:solidFill>
          </w14:textFill>
        </w:rPr>
        <w:t>（2）舱体内</w:t>
      </w:r>
      <w:r>
        <w:rPr>
          <w:rFonts w:ascii="Times New Roman" w:hAnsi="Times New Roman" w:eastAsia="宋体"/>
          <w:color w:val="000000" w:themeColor="text1"/>
          <w:sz w:val="21"/>
          <w:szCs w:val="21"/>
          <w:highlight w:val="none"/>
          <w14:textFill>
            <w14:solidFill>
              <w14:schemeClr w14:val="tx1"/>
            </w14:solidFill>
          </w14:textFill>
        </w:rPr>
        <w:t>10kV</w:t>
      </w:r>
      <w:r>
        <w:rPr>
          <w:rFonts w:hint="eastAsia" w:ascii="Times New Roman" w:hAnsi="Times New Roman" w:eastAsia="宋体"/>
          <w:color w:val="000000" w:themeColor="text1"/>
          <w:sz w:val="21"/>
          <w:szCs w:val="21"/>
          <w:highlight w:val="none"/>
          <w14:textFill>
            <w14:solidFill>
              <w14:schemeClr w14:val="tx1"/>
            </w14:solidFill>
          </w14:textFill>
        </w:rPr>
        <w:t>开关柜、站用电系统设备、二次设备、通信设备等主设备所需连接电缆、线缆由招标方提供，设备线缆、电缆接线由投标方及本项目设计单位共同确认敷设方式，投标方完成舱体内部的线缆敷设及设备接线；出舱线缆由施工方敷设；照明、动力、消防、通风、空调、检修等辅助设施所用电缆，由投标方提供并完成敷设；</w:t>
      </w:r>
    </w:p>
    <w:p>
      <w:pPr>
        <w:pStyle w:val="201"/>
        <w:adjustRightInd w:val="0"/>
        <w:snapToGrid w:val="0"/>
        <w:spacing w:line="360" w:lineRule="auto"/>
        <w:rPr>
          <w:rFonts w:ascii="Times New Roman" w:hAnsi="Times New Roman" w:eastAsia="宋体"/>
          <w:color w:val="000000" w:themeColor="text1"/>
          <w:sz w:val="21"/>
          <w:szCs w:val="21"/>
          <w:highlight w:val="none"/>
          <w14:textFill>
            <w14:solidFill>
              <w14:schemeClr w14:val="tx1"/>
            </w14:solidFill>
          </w14:textFill>
        </w:rPr>
      </w:pPr>
      <w:r>
        <w:rPr>
          <w:rFonts w:hint="eastAsia" w:ascii="Times New Roman" w:hAnsi="Times New Roman" w:eastAsia="宋体"/>
          <w:color w:val="000000" w:themeColor="text1"/>
          <w:sz w:val="21"/>
          <w:szCs w:val="21"/>
          <w:highlight w:val="none"/>
          <w14:textFill>
            <w14:solidFill>
              <w14:schemeClr w14:val="tx1"/>
            </w14:solidFill>
          </w14:textFill>
        </w:rPr>
        <w:t>（</w:t>
      </w:r>
      <w:r>
        <w:rPr>
          <w:rFonts w:ascii="Times New Roman" w:hAnsi="Times New Roman" w:eastAsia="宋体"/>
          <w:color w:val="000000" w:themeColor="text1"/>
          <w:sz w:val="21"/>
          <w:szCs w:val="21"/>
          <w:highlight w:val="none"/>
          <w14:textFill>
            <w14:solidFill>
              <w14:schemeClr w14:val="tx1"/>
            </w14:solidFill>
          </w14:textFill>
        </w:rPr>
        <w:t>3</w:t>
      </w:r>
      <w:r>
        <w:rPr>
          <w:rFonts w:hint="eastAsia" w:ascii="Times New Roman" w:hAnsi="Times New Roman" w:eastAsia="宋体"/>
          <w:color w:val="000000" w:themeColor="text1"/>
          <w:sz w:val="21"/>
          <w:szCs w:val="21"/>
          <w:highlight w:val="none"/>
          <w14:textFill>
            <w14:solidFill>
              <w14:schemeClr w14:val="tx1"/>
            </w14:solidFill>
          </w14:textFill>
        </w:rPr>
        <w:t>）招标方所提供设备的安装方式及检修需求由本项目设计单位及招标方共同与设备厂家确认；</w:t>
      </w:r>
    </w:p>
    <w:p>
      <w:pPr>
        <w:pStyle w:val="201"/>
        <w:adjustRightInd w:val="0"/>
        <w:snapToGrid w:val="0"/>
        <w:spacing w:line="360" w:lineRule="auto"/>
        <w:rPr>
          <w:rFonts w:ascii="Times New Roman" w:hAnsi="Times New Roman" w:eastAsia="宋体"/>
          <w:color w:val="000000" w:themeColor="text1"/>
          <w:sz w:val="21"/>
          <w:szCs w:val="21"/>
          <w:highlight w:val="none"/>
          <w14:textFill>
            <w14:solidFill>
              <w14:schemeClr w14:val="tx1"/>
            </w14:solidFill>
          </w14:textFill>
        </w:rPr>
      </w:pPr>
      <w:r>
        <w:rPr>
          <w:rFonts w:hint="eastAsia" w:ascii="Times New Roman" w:hAnsi="Times New Roman" w:eastAsia="宋体"/>
          <w:color w:val="000000" w:themeColor="text1"/>
          <w:sz w:val="21"/>
          <w:szCs w:val="21"/>
          <w:highlight w:val="none"/>
          <w14:textFill>
            <w14:solidFill>
              <w14:schemeClr w14:val="tx1"/>
            </w14:solidFill>
          </w14:textFill>
        </w:rPr>
        <w:t>（</w:t>
      </w:r>
      <w:r>
        <w:rPr>
          <w:rFonts w:ascii="Times New Roman" w:hAnsi="Times New Roman" w:eastAsia="宋体"/>
          <w:color w:val="000000" w:themeColor="text1"/>
          <w:sz w:val="21"/>
          <w:szCs w:val="21"/>
          <w:highlight w:val="none"/>
          <w14:textFill>
            <w14:solidFill>
              <w14:schemeClr w14:val="tx1"/>
            </w14:solidFill>
          </w14:textFill>
        </w:rPr>
        <w:t>3</w:t>
      </w:r>
      <w:r>
        <w:rPr>
          <w:rFonts w:hint="eastAsia" w:ascii="Times New Roman" w:hAnsi="Times New Roman" w:eastAsia="宋体"/>
          <w:color w:val="000000" w:themeColor="text1"/>
          <w:sz w:val="21"/>
          <w:szCs w:val="21"/>
          <w:highlight w:val="none"/>
          <w14:textFill>
            <w14:solidFill>
              <w14:schemeClr w14:val="tx1"/>
            </w14:solidFill>
          </w14:textFill>
        </w:rPr>
        <w:t>）内部装修、配置设施及消防设备均由投标方设计后发本项目设计单位确认，内部装修、配置设施及消防设备均由投标方在工厂内预装完成；</w:t>
      </w:r>
    </w:p>
    <w:p>
      <w:pPr>
        <w:pStyle w:val="201"/>
        <w:adjustRightInd w:val="0"/>
        <w:snapToGrid w:val="0"/>
        <w:spacing w:line="360" w:lineRule="auto"/>
        <w:rPr>
          <w:rFonts w:ascii="Times New Roman" w:hAnsi="Times New Roman" w:eastAsia="宋体"/>
          <w:color w:val="000000" w:themeColor="text1"/>
          <w:sz w:val="21"/>
          <w:szCs w:val="21"/>
          <w:highlight w:val="none"/>
          <w14:textFill>
            <w14:solidFill>
              <w14:schemeClr w14:val="tx1"/>
            </w14:solidFill>
          </w14:textFill>
        </w:rPr>
      </w:pPr>
      <w:r>
        <w:rPr>
          <w:rFonts w:hint="eastAsia" w:ascii="Times New Roman" w:hAnsi="Times New Roman" w:eastAsia="宋体"/>
          <w:color w:val="000000" w:themeColor="text1"/>
          <w:sz w:val="21"/>
          <w:szCs w:val="21"/>
          <w:highlight w:val="none"/>
          <w14:textFill>
            <w14:solidFill>
              <w14:schemeClr w14:val="tx1"/>
            </w14:solidFill>
          </w14:textFill>
        </w:rPr>
        <w:t>（</w:t>
      </w:r>
      <w:r>
        <w:rPr>
          <w:rFonts w:ascii="Times New Roman" w:hAnsi="Times New Roman" w:eastAsia="宋体"/>
          <w:color w:val="000000" w:themeColor="text1"/>
          <w:sz w:val="21"/>
          <w:szCs w:val="21"/>
          <w:highlight w:val="none"/>
          <w14:textFill>
            <w14:solidFill>
              <w14:schemeClr w14:val="tx1"/>
            </w14:solidFill>
          </w14:textFill>
        </w:rPr>
        <w:t>4</w:t>
      </w:r>
      <w:r>
        <w:rPr>
          <w:rFonts w:hint="eastAsia" w:ascii="Times New Roman" w:hAnsi="Times New Roman" w:eastAsia="宋体"/>
          <w:color w:val="000000" w:themeColor="text1"/>
          <w:sz w:val="21"/>
          <w:szCs w:val="21"/>
          <w:highlight w:val="none"/>
          <w14:textFill>
            <w14:solidFill>
              <w14:schemeClr w14:val="tx1"/>
            </w14:solidFill>
          </w14:textFill>
        </w:rPr>
        <w:t>）预制舱厂商提供的设备、辅助系统的安装和调试由预制舱厂商完成，施工单位配合；其他设备、系统的安装和调试由施工单位负责，预制舱厂商及其他厂商配合；</w:t>
      </w:r>
    </w:p>
    <w:p>
      <w:pPr>
        <w:pStyle w:val="201"/>
        <w:adjustRightInd w:val="0"/>
        <w:snapToGrid w:val="0"/>
        <w:spacing w:line="360" w:lineRule="auto"/>
        <w:rPr>
          <w:rFonts w:ascii="Times New Roman" w:hAnsi="Times New Roman" w:eastAsia="宋体"/>
          <w:color w:val="000000" w:themeColor="text1"/>
          <w:sz w:val="21"/>
          <w:szCs w:val="21"/>
          <w:highlight w:val="none"/>
          <w14:textFill>
            <w14:solidFill>
              <w14:schemeClr w14:val="tx1"/>
            </w14:solidFill>
          </w14:textFill>
        </w:rPr>
      </w:pPr>
      <w:r>
        <w:rPr>
          <w:rFonts w:hint="eastAsia" w:ascii="Times New Roman" w:hAnsi="Times New Roman" w:eastAsia="宋体"/>
          <w:color w:val="000000" w:themeColor="text1"/>
          <w:sz w:val="21"/>
          <w:szCs w:val="21"/>
          <w:highlight w:val="none"/>
          <w14:textFill>
            <w14:solidFill>
              <w14:schemeClr w14:val="tx1"/>
            </w14:solidFill>
          </w14:textFill>
        </w:rPr>
        <w:t>（</w:t>
      </w:r>
      <w:r>
        <w:rPr>
          <w:rFonts w:ascii="Times New Roman" w:hAnsi="Times New Roman" w:eastAsia="宋体"/>
          <w:color w:val="000000" w:themeColor="text1"/>
          <w:sz w:val="21"/>
          <w:szCs w:val="21"/>
          <w:highlight w:val="none"/>
          <w14:textFill>
            <w14:solidFill>
              <w14:schemeClr w14:val="tx1"/>
            </w14:solidFill>
          </w14:textFill>
        </w:rPr>
        <w:t>5</w:t>
      </w:r>
      <w:r>
        <w:rPr>
          <w:rFonts w:hint="eastAsia" w:ascii="Times New Roman" w:hAnsi="Times New Roman" w:eastAsia="宋体"/>
          <w:color w:val="000000" w:themeColor="text1"/>
          <w:sz w:val="21"/>
          <w:szCs w:val="21"/>
          <w:highlight w:val="none"/>
          <w14:textFill>
            <w14:solidFill>
              <w14:schemeClr w14:val="tx1"/>
            </w14:solidFill>
          </w14:textFill>
        </w:rPr>
        <w:t>）</w:t>
      </w:r>
      <w:r>
        <w:rPr>
          <w:rFonts w:hint="eastAsia" w:ascii="Times New Roman" w:hAnsi="Times New Roman" w:eastAsia="宋体"/>
          <w:color w:val="000000" w:themeColor="text1"/>
          <w:kern w:val="2"/>
          <w:sz w:val="21"/>
          <w:szCs w:val="24"/>
          <w:highlight w:val="none"/>
          <w14:textFill>
            <w14:solidFill>
              <w14:schemeClr w14:val="tx1"/>
            </w14:solidFill>
          </w14:textFill>
        </w:rPr>
        <w:t>舱顶需安装单晶硅双面双玻光伏组件，单晶硅双面双玻光伏组件由第三方提供，投标方需设计、提供单晶硅双面双玻光伏组件安装支架及线缆槽盒等。</w:t>
      </w:r>
      <w:r>
        <w:rPr>
          <w:rFonts w:hint="eastAsia" w:ascii="Times New Roman" w:hAnsi="Times New Roman" w:eastAsia="宋体"/>
          <w:color w:val="000000" w:themeColor="text1"/>
          <w:sz w:val="21"/>
          <w:szCs w:val="21"/>
          <w:highlight w:val="none"/>
          <w14:textFill>
            <w14:solidFill>
              <w14:schemeClr w14:val="tx1"/>
            </w14:solidFill>
          </w14:textFill>
        </w:rPr>
        <w:t>支架及线槽由投标方在工厂内预装完成。</w:t>
      </w:r>
    </w:p>
    <w:p>
      <w:pPr>
        <w:pStyle w:val="201"/>
        <w:adjustRightInd w:val="0"/>
        <w:snapToGrid w:val="0"/>
        <w:spacing w:line="360" w:lineRule="auto"/>
        <w:rPr>
          <w:rFonts w:ascii="Times New Roman" w:hAnsi="Times New Roman" w:eastAsia="宋体"/>
          <w:color w:val="000000" w:themeColor="text1"/>
          <w:sz w:val="21"/>
          <w:szCs w:val="21"/>
          <w:highlight w:val="none"/>
          <w14:textFill>
            <w14:solidFill>
              <w14:schemeClr w14:val="tx1"/>
            </w14:solidFill>
          </w14:textFill>
        </w:rPr>
      </w:pPr>
      <w:r>
        <w:rPr>
          <w:rFonts w:hint="eastAsia" w:ascii="Times New Roman" w:hAnsi="Times New Roman" w:eastAsia="宋体"/>
          <w:color w:val="000000" w:themeColor="text1"/>
          <w:sz w:val="21"/>
          <w:szCs w:val="21"/>
          <w:highlight w:val="none"/>
          <w14:textFill>
            <w14:solidFill>
              <w14:schemeClr w14:val="tx1"/>
            </w14:solidFill>
          </w14:textFill>
        </w:rPr>
        <w:t>（6）预制舱吊装及安装由投标方完成。招标方在设计舱体时，应考虑设置高空作业安装措施。</w:t>
      </w:r>
    </w:p>
    <w:p>
      <w:pPr>
        <w:pStyle w:val="201"/>
        <w:adjustRightInd w:val="0"/>
        <w:snapToGrid w:val="0"/>
        <w:spacing w:line="360" w:lineRule="auto"/>
        <w:rPr>
          <w:rFonts w:ascii="Times New Roman" w:hAnsi="Times New Roman" w:eastAsia="宋体"/>
          <w:color w:val="000000" w:themeColor="text1"/>
          <w:sz w:val="21"/>
          <w:szCs w:val="21"/>
          <w:highlight w:val="none"/>
          <w14:textFill>
            <w14:solidFill>
              <w14:schemeClr w14:val="tx1"/>
            </w14:solidFill>
          </w14:textFill>
        </w:rPr>
      </w:pPr>
      <w:r>
        <w:rPr>
          <w:rFonts w:hint="eastAsia" w:ascii="Times New Roman" w:hAnsi="Times New Roman" w:eastAsia="宋体"/>
          <w:color w:val="000000" w:themeColor="text1"/>
          <w:sz w:val="21"/>
          <w:szCs w:val="21"/>
          <w:highlight w:val="none"/>
          <w14:textFill>
            <w14:solidFill>
              <w14:schemeClr w14:val="tx1"/>
            </w14:solidFill>
          </w14:textFill>
        </w:rPr>
        <w:t>除以上工作量外，投标方负责预制舱舱体维护工作。舱体外部喷漆前供货方需制作外观效果图方案供招标方选择。</w:t>
      </w:r>
    </w:p>
    <w:p>
      <w:pPr>
        <w:pStyle w:val="201"/>
        <w:adjustRightInd w:val="0"/>
        <w:snapToGrid w:val="0"/>
        <w:spacing w:line="360" w:lineRule="auto"/>
        <w:rPr>
          <w:rFonts w:ascii="Times New Roman" w:hAnsi="Times New Roman" w:eastAsia="宋体"/>
          <w:color w:val="000000" w:themeColor="text1"/>
          <w:sz w:val="21"/>
          <w:szCs w:val="21"/>
          <w14:textFill>
            <w14:solidFill>
              <w14:schemeClr w14:val="tx1"/>
            </w14:solidFill>
          </w14:textFill>
        </w:rPr>
      </w:pPr>
    </w:p>
    <w:p>
      <w:pPr>
        <w:pStyle w:val="3"/>
        <w:numPr>
          <w:ilvl w:val="1"/>
          <w:numId w:val="0"/>
        </w:numPr>
        <w:rPr>
          <w:rFonts w:ascii="黑体" w:hAnsi="黑体" w:eastAsia="黑体"/>
          <w:color w:val="000000" w:themeColor="text1"/>
          <w14:textFill>
            <w14:solidFill>
              <w14:schemeClr w14:val="tx1"/>
            </w14:solidFill>
          </w14:textFill>
        </w:rPr>
      </w:pPr>
      <w:bookmarkStart w:id="110" w:name="_Toc177995337"/>
      <w:r>
        <w:rPr>
          <w:rFonts w:ascii="黑体" w:hAnsi="黑体" w:eastAsia="黑体"/>
          <w:color w:val="000000" w:themeColor="text1"/>
          <w14:textFill>
            <w14:solidFill>
              <w14:schemeClr w14:val="tx1"/>
            </w14:solidFill>
          </w14:textFill>
        </w:rPr>
        <w:t>6.3 SMES及升压变流系统组合预制舱</w:t>
      </w:r>
      <w:bookmarkEnd w:id="110"/>
    </w:p>
    <w:p>
      <w:pPr>
        <w:pStyle w:val="201"/>
        <w:adjustRightInd w:val="0"/>
        <w:snapToGrid w:val="0"/>
        <w:spacing w:line="360" w:lineRule="auto"/>
        <w:rPr>
          <w:rFonts w:ascii="Times New Roman" w:hAnsi="Times New Roman" w:eastAsia="宋体"/>
          <w:color w:val="000000" w:themeColor="text1"/>
          <w:sz w:val="21"/>
          <w:szCs w:val="21"/>
          <w14:textFill>
            <w14:solidFill>
              <w14:schemeClr w14:val="tx1"/>
            </w14:solidFill>
          </w14:textFill>
        </w:rPr>
      </w:pPr>
      <w:r>
        <w:rPr>
          <w:rFonts w:ascii="Times New Roman" w:hAnsi="Times New Roman" w:eastAsia="宋体"/>
          <w:color w:val="000000" w:themeColor="text1"/>
          <w:sz w:val="21"/>
          <w:szCs w:val="21"/>
          <w14:textFill>
            <w14:solidFill>
              <w14:schemeClr w14:val="tx1"/>
            </w14:solidFill>
          </w14:textFill>
        </w:rPr>
        <w:t>1</w:t>
      </w:r>
      <w:r>
        <w:rPr>
          <w:rFonts w:hint="eastAsia" w:ascii="Times New Roman" w:hAnsi="Times New Roman" w:eastAsia="宋体"/>
          <w:color w:val="000000" w:themeColor="text1"/>
          <w:sz w:val="21"/>
          <w:szCs w:val="21"/>
          <w14:textFill>
            <w14:solidFill>
              <w14:schemeClr w14:val="tx1"/>
            </w14:solidFill>
          </w14:textFill>
        </w:rPr>
        <w:t>、总则</w:t>
      </w:r>
    </w:p>
    <w:p>
      <w:pPr>
        <w:pStyle w:val="201"/>
        <w:adjustRightInd w:val="0"/>
        <w:snapToGrid w:val="0"/>
        <w:spacing w:line="360" w:lineRule="auto"/>
        <w:rPr>
          <w:rFonts w:ascii="Times New Roman" w:hAnsi="Times New Roman" w:eastAsia="宋体"/>
          <w:color w:val="000000" w:themeColor="text1"/>
          <w:sz w:val="21"/>
          <w:szCs w:val="21"/>
          <w14:textFill>
            <w14:solidFill>
              <w14:schemeClr w14:val="tx1"/>
            </w14:solidFill>
          </w14:textFill>
        </w:rPr>
      </w:pPr>
      <w:r>
        <w:rPr>
          <w:rFonts w:hint="eastAsia" w:ascii="Times New Roman" w:hAnsi="Times New Roman" w:eastAsia="宋体"/>
          <w:color w:val="000000" w:themeColor="text1"/>
          <w:sz w:val="21"/>
          <w:szCs w:val="21"/>
          <w14:textFill>
            <w14:solidFill>
              <w14:schemeClr w14:val="tx1"/>
            </w14:solidFill>
          </w14:textFill>
        </w:rPr>
        <w:t>技术规范书中标注有☆的条款为重要技术要求，投标方需在投标文件中对其做出重点响应。</w:t>
      </w:r>
    </w:p>
    <w:p>
      <w:pPr>
        <w:pStyle w:val="201"/>
        <w:adjustRightInd w:val="0"/>
        <w:snapToGrid w:val="0"/>
        <w:spacing w:line="360" w:lineRule="auto"/>
        <w:rPr>
          <w:rFonts w:ascii="Times New Roman" w:hAnsi="Times New Roman" w:eastAsia="宋体"/>
          <w:color w:val="000000" w:themeColor="text1"/>
          <w:sz w:val="21"/>
          <w:szCs w:val="21"/>
          <w14:textFill>
            <w14:solidFill>
              <w14:schemeClr w14:val="tx1"/>
            </w14:solidFill>
          </w14:textFill>
        </w:rPr>
      </w:pPr>
      <w:r>
        <w:rPr>
          <w:rFonts w:ascii="Times New Roman" w:hAnsi="Times New Roman" w:eastAsia="宋体"/>
          <w:color w:val="000000" w:themeColor="text1"/>
          <w:sz w:val="21"/>
          <w:szCs w:val="21"/>
          <w14:textFill>
            <w14:solidFill>
              <w14:schemeClr w14:val="tx1"/>
            </w14:solidFill>
          </w14:textFill>
        </w:rPr>
        <w:t>2</w:t>
      </w:r>
      <w:r>
        <w:rPr>
          <w:rFonts w:hint="eastAsia" w:ascii="Times New Roman" w:hAnsi="Times New Roman" w:eastAsia="宋体"/>
          <w:color w:val="000000" w:themeColor="text1"/>
          <w:sz w:val="21"/>
          <w:szCs w:val="21"/>
          <w14:textFill>
            <w14:solidFill>
              <w14:schemeClr w14:val="tx1"/>
            </w14:solidFill>
          </w14:textFill>
        </w:rPr>
        <w:t>、预制舱规格尺寸</w:t>
      </w:r>
    </w:p>
    <w:p>
      <w:pPr>
        <w:pStyle w:val="201"/>
        <w:adjustRightInd w:val="0"/>
        <w:snapToGrid w:val="0"/>
        <w:spacing w:line="360" w:lineRule="auto"/>
        <w:rPr>
          <w:rFonts w:ascii="Times New Roman" w:hAnsi="Times New Roman" w:eastAsia="宋体"/>
          <w:color w:val="000000" w:themeColor="text1"/>
          <w:sz w:val="21"/>
          <w:szCs w:val="21"/>
          <w14:textFill>
            <w14:solidFill>
              <w14:schemeClr w14:val="tx1"/>
            </w14:solidFill>
          </w14:textFill>
        </w:rPr>
      </w:pPr>
      <w:r>
        <w:rPr>
          <w:rFonts w:hint="eastAsia" w:ascii="Times New Roman" w:hAnsi="Times New Roman" w:eastAsia="宋体"/>
          <w:color w:val="000000" w:themeColor="text1"/>
          <w:sz w:val="21"/>
          <w:szCs w:val="21"/>
          <w14:textFill>
            <w14:solidFill>
              <w14:schemeClr w14:val="tx1"/>
            </w14:solidFill>
          </w14:textFill>
        </w:rPr>
        <w:t>（</w:t>
      </w:r>
      <w:r>
        <w:rPr>
          <w:rFonts w:ascii="Times New Roman" w:hAnsi="Times New Roman" w:eastAsia="宋体"/>
          <w:color w:val="000000" w:themeColor="text1"/>
          <w:sz w:val="21"/>
          <w:szCs w:val="21"/>
          <w14:textFill>
            <w14:solidFill>
              <w14:schemeClr w14:val="tx1"/>
            </w14:solidFill>
          </w14:textFill>
        </w:rPr>
        <w:t>1</w:t>
      </w:r>
      <w:r>
        <w:rPr>
          <w:rFonts w:hint="eastAsia" w:ascii="Times New Roman" w:hAnsi="Times New Roman" w:eastAsia="宋体"/>
          <w:color w:val="000000" w:themeColor="text1"/>
          <w:sz w:val="21"/>
          <w:szCs w:val="21"/>
          <w14:textFill>
            <w14:solidFill>
              <w14:schemeClr w14:val="tx1"/>
            </w14:solidFill>
          </w14:textFill>
        </w:rPr>
        <w:t>）双层布置，设备房间内尺寸不小于图</w:t>
      </w:r>
      <w:r>
        <w:rPr>
          <w:rFonts w:ascii="Times New Roman" w:hAnsi="Times New Roman" w:eastAsia="宋体"/>
          <w:color w:val="000000" w:themeColor="text1"/>
          <w:sz w:val="21"/>
          <w:szCs w:val="21"/>
          <w14:textFill>
            <w14:solidFill>
              <w14:schemeClr w14:val="tx1"/>
            </w14:solidFill>
          </w14:textFill>
        </w:rPr>
        <w:t>6.3-1</w:t>
      </w:r>
      <w:r>
        <w:rPr>
          <w:rFonts w:hint="eastAsia" w:ascii="Times New Roman" w:hAnsi="Times New Roman" w:eastAsia="宋体"/>
          <w:color w:val="000000" w:themeColor="text1"/>
          <w:sz w:val="21"/>
          <w:szCs w:val="21"/>
          <w14:textFill>
            <w14:solidFill>
              <w14:schemeClr w14:val="tx1"/>
            </w14:solidFill>
          </w14:textFill>
        </w:rPr>
        <w:t>所标识尺寸，单层净高不小于</w:t>
      </w:r>
      <w:r>
        <w:rPr>
          <w:rFonts w:ascii="Times New Roman" w:hAnsi="Times New Roman" w:eastAsia="宋体"/>
          <w:color w:val="000000" w:themeColor="text1"/>
          <w:sz w:val="21"/>
          <w:szCs w:val="21"/>
          <w14:textFill>
            <w14:solidFill>
              <w14:schemeClr w14:val="tx1"/>
            </w14:solidFill>
          </w14:textFill>
        </w:rPr>
        <w:t>3500mm</w:t>
      </w:r>
      <w:r>
        <w:rPr>
          <w:rFonts w:hint="eastAsia" w:ascii="Times New Roman" w:hAnsi="Times New Roman" w:eastAsia="宋体"/>
          <w:color w:val="000000" w:themeColor="text1"/>
          <w:sz w:val="21"/>
          <w:szCs w:val="21"/>
          <w14:textFill>
            <w14:solidFill>
              <w14:schemeClr w14:val="tx1"/>
            </w14:solidFill>
          </w14:textFill>
        </w:rPr>
        <w:t>。底座采用混凝土结构，供货范围不包含底座。投标方需充分考虑舱体安装在混凝土底座上的气密性、防水性。建议在预制舱底部增加防潮隔汽层和保温层，避免由于室内温度过低形成凝露危害设备运行。本规范仅规定了舱体最小尺寸，最终图纸确认按实际设备检修通道需求设计舱体尺寸。</w:t>
      </w:r>
    </w:p>
    <w:p>
      <w:pPr>
        <w:tabs>
          <w:tab w:val="left" w:pos="1267"/>
        </w:tabs>
        <w:spacing w:line="360" w:lineRule="auto"/>
        <w:ind w:firstLine="420" w:firstLineChars="200"/>
        <w:rPr>
          <w:color w:val="000000" w:themeColor="text1"/>
          <w:szCs w:val="21"/>
          <w14:textFill>
            <w14:solidFill>
              <w14:schemeClr w14:val="tx1"/>
            </w14:solidFill>
          </w14:textFill>
        </w:rPr>
      </w:pPr>
      <w:r>
        <w:rPr>
          <w:rFonts w:hint="eastAsia"/>
          <w:color w:val="000000" w:themeColor="text1"/>
          <w:szCs w:val="21"/>
          <w14:textFill>
            <w14:solidFill>
              <w14:schemeClr w14:val="tx1"/>
            </w14:solidFill>
          </w14:textFill>
        </w:rPr>
        <w:t>（</w:t>
      </w:r>
      <w:r>
        <w:rPr>
          <w:color w:val="000000" w:themeColor="text1"/>
          <w:szCs w:val="21"/>
          <w14:textFill>
            <w14:solidFill>
              <w14:schemeClr w14:val="tx1"/>
            </w14:solidFill>
          </w14:textFill>
        </w:rPr>
        <w:t>2</w:t>
      </w:r>
      <w:r>
        <w:rPr>
          <w:rFonts w:hint="eastAsia"/>
          <w:color w:val="000000" w:themeColor="text1"/>
          <w:szCs w:val="21"/>
          <w14:textFill>
            <w14:solidFill>
              <w14:schemeClr w14:val="tx1"/>
            </w14:solidFill>
          </w14:textFill>
        </w:rPr>
        <w:t>）舱体骨架为焊装一体式结构，主要钢材材质应选用不低于</w:t>
      </w:r>
      <w:r>
        <w:rPr>
          <w:color w:val="000000" w:themeColor="text1"/>
          <w:szCs w:val="21"/>
          <w14:textFill>
            <w14:solidFill>
              <w14:schemeClr w14:val="tx1"/>
            </w14:solidFill>
          </w14:textFill>
        </w:rPr>
        <w:t>GB/T 700</w:t>
      </w:r>
      <w:r>
        <w:rPr>
          <w:rFonts w:hint="eastAsia"/>
          <w:color w:val="000000" w:themeColor="text1"/>
          <w:szCs w:val="21"/>
          <w14:textFill>
            <w14:solidFill>
              <w14:schemeClr w14:val="tx1"/>
            </w14:solidFill>
          </w14:textFill>
        </w:rPr>
        <w:t>标准的优质碳素结构钢，钢材的屈服强度不小于</w:t>
      </w:r>
      <w:r>
        <w:rPr>
          <w:color w:val="000000" w:themeColor="text1"/>
          <w:szCs w:val="21"/>
          <w14:textFill>
            <w14:solidFill>
              <w14:schemeClr w14:val="tx1"/>
            </w14:solidFill>
          </w14:textFill>
        </w:rPr>
        <w:t>235N/mm2(MPa)</w:t>
      </w:r>
      <w:r>
        <w:rPr>
          <w:rFonts w:hint="eastAsia"/>
          <w:color w:val="000000" w:themeColor="text1"/>
          <w:szCs w:val="21"/>
          <w14:textFill>
            <w14:solidFill>
              <w14:schemeClr w14:val="tx1"/>
            </w14:solidFill>
          </w14:textFill>
        </w:rPr>
        <w:t>，钢材的冲击吸收功</w:t>
      </w:r>
      <w:r>
        <w:rPr>
          <w:color w:val="000000" w:themeColor="text1"/>
          <w:szCs w:val="21"/>
          <w14:textFill>
            <w14:solidFill>
              <w14:schemeClr w14:val="tx1"/>
            </w14:solidFill>
          </w14:textFill>
        </w:rPr>
        <w:t>(</w:t>
      </w:r>
      <w:r>
        <w:rPr>
          <w:rFonts w:hint="eastAsia"/>
          <w:color w:val="000000" w:themeColor="text1"/>
          <w:szCs w:val="21"/>
          <w14:textFill>
            <w14:solidFill>
              <w14:schemeClr w14:val="tx1"/>
            </w14:solidFill>
          </w14:textFill>
        </w:rPr>
        <w:t>纵向</w:t>
      </w:r>
      <w:r>
        <w:rPr>
          <w:color w:val="000000" w:themeColor="text1"/>
          <w:szCs w:val="21"/>
          <w14:textFill>
            <w14:solidFill>
              <w14:schemeClr w14:val="tx1"/>
            </w14:solidFill>
          </w14:textFill>
        </w:rPr>
        <w:t>)</w:t>
      </w:r>
      <w:r>
        <w:rPr>
          <w:rFonts w:hint="eastAsia"/>
          <w:color w:val="000000" w:themeColor="text1"/>
          <w:szCs w:val="21"/>
          <w14:textFill>
            <w14:solidFill>
              <w14:schemeClr w14:val="tx1"/>
            </w14:solidFill>
          </w14:textFill>
        </w:rPr>
        <w:t>不小于</w:t>
      </w:r>
      <w:r>
        <w:rPr>
          <w:color w:val="000000" w:themeColor="text1"/>
          <w:szCs w:val="21"/>
          <w14:textFill>
            <w14:solidFill>
              <w14:schemeClr w14:val="tx1"/>
            </w14:solidFill>
          </w14:textFill>
        </w:rPr>
        <w:t>27J</w:t>
      </w:r>
      <w:r>
        <w:rPr>
          <w:rFonts w:hint="eastAsia"/>
          <w:color w:val="000000" w:themeColor="text1"/>
          <w:szCs w:val="21"/>
          <w14:textFill>
            <w14:solidFill>
              <w14:schemeClr w14:val="tx1"/>
            </w14:solidFill>
          </w14:textFill>
        </w:rPr>
        <w:t>，应有足够的机械强度和刚度，在起吊、运输和安装时不会产生变形，满足</w:t>
      </w:r>
      <w:r>
        <w:rPr>
          <w:color w:val="000000" w:themeColor="text1"/>
          <w:szCs w:val="21"/>
          <w14:textFill>
            <w14:solidFill>
              <w14:schemeClr w14:val="tx1"/>
            </w14:solidFill>
          </w14:textFill>
        </w:rPr>
        <w:t>GB17467</w:t>
      </w:r>
      <w:r>
        <w:rPr>
          <w:rFonts w:hint="eastAsia"/>
          <w:color w:val="000000" w:themeColor="text1"/>
          <w:szCs w:val="21"/>
          <w14:textFill>
            <w14:solidFill>
              <w14:schemeClr w14:val="tx1"/>
            </w14:solidFill>
          </w14:textFill>
        </w:rPr>
        <w:t>《高低压预装式变电站》防冲击试验要求，并耐受以下的负荷和撞击：</w:t>
      </w:r>
    </w:p>
    <w:p>
      <w:pPr>
        <w:tabs>
          <w:tab w:val="left" w:pos="1267"/>
        </w:tabs>
        <w:spacing w:line="360" w:lineRule="auto"/>
        <w:ind w:firstLine="420" w:firstLineChars="200"/>
        <w:rPr>
          <w:color w:val="000000" w:themeColor="text1"/>
          <w14:textFill>
            <w14:solidFill>
              <w14:schemeClr w14:val="tx1"/>
            </w14:solidFill>
          </w14:textFill>
        </w:rPr>
      </w:pPr>
      <w:r>
        <w:rPr>
          <w:color w:val="000000" w:themeColor="text1"/>
          <w14:textFill>
            <w14:solidFill>
              <w14:schemeClr w14:val="tx1"/>
            </w14:solidFill>
          </w14:textFill>
        </w:rPr>
        <w:t>a)</w:t>
      </w:r>
      <w:r>
        <w:rPr>
          <w:rFonts w:hint="eastAsia"/>
          <w:color w:val="000000" w:themeColor="text1"/>
          <w14:textFill>
            <w14:solidFill>
              <w14:schemeClr w14:val="tx1"/>
            </w14:solidFill>
          </w14:textFill>
        </w:rPr>
        <w:t>顶部负荷：最小值为</w:t>
      </w:r>
      <w:r>
        <w:rPr>
          <w:color w:val="000000" w:themeColor="text1"/>
          <w14:textFill>
            <w14:solidFill>
              <w14:schemeClr w14:val="tx1"/>
            </w14:solidFill>
          </w14:textFill>
        </w:rPr>
        <w:t>3500N/</w:t>
      </w:r>
      <w:r>
        <w:rPr>
          <w:rFonts w:hint="eastAsia"/>
          <w:color w:val="000000" w:themeColor="text1"/>
          <w14:textFill>
            <w14:solidFill>
              <w14:schemeClr w14:val="tx1"/>
            </w14:solidFill>
          </w14:textFill>
        </w:rPr>
        <w:t>㎡，顶部需安装阀冷室外机，最终负荷以设备厂家实际需求为准。</w:t>
      </w:r>
    </w:p>
    <w:p>
      <w:pPr>
        <w:tabs>
          <w:tab w:val="left" w:pos="1267"/>
        </w:tabs>
        <w:spacing w:line="360" w:lineRule="auto"/>
        <w:ind w:firstLine="420" w:firstLineChars="200"/>
        <w:rPr>
          <w:color w:val="000000" w:themeColor="text1"/>
          <w14:textFill>
            <w14:solidFill>
              <w14:schemeClr w14:val="tx1"/>
            </w14:solidFill>
          </w14:textFill>
        </w:rPr>
      </w:pPr>
      <w:r>
        <w:rPr>
          <w:color w:val="000000" w:themeColor="text1"/>
          <w14:textFill>
            <w14:solidFill>
              <w14:schemeClr w14:val="tx1"/>
            </w14:solidFill>
          </w14:textFill>
        </w:rPr>
        <w:t>b)</w:t>
      </w:r>
      <w:r>
        <w:rPr>
          <w:rFonts w:hint="eastAsia"/>
          <w:color w:val="000000" w:themeColor="text1"/>
          <w14:textFill>
            <w14:solidFill>
              <w14:schemeClr w14:val="tx1"/>
            </w14:solidFill>
          </w14:textFill>
        </w:rPr>
        <w:t>在面板、门和通风口上的外部机械撞击：外部机械撞击的撞击能量为</w:t>
      </w:r>
      <w:r>
        <w:rPr>
          <w:color w:val="000000" w:themeColor="text1"/>
          <w14:textFill>
            <w14:solidFill>
              <w14:schemeClr w14:val="tx1"/>
            </w14:solidFill>
          </w14:textFill>
        </w:rPr>
        <w:t>20J</w:t>
      </w:r>
      <w:r>
        <w:rPr>
          <w:rFonts w:hint="eastAsia"/>
          <w:color w:val="000000" w:themeColor="text1"/>
          <w14:textFill>
            <w14:solidFill>
              <w14:schemeClr w14:val="tx1"/>
            </w14:solidFill>
          </w14:textFill>
        </w:rPr>
        <w:t>，对应的防护等级为</w:t>
      </w:r>
      <w:r>
        <w:rPr>
          <w:color w:val="000000" w:themeColor="text1"/>
          <w14:textFill>
            <w14:solidFill>
              <w14:schemeClr w14:val="tx1"/>
            </w14:solidFill>
          </w14:textFill>
        </w:rPr>
        <w:t>GB/T20138</w:t>
      </w:r>
      <w:r>
        <w:rPr>
          <w:rFonts w:hint="eastAsia"/>
          <w:color w:val="000000" w:themeColor="text1"/>
          <w14:textFill>
            <w14:solidFill>
              <w14:schemeClr w14:val="tx1"/>
            </w14:solidFill>
          </w14:textFill>
        </w:rPr>
        <w:t>的</w:t>
      </w:r>
      <w:r>
        <w:rPr>
          <w:color w:val="000000" w:themeColor="text1"/>
          <w14:textFill>
            <w14:solidFill>
              <w14:schemeClr w14:val="tx1"/>
            </w14:solidFill>
          </w14:textFill>
        </w:rPr>
        <w:t>IK10</w:t>
      </w:r>
      <w:r>
        <w:rPr>
          <w:rFonts w:hint="eastAsia"/>
          <w:color w:val="000000" w:themeColor="text1"/>
          <w14:textFill>
            <w14:solidFill>
              <w14:schemeClr w14:val="tx1"/>
            </w14:solidFill>
          </w14:textFill>
        </w:rPr>
        <w:t>。</w:t>
      </w:r>
    </w:p>
    <w:p>
      <w:pPr>
        <w:tabs>
          <w:tab w:val="left" w:pos="1267"/>
        </w:tabs>
        <w:spacing w:line="360" w:lineRule="auto"/>
        <w:ind w:firstLine="420" w:firstLineChars="20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（3）舱体外墙体外彩钢板厚度不小于</w:t>
      </w:r>
      <w:r>
        <w:rPr>
          <w:rFonts w:hint="eastAsia"/>
          <w:color w:val="000000" w:themeColor="text1"/>
          <w:highlight w:val="none"/>
          <w14:textFill>
            <w14:solidFill>
              <w14:schemeClr w14:val="tx1"/>
            </w14:solidFill>
          </w14:textFill>
        </w:rPr>
        <w:t>0</w:t>
      </w:r>
      <w:r>
        <w:rPr>
          <w:color w:val="000000" w:themeColor="text1"/>
          <w:highlight w:val="none"/>
          <w14:textFill>
            <w14:solidFill>
              <w14:schemeClr w14:val="tx1"/>
            </w14:solidFill>
          </w14:textFill>
        </w:rPr>
        <w:t>.80mm，横向宽度不</w:t>
      </w:r>
      <w:r>
        <w:rPr>
          <w:rFonts w:hint="eastAsia"/>
          <w:color w:val="000000" w:themeColor="text1"/>
          <w:highlight w:val="none"/>
          <w14:textFill>
            <w14:solidFill>
              <w14:schemeClr w14:val="tx1"/>
            </w14:solidFill>
          </w14:textFill>
        </w:rPr>
        <w:t>小</w:t>
      </w:r>
      <w:r>
        <w:rPr>
          <w:color w:val="000000" w:themeColor="text1"/>
          <w:highlight w:val="none"/>
          <w14:textFill>
            <w14:solidFill>
              <w14:schemeClr w14:val="tx1"/>
            </w14:solidFill>
          </w14:textFill>
        </w:rPr>
        <w:t>于</w:t>
      </w:r>
      <w:r>
        <w:rPr>
          <w:rFonts w:hint="eastAsia"/>
          <w:color w:val="000000" w:themeColor="text1"/>
          <w:highlight w:val="none"/>
          <w14:textFill>
            <w14:solidFill>
              <w14:schemeClr w14:val="tx1"/>
            </w14:solidFill>
          </w14:textFill>
        </w:rPr>
        <w:t>1</w:t>
      </w:r>
      <w:r>
        <w:rPr>
          <w:color w:val="000000" w:themeColor="text1"/>
          <w:highlight w:val="none"/>
          <w14:textFill>
            <w14:solidFill>
              <w14:schemeClr w14:val="tx1"/>
            </w14:solidFill>
          </w14:textFill>
        </w:rPr>
        <w:t>250mm，纵向要求通长</w:t>
      </w:r>
      <w:r>
        <w:rPr>
          <w:rFonts w:hint="eastAsia"/>
          <w:color w:val="000000" w:themeColor="text1"/>
          <w:highlight w:val="none"/>
          <w14:textFill>
            <w14:solidFill>
              <w14:schemeClr w14:val="tx1"/>
            </w14:solidFill>
          </w14:textFill>
        </w:rPr>
        <w:t>；</w:t>
      </w:r>
      <w:r>
        <w:rPr>
          <w:color w:val="000000" w:themeColor="text1"/>
          <w:highlight w:val="none"/>
          <w14:textFill>
            <w14:solidFill>
              <w14:schemeClr w14:val="tx1"/>
            </w14:solidFill>
          </w14:textFill>
        </w:rPr>
        <w:t>外墙体</w:t>
      </w:r>
      <w:r>
        <w:rPr>
          <w:rFonts w:hint="eastAsia"/>
          <w:color w:val="000000" w:themeColor="text1"/>
          <w:highlight w:val="none"/>
          <w14:textFill>
            <w14:solidFill>
              <w14:schemeClr w14:val="tx1"/>
            </w14:solidFill>
          </w14:textFill>
        </w:rPr>
        <w:t>内</w:t>
      </w:r>
      <w:r>
        <w:rPr>
          <w:color w:val="000000" w:themeColor="text1"/>
          <w:highlight w:val="none"/>
          <w14:textFill>
            <w14:solidFill>
              <w14:schemeClr w14:val="tx1"/>
            </w14:solidFill>
          </w14:textFill>
        </w:rPr>
        <w:t>彩钢板厚度不小于</w:t>
      </w:r>
      <w:r>
        <w:rPr>
          <w:rFonts w:hint="eastAsia"/>
          <w:color w:val="000000" w:themeColor="text1"/>
          <w:highlight w:val="none"/>
          <w14:textFill>
            <w14:solidFill>
              <w14:schemeClr w14:val="tx1"/>
            </w14:solidFill>
          </w14:textFill>
        </w:rPr>
        <w:t>0</w:t>
      </w:r>
      <w:r>
        <w:rPr>
          <w:color w:val="000000" w:themeColor="text1"/>
          <w:highlight w:val="none"/>
          <w14:textFill>
            <w14:solidFill>
              <w14:schemeClr w14:val="tx1"/>
            </w14:solidFill>
          </w14:textFill>
        </w:rPr>
        <w:t>.60mm。舱体屋面外彩钢板厚度不小于</w:t>
      </w:r>
      <w:r>
        <w:rPr>
          <w:rFonts w:hint="eastAsia"/>
          <w:color w:val="000000" w:themeColor="text1"/>
          <w:highlight w:val="none"/>
          <w14:textFill>
            <w14:solidFill>
              <w14:schemeClr w14:val="tx1"/>
            </w14:solidFill>
          </w14:textFill>
        </w:rPr>
        <w:t>0</w:t>
      </w:r>
      <w:r>
        <w:rPr>
          <w:color w:val="000000" w:themeColor="text1"/>
          <w:highlight w:val="none"/>
          <w14:textFill>
            <w14:solidFill>
              <w14:schemeClr w14:val="tx1"/>
            </w14:solidFill>
          </w14:textFill>
        </w:rPr>
        <w:t>.65mm，要求单坡为整板</w:t>
      </w:r>
      <w:r>
        <w:rPr>
          <w:rFonts w:hint="eastAsia"/>
          <w:color w:val="000000" w:themeColor="text1"/>
          <w:highlight w:val="none"/>
          <w14:textFill>
            <w14:solidFill>
              <w14:schemeClr w14:val="tx1"/>
            </w14:solidFill>
          </w14:textFill>
        </w:rPr>
        <w:t>；</w:t>
      </w:r>
      <w:r>
        <w:rPr>
          <w:color w:val="000000" w:themeColor="text1"/>
          <w:highlight w:val="none"/>
          <w14:textFill>
            <w14:solidFill>
              <w14:schemeClr w14:val="tx1"/>
            </w14:solidFill>
          </w14:textFill>
        </w:rPr>
        <w:t>屋面内彩钢板厚度不小于</w:t>
      </w:r>
      <w:r>
        <w:rPr>
          <w:rFonts w:hint="eastAsia"/>
          <w:color w:val="000000" w:themeColor="text1"/>
          <w:highlight w:val="none"/>
          <w14:textFill>
            <w14:solidFill>
              <w14:schemeClr w14:val="tx1"/>
            </w14:solidFill>
          </w14:textFill>
        </w:rPr>
        <w:t>0</w:t>
      </w:r>
      <w:r>
        <w:rPr>
          <w:color w:val="000000" w:themeColor="text1"/>
          <w:highlight w:val="none"/>
          <w14:textFill>
            <w14:solidFill>
              <w14:schemeClr w14:val="tx1"/>
            </w14:solidFill>
          </w14:textFill>
        </w:rPr>
        <w:t>.60mm，要求单坡为整板。</w:t>
      </w:r>
    </w:p>
    <w:p>
      <w:pPr>
        <w:tabs>
          <w:tab w:val="left" w:pos="1267"/>
        </w:tabs>
        <w:spacing w:line="360" w:lineRule="auto"/>
        <w:ind w:firstLine="420" w:firstLineChars="200"/>
        <w:rPr>
          <w:color w:val="000000" w:themeColor="text1"/>
          <w:szCs w:val="21"/>
          <w14:textFill>
            <w14:solidFill>
              <w14:schemeClr w14:val="tx1"/>
            </w14:solidFill>
          </w14:textFill>
        </w:rPr>
      </w:pPr>
      <w:r>
        <w:rPr>
          <w:rFonts w:hint="eastAsia"/>
          <w:color w:val="000000" w:themeColor="text1"/>
          <w:szCs w:val="21"/>
          <w14:textFill>
            <w14:solidFill>
              <w14:schemeClr w14:val="tx1"/>
            </w14:solidFill>
          </w14:textFill>
        </w:rPr>
        <w:t>（</w:t>
      </w:r>
      <w:r>
        <w:rPr>
          <w:color w:val="000000" w:themeColor="text1"/>
          <w:szCs w:val="21"/>
          <w14:textFill>
            <w14:solidFill>
              <w14:schemeClr w14:val="tx1"/>
            </w14:solidFill>
          </w14:textFill>
        </w:rPr>
        <w:t>4</w:t>
      </w:r>
      <w:r>
        <w:rPr>
          <w:rFonts w:hint="eastAsia"/>
          <w:color w:val="000000" w:themeColor="text1"/>
          <w:szCs w:val="21"/>
          <w14:textFill>
            <w14:solidFill>
              <w14:schemeClr w14:val="tx1"/>
            </w14:solidFill>
          </w14:textFill>
        </w:rPr>
        <w:t>）舱门的设置需满足设备运输及检修的需求。</w:t>
      </w:r>
      <w:r>
        <w:rPr>
          <w:rFonts w:hint="eastAsia"/>
          <w:color w:val="000000" w:themeColor="text1"/>
          <w14:textFill>
            <w14:solidFill>
              <w14:schemeClr w14:val="tx1"/>
            </w14:solidFill>
          </w14:textFill>
        </w:rPr>
        <w:t>舱内</w:t>
      </w:r>
      <w:r>
        <w:rPr>
          <w:color w:val="000000" w:themeColor="text1"/>
          <w14:textFill>
            <w14:solidFill>
              <w14:schemeClr w14:val="tx1"/>
            </w14:solidFill>
          </w14:textFill>
        </w:rPr>
        <w:t>SMES</w:t>
      </w:r>
      <w:r>
        <w:rPr>
          <w:rFonts w:hint="eastAsia"/>
          <w:color w:val="000000" w:themeColor="text1"/>
          <w14:textFill>
            <w14:solidFill>
              <w14:schemeClr w14:val="tx1"/>
            </w14:solidFill>
          </w14:textFill>
        </w:rPr>
        <w:t>核心撬检修时需用整体吊装型式搬出预制舱，核心撬整体尺寸</w:t>
      </w:r>
      <w:r>
        <w:rPr>
          <w:color w:val="000000" w:themeColor="text1"/>
          <w14:textFill>
            <w14:solidFill>
              <w14:schemeClr w14:val="tx1"/>
            </w14:solidFill>
          </w14:textFill>
        </w:rPr>
        <w:t>5600x3500mm</w:t>
      </w:r>
      <w:r>
        <w:rPr>
          <w:rFonts w:hint="eastAsia"/>
          <w:color w:val="000000" w:themeColor="text1"/>
          <w14:textFill>
            <w14:solidFill>
              <w14:schemeClr w14:val="tx1"/>
            </w14:solidFill>
          </w14:textFill>
        </w:rPr>
        <w:t>，舱体顶部需设置</w:t>
      </w:r>
      <w:r>
        <w:rPr>
          <w:color w:val="000000" w:themeColor="text1"/>
          <w14:textFill>
            <w14:solidFill>
              <w14:schemeClr w14:val="tx1"/>
            </w14:solidFill>
          </w14:textFill>
        </w:rPr>
        <w:t>7000x5000mm</w:t>
      </w:r>
      <w:r>
        <w:rPr>
          <w:rFonts w:hint="eastAsia"/>
          <w:color w:val="000000" w:themeColor="text1"/>
          <w14:textFill>
            <w14:solidFill>
              <w14:schemeClr w14:val="tx1"/>
            </w14:solidFill>
          </w14:textFill>
        </w:rPr>
        <w:t>检修</w:t>
      </w:r>
      <w:r>
        <w:rPr>
          <w:rFonts w:hint="eastAsia"/>
          <w:color w:val="000000" w:themeColor="text1"/>
          <w:szCs w:val="21"/>
          <w14:textFill>
            <w14:solidFill>
              <w14:schemeClr w14:val="tx1"/>
            </w14:solidFill>
          </w14:textFill>
        </w:rPr>
        <w:t>门。</w:t>
      </w:r>
    </w:p>
    <w:p>
      <w:pPr>
        <w:tabs>
          <w:tab w:val="left" w:pos="1267"/>
        </w:tabs>
        <w:spacing w:line="360" w:lineRule="auto"/>
        <w:ind w:firstLine="420" w:firstLineChars="200"/>
        <w:rPr>
          <w:color w:val="000000" w:themeColor="text1"/>
          <w:szCs w:val="21"/>
          <w14:textFill>
            <w14:solidFill>
              <w14:schemeClr w14:val="tx1"/>
            </w14:solidFill>
          </w14:textFill>
        </w:rPr>
      </w:pPr>
      <w:r>
        <w:rPr>
          <w:rFonts w:hint="eastAsia"/>
          <w:color w:val="000000" w:themeColor="text1"/>
          <w:szCs w:val="21"/>
          <w14:textFill>
            <w14:solidFill>
              <w14:schemeClr w14:val="tx1"/>
            </w14:solidFill>
          </w14:textFill>
        </w:rPr>
        <w:t>（</w:t>
      </w:r>
      <w:r>
        <w:rPr>
          <w:color w:val="000000" w:themeColor="text1"/>
          <w:szCs w:val="21"/>
          <w14:textFill>
            <w14:solidFill>
              <w14:schemeClr w14:val="tx1"/>
            </w14:solidFill>
          </w14:textFill>
        </w:rPr>
        <w:t>5</w:t>
      </w:r>
      <w:r>
        <w:rPr>
          <w:rFonts w:hint="eastAsia"/>
          <w:color w:val="000000" w:themeColor="text1"/>
          <w:szCs w:val="21"/>
          <w14:textFill>
            <w14:solidFill>
              <w14:schemeClr w14:val="tx1"/>
            </w14:solidFill>
          </w14:textFill>
        </w:rPr>
        <w:t>）舱顶需安装阀冷室外机，投标方需设计、提供阀冷室外机安装支架。</w:t>
      </w:r>
    </w:p>
    <w:p>
      <w:pPr>
        <w:tabs>
          <w:tab w:val="left" w:pos="1267"/>
        </w:tabs>
        <w:spacing w:line="360" w:lineRule="auto"/>
        <w:ind w:firstLine="420" w:firstLineChars="200"/>
        <w:rPr>
          <w:color w:val="000000" w:themeColor="text1"/>
          <w:szCs w:val="21"/>
          <w14:textFill>
            <w14:solidFill>
              <w14:schemeClr w14:val="tx1"/>
            </w14:solidFill>
          </w14:textFill>
        </w:rPr>
      </w:pPr>
      <w:r>
        <w:rPr>
          <w:rFonts w:hint="eastAsia"/>
          <w:color w:val="000000" w:themeColor="text1"/>
          <w:szCs w:val="21"/>
          <w14:textFill>
            <w14:solidFill>
              <w14:schemeClr w14:val="tx1"/>
            </w14:solidFill>
          </w14:textFill>
        </w:rPr>
        <w:t>（</w:t>
      </w:r>
      <w:r>
        <w:rPr>
          <w:color w:val="000000" w:themeColor="text1"/>
          <w:szCs w:val="21"/>
          <w14:textFill>
            <w14:solidFill>
              <w14:schemeClr w14:val="tx1"/>
            </w14:solidFill>
          </w14:textFill>
        </w:rPr>
        <w:t>6</w:t>
      </w:r>
      <w:r>
        <w:rPr>
          <w:rFonts w:hint="eastAsia"/>
          <w:color w:val="000000" w:themeColor="text1"/>
          <w:szCs w:val="21"/>
          <w14:textFill>
            <w14:solidFill>
              <w14:schemeClr w14:val="tx1"/>
            </w14:solidFill>
          </w14:textFill>
        </w:rPr>
        <w:t>）超导磁储能核心撬排气管需高于舱顶</w:t>
      </w:r>
      <w:r>
        <w:rPr>
          <w:color w:val="000000" w:themeColor="text1"/>
          <w:szCs w:val="21"/>
          <w14:textFill>
            <w14:solidFill>
              <w14:schemeClr w14:val="tx1"/>
            </w14:solidFill>
          </w14:textFill>
        </w:rPr>
        <w:t>5000mm</w:t>
      </w:r>
      <w:r>
        <w:rPr>
          <w:rFonts w:hint="eastAsia"/>
          <w:color w:val="000000" w:themeColor="text1"/>
          <w:szCs w:val="21"/>
          <w14:textFill>
            <w14:solidFill>
              <w14:schemeClr w14:val="tx1"/>
            </w14:solidFill>
          </w14:textFill>
        </w:rPr>
        <w:t>，投标方需设计、提供排气管在舱顶的固定支架。</w:t>
      </w:r>
    </w:p>
    <w:p>
      <w:pPr>
        <w:pStyle w:val="201"/>
        <w:adjustRightInd w:val="0"/>
        <w:snapToGrid w:val="0"/>
        <w:spacing w:line="360" w:lineRule="auto"/>
        <w:ind w:firstLine="400"/>
        <w:rPr>
          <w:color w:val="000000" w:themeColor="text1"/>
          <w14:textFill>
            <w14:solidFill>
              <w14:schemeClr w14:val="tx1"/>
            </w14:solidFill>
          </w14:textFill>
        </w:rPr>
      </w:pPr>
    </w:p>
    <w:p>
      <w:pPr>
        <w:pStyle w:val="201"/>
        <w:adjustRightInd w:val="0"/>
        <w:snapToGrid w:val="0"/>
        <w:spacing w:line="360" w:lineRule="auto"/>
        <w:ind w:firstLine="400"/>
        <w:jc w:val="center"/>
        <w:rPr>
          <w:color w:val="000000" w:themeColor="text1"/>
          <w14:textFill>
            <w14:solidFill>
              <w14:schemeClr w14:val="tx1"/>
            </w14:solidFill>
          </w14:textFill>
        </w:rPr>
      </w:pPr>
    </w:p>
    <w:p>
      <w:pPr>
        <w:pStyle w:val="201"/>
        <w:adjustRightInd w:val="0"/>
        <w:snapToGrid w:val="0"/>
        <w:spacing w:line="360" w:lineRule="auto"/>
        <w:ind w:firstLine="400"/>
        <w:jc w:val="center"/>
        <w:rPr>
          <w:color w:val="000000" w:themeColor="text1"/>
          <w14:textFill>
            <w14:solidFill>
              <w14:schemeClr w14:val="tx1"/>
            </w14:solidFill>
          </w14:textFill>
        </w:rPr>
      </w:pPr>
      <w:r>
        <w:drawing>
          <wp:inline distT="0" distB="0" distL="0" distR="0">
            <wp:extent cx="2590800" cy="3701415"/>
            <wp:effectExtent l="0" t="0" r="0" b="0"/>
            <wp:docPr id="9" name="图片 9" descr="C:\Users\g8144.GEDI\AppData\Local\Temp\企业微信截图_1740638651124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图片 9" descr="C:\Users\g8144.GEDI\AppData\Local\Temp\企业微信截图_17406386511242.png"/>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a:xfrm>
                      <a:off x="0" y="0"/>
                      <a:ext cx="2597275" cy="3709910"/>
                    </a:xfrm>
                    <a:prstGeom prst="rect">
                      <a:avLst/>
                    </a:prstGeom>
                    <a:noFill/>
                    <a:ln>
                      <a:noFill/>
                    </a:ln>
                  </pic:spPr>
                </pic:pic>
              </a:graphicData>
            </a:graphic>
          </wp:inline>
        </w:drawing>
      </w:r>
    </w:p>
    <w:p>
      <w:pPr>
        <w:pStyle w:val="201"/>
        <w:adjustRightInd w:val="0"/>
        <w:snapToGrid w:val="0"/>
        <w:spacing w:line="360" w:lineRule="auto"/>
        <w:ind w:firstLine="400"/>
        <w:jc w:val="center"/>
        <w:rPr>
          <w:color w:val="000000" w:themeColor="text1"/>
          <w14:textFill>
            <w14:solidFill>
              <w14:schemeClr w14:val="tx1"/>
            </w14:solidFill>
          </w14:textFill>
        </w:rPr>
      </w:pPr>
      <w:r>
        <w:drawing>
          <wp:inline distT="0" distB="0" distL="0" distR="0">
            <wp:extent cx="2725420" cy="3766820"/>
            <wp:effectExtent l="0" t="0" r="0" b="5080"/>
            <wp:docPr id="10" name="图片 10" descr="C:\Users\g8144.GEDI\AppData\Local\Temp\企业微信截图_17406386836279.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图片 10" descr="C:\Users\g8144.GEDI\AppData\Local\Temp\企业微信截图_17406386836279.png"/>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a:xfrm>
                      <a:off x="0" y="0"/>
                      <a:ext cx="2743257" cy="3791385"/>
                    </a:xfrm>
                    <a:prstGeom prst="rect">
                      <a:avLst/>
                    </a:prstGeom>
                    <a:noFill/>
                    <a:ln>
                      <a:noFill/>
                    </a:ln>
                  </pic:spPr>
                </pic:pic>
              </a:graphicData>
            </a:graphic>
          </wp:inline>
        </w:drawing>
      </w:r>
    </w:p>
    <w:p>
      <w:pPr>
        <w:pStyle w:val="201"/>
        <w:adjustRightInd w:val="0"/>
        <w:snapToGrid w:val="0"/>
        <w:spacing w:line="360" w:lineRule="auto"/>
        <w:ind w:firstLine="400"/>
        <w:jc w:val="center"/>
        <w:rPr>
          <w:color w:val="000000" w:themeColor="text1"/>
          <w14:textFill>
            <w14:solidFill>
              <w14:schemeClr w14:val="tx1"/>
            </w14:solidFill>
          </w14:textFill>
        </w:rPr>
      </w:pPr>
      <w:r>
        <w:drawing>
          <wp:inline distT="0" distB="0" distL="0" distR="0">
            <wp:extent cx="3238500" cy="4100830"/>
            <wp:effectExtent l="0" t="0" r="0" b="0"/>
            <wp:docPr id="46" name="图片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 name="图片 46"/>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a:xfrm>
                      <a:off x="0" y="0"/>
                      <a:ext cx="3240301" cy="4103117"/>
                    </a:xfrm>
                    <a:prstGeom prst="rect">
                      <a:avLst/>
                    </a:prstGeom>
                    <a:noFill/>
                    <a:ln>
                      <a:noFill/>
                    </a:ln>
                  </pic:spPr>
                </pic:pic>
              </a:graphicData>
            </a:graphic>
          </wp:inline>
        </w:drawing>
      </w:r>
    </w:p>
    <w:p>
      <w:pPr>
        <w:pStyle w:val="201"/>
        <w:adjustRightInd w:val="0"/>
        <w:snapToGrid w:val="0"/>
        <w:spacing w:line="360" w:lineRule="auto"/>
        <w:ind w:firstLine="400"/>
        <w:jc w:val="center"/>
        <w:rPr>
          <w:color w:val="000000" w:themeColor="text1"/>
          <w14:textFill>
            <w14:solidFill>
              <w14:schemeClr w14:val="tx1"/>
            </w14:solidFill>
          </w14:textFill>
        </w:rPr>
      </w:pPr>
      <w:r>
        <w:rPr>
          <w:color w:val="000000" w:themeColor="text1"/>
          <w14:textFill>
            <w14:solidFill>
              <w14:schemeClr w14:val="tx1"/>
            </w14:solidFill>
          </w14:textFill>
        </w:rPr>
        <w:drawing>
          <wp:inline distT="0" distB="0" distL="0" distR="0">
            <wp:extent cx="3892550" cy="2692400"/>
            <wp:effectExtent l="0" t="0" r="0" b="0"/>
            <wp:docPr id="42" name="图片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 name="图片 42"/>
                    <pic:cNvPicPr>
                      <a:picLocks noChangeAspect="1" noChangeArrowheads="1"/>
                    </pic:cNvPicPr>
                  </pic:nvPicPr>
                  <pic:blipFill>
                    <a:blip r:embed="rId25" cstate="print">
                      <a:extLst>
                        <a:ext uri="{28A0092B-C50C-407E-A947-70E740481C1C}">
                          <a14:useLocalDpi xmlns:a14="http://schemas.microsoft.com/office/drawing/2010/main" val="0"/>
                        </a:ext>
                      </a:extLst>
                    </a:blip>
                    <a:srcRect/>
                    <a:stretch>
                      <a:fillRect/>
                    </a:stretch>
                  </pic:blipFill>
                  <pic:spPr>
                    <a:xfrm>
                      <a:off x="0" y="0"/>
                      <a:ext cx="3902619" cy="2699249"/>
                    </a:xfrm>
                    <a:prstGeom prst="rect">
                      <a:avLst/>
                    </a:prstGeom>
                    <a:noFill/>
                    <a:ln>
                      <a:noFill/>
                    </a:ln>
                  </pic:spPr>
                </pic:pic>
              </a:graphicData>
            </a:graphic>
          </wp:inline>
        </w:drawing>
      </w:r>
    </w:p>
    <w:p>
      <w:pPr>
        <w:pStyle w:val="201"/>
        <w:adjustRightInd w:val="0"/>
        <w:snapToGrid w:val="0"/>
        <w:spacing w:line="360" w:lineRule="auto"/>
        <w:jc w:val="center"/>
        <w:rPr>
          <w:rFonts w:ascii="Times New Roman" w:hAnsi="Times New Roman" w:eastAsia="宋体"/>
          <w:color w:val="000000" w:themeColor="text1"/>
          <w:sz w:val="21"/>
          <w:szCs w:val="21"/>
          <w14:textFill>
            <w14:solidFill>
              <w14:schemeClr w14:val="tx1"/>
            </w14:solidFill>
          </w14:textFill>
        </w:rPr>
      </w:pPr>
      <w:r>
        <w:rPr>
          <w:rFonts w:hint="eastAsia" w:ascii="Times New Roman" w:hAnsi="Times New Roman" w:eastAsia="宋体"/>
          <w:color w:val="000000" w:themeColor="text1"/>
          <w:sz w:val="21"/>
          <w:szCs w:val="21"/>
          <w14:textFill>
            <w14:solidFill>
              <w14:schemeClr w14:val="tx1"/>
            </w14:solidFill>
          </w14:textFill>
        </w:rPr>
        <w:t>图</w:t>
      </w:r>
      <w:r>
        <w:rPr>
          <w:rFonts w:ascii="Times New Roman" w:hAnsi="Times New Roman" w:eastAsia="宋体"/>
          <w:color w:val="000000" w:themeColor="text1"/>
          <w:sz w:val="21"/>
          <w:szCs w:val="21"/>
          <w14:textFill>
            <w14:solidFill>
              <w14:schemeClr w14:val="tx1"/>
            </w14:solidFill>
          </w14:textFill>
        </w:rPr>
        <w:t>6.3-1 SMES</w:t>
      </w:r>
      <w:r>
        <w:rPr>
          <w:rFonts w:hint="eastAsia" w:ascii="Times New Roman" w:hAnsi="Times New Roman" w:eastAsia="宋体"/>
          <w:color w:val="000000" w:themeColor="text1"/>
          <w:sz w:val="21"/>
          <w:szCs w:val="21"/>
          <w14:textFill>
            <w14:solidFill>
              <w14:schemeClr w14:val="tx1"/>
            </w14:solidFill>
          </w14:textFill>
        </w:rPr>
        <w:t>及升压变流系统组合舱示意图（双层镂空结构，单层净高≮</w:t>
      </w:r>
      <w:r>
        <w:rPr>
          <w:rFonts w:ascii="Times New Roman" w:hAnsi="Times New Roman" w:eastAsia="宋体"/>
          <w:color w:val="000000" w:themeColor="text1"/>
          <w:sz w:val="21"/>
          <w:szCs w:val="21"/>
          <w14:textFill>
            <w14:solidFill>
              <w14:schemeClr w14:val="tx1"/>
            </w14:solidFill>
          </w14:textFill>
        </w:rPr>
        <w:t>3500mm</w:t>
      </w:r>
      <w:r>
        <w:rPr>
          <w:rFonts w:hint="eastAsia" w:ascii="Times New Roman" w:hAnsi="Times New Roman" w:eastAsia="宋体"/>
          <w:color w:val="000000" w:themeColor="text1"/>
          <w:sz w:val="21"/>
          <w:szCs w:val="21"/>
          <w14:textFill>
            <w14:solidFill>
              <w14:schemeClr w14:val="tx1"/>
            </w14:solidFill>
          </w14:textFill>
        </w:rPr>
        <w:t>）</w:t>
      </w:r>
    </w:p>
    <w:p>
      <w:pPr>
        <w:pStyle w:val="201"/>
        <w:adjustRightInd w:val="0"/>
        <w:snapToGrid w:val="0"/>
        <w:spacing w:line="360" w:lineRule="auto"/>
        <w:jc w:val="center"/>
        <w:rPr>
          <w:rFonts w:ascii="Times New Roman" w:hAnsi="Times New Roman" w:eastAsia="宋体"/>
          <w:color w:val="000000" w:themeColor="text1"/>
          <w:sz w:val="21"/>
          <w:szCs w:val="21"/>
          <w14:textFill>
            <w14:solidFill>
              <w14:schemeClr w14:val="tx1"/>
            </w14:solidFill>
          </w14:textFill>
        </w:rPr>
      </w:pPr>
    </w:p>
    <w:p>
      <w:pPr>
        <w:pStyle w:val="201"/>
        <w:adjustRightInd w:val="0"/>
        <w:snapToGrid w:val="0"/>
        <w:spacing w:line="360" w:lineRule="auto"/>
        <w:rPr>
          <w:rFonts w:ascii="Times New Roman" w:hAnsi="Times New Roman" w:eastAsia="宋体"/>
          <w:color w:val="000000" w:themeColor="text1"/>
          <w:sz w:val="21"/>
          <w:szCs w:val="21"/>
          <w14:textFill>
            <w14:solidFill>
              <w14:schemeClr w14:val="tx1"/>
            </w14:solidFill>
          </w14:textFill>
        </w:rPr>
      </w:pPr>
      <w:r>
        <w:rPr>
          <w:rFonts w:ascii="Times New Roman" w:hAnsi="Times New Roman" w:eastAsia="宋体"/>
          <w:color w:val="000000" w:themeColor="text1"/>
          <w:sz w:val="21"/>
          <w:szCs w:val="21"/>
          <w14:textFill>
            <w14:solidFill>
              <w14:schemeClr w14:val="tx1"/>
            </w14:solidFill>
          </w14:textFill>
        </w:rPr>
        <w:t>3</w:t>
      </w:r>
      <w:r>
        <w:rPr>
          <w:rFonts w:hint="eastAsia" w:ascii="Times New Roman" w:hAnsi="Times New Roman" w:eastAsia="宋体"/>
          <w:color w:val="000000" w:themeColor="text1"/>
          <w:sz w:val="21"/>
          <w:szCs w:val="21"/>
          <w14:textFill>
            <w14:solidFill>
              <w14:schemeClr w14:val="tx1"/>
            </w14:solidFill>
          </w14:textFill>
        </w:rPr>
        <w:t>、舱体护栏与检修爬梯</w:t>
      </w:r>
    </w:p>
    <w:p>
      <w:pPr>
        <w:pStyle w:val="201"/>
        <w:adjustRightInd w:val="0"/>
        <w:snapToGrid w:val="0"/>
        <w:spacing w:line="360" w:lineRule="auto"/>
        <w:rPr>
          <w:rFonts w:ascii="Times New Roman" w:hAnsi="Times New Roman" w:eastAsia="宋体"/>
          <w:color w:val="000000" w:themeColor="text1"/>
          <w:sz w:val="21"/>
          <w:szCs w:val="21"/>
          <w14:textFill>
            <w14:solidFill>
              <w14:schemeClr w14:val="tx1"/>
            </w14:solidFill>
          </w14:textFill>
        </w:rPr>
      </w:pPr>
      <w:r>
        <w:rPr>
          <w:rFonts w:hint="eastAsia" w:ascii="Times New Roman" w:hAnsi="Times New Roman" w:eastAsia="宋体"/>
          <w:color w:val="000000" w:themeColor="text1"/>
          <w:sz w:val="21"/>
          <w:szCs w:val="21"/>
          <w14:textFill>
            <w14:solidFill>
              <w14:schemeClr w14:val="tx1"/>
            </w14:solidFill>
          </w14:textFill>
        </w:rPr>
        <w:t>围栏、爬梯等的设计和生产制作应遵循相关设计规范和标准。</w:t>
      </w:r>
    </w:p>
    <w:p>
      <w:pPr>
        <w:pStyle w:val="201"/>
        <w:adjustRightInd w:val="0"/>
        <w:snapToGrid w:val="0"/>
        <w:spacing w:line="360" w:lineRule="auto"/>
        <w:rPr>
          <w:rFonts w:ascii="Times New Roman" w:hAnsi="Times New Roman" w:eastAsia="宋体"/>
          <w:color w:val="000000" w:themeColor="text1"/>
          <w:sz w:val="21"/>
          <w:szCs w:val="21"/>
          <w14:textFill>
            <w14:solidFill>
              <w14:schemeClr w14:val="tx1"/>
            </w14:solidFill>
          </w14:textFill>
        </w:rPr>
      </w:pPr>
      <w:r>
        <w:rPr>
          <w:rFonts w:hint="eastAsia" w:ascii="Times New Roman" w:hAnsi="Times New Roman" w:eastAsia="宋体"/>
          <w:color w:val="000000" w:themeColor="text1"/>
          <w:sz w:val="21"/>
          <w:szCs w:val="21"/>
          <w14:textFill>
            <w14:solidFill>
              <w14:schemeClr w14:val="tx1"/>
            </w14:solidFill>
          </w14:textFill>
        </w:rPr>
        <w:t>在舱顶附近舱壁处需设置检修爬梯及护笼，方便运维检修及保证安全。</w:t>
      </w:r>
    </w:p>
    <w:p>
      <w:pPr>
        <w:pStyle w:val="201"/>
        <w:adjustRightInd w:val="0"/>
        <w:snapToGrid w:val="0"/>
        <w:spacing w:line="360" w:lineRule="auto"/>
        <w:rPr>
          <w:rFonts w:ascii="Times New Roman" w:hAnsi="Times New Roman" w:eastAsia="宋体"/>
          <w:color w:val="000000" w:themeColor="text1"/>
          <w:sz w:val="21"/>
          <w:szCs w:val="21"/>
          <w14:textFill>
            <w14:solidFill>
              <w14:schemeClr w14:val="tx1"/>
            </w14:solidFill>
          </w14:textFill>
        </w:rPr>
      </w:pPr>
      <w:r>
        <w:rPr>
          <w:rFonts w:hint="eastAsia" w:ascii="Times New Roman" w:hAnsi="Times New Roman" w:eastAsia="宋体"/>
          <w:color w:val="000000" w:themeColor="text1"/>
          <w:sz w:val="21"/>
          <w:szCs w:val="21"/>
          <w14:textFill>
            <w14:solidFill>
              <w14:schemeClr w14:val="tx1"/>
            </w14:solidFill>
          </w14:textFill>
        </w:rPr>
        <w:t>检修爬梯、围栏、扶手等必须采用不锈钢材质以保证防腐效果。</w:t>
      </w:r>
    </w:p>
    <w:p>
      <w:pPr>
        <w:pStyle w:val="201"/>
        <w:adjustRightInd w:val="0"/>
        <w:snapToGrid w:val="0"/>
        <w:spacing w:line="360" w:lineRule="auto"/>
        <w:rPr>
          <w:rFonts w:ascii="Times New Roman" w:hAnsi="Times New Roman" w:eastAsia="宋体"/>
          <w:color w:val="000000" w:themeColor="text1"/>
          <w:sz w:val="21"/>
          <w:szCs w:val="21"/>
          <w:highlight w:val="none"/>
          <w14:textFill>
            <w14:solidFill>
              <w14:schemeClr w14:val="tx1"/>
            </w14:solidFill>
          </w14:textFill>
        </w:rPr>
      </w:pPr>
      <w:r>
        <w:rPr>
          <w:rFonts w:hint="eastAsia" w:ascii="Times New Roman" w:hAnsi="Times New Roman" w:eastAsia="宋体"/>
          <w:color w:val="000000" w:themeColor="text1"/>
          <w:sz w:val="21"/>
          <w:szCs w:val="21"/>
          <w:highlight w:val="none"/>
          <w14:textFill>
            <w14:solidFill>
              <w14:schemeClr w14:val="tx1"/>
            </w14:solidFill>
          </w14:textFill>
        </w:rPr>
        <w:t>4、特殊要求</w:t>
      </w:r>
    </w:p>
    <w:p>
      <w:pPr>
        <w:pStyle w:val="201"/>
        <w:adjustRightInd w:val="0"/>
        <w:snapToGrid w:val="0"/>
        <w:spacing w:line="360" w:lineRule="auto"/>
        <w:rPr>
          <w:rFonts w:ascii="Times New Roman" w:hAnsi="Times New Roman" w:eastAsia="宋体"/>
          <w:color w:val="000000" w:themeColor="text1"/>
          <w:sz w:val="21"/>
          <w:szCs w:val="21"/>
          <w:highlight w:val="none"/>
          <w14:textFill>
            <w14:solidFill>
              <w14:schemeClr w14:val="tx1"/>
            </w14:solidFill>
          </w14:textFill>
        </w:rPr>
      </w:pPr>
      <w:r>
        <w:rPr>
          <w:rFonts w:hint="eastAsia" w:ascii="Times New Roman" w:hAnsi="Times New Roman" w:eastAsia="宋体"/>
          <w:color w:val="000000" w:themeColor="text1"/>
          <w:sz w:val="21"/>
          <w:szCs w:val="21"/>
          <w:highlight w:val="none"/>
          <w14:textFill>
            <w14:solidFill>
              <w14:schemeClr w14:val="tx1"/>
            </w14:solidFill>
          </w14:textFill>
        </w:rPr>
        <w:t>（1）SMES舱中的储能设备间属于有爆炸危险房间，位于爆炸危险环境中的电气装置和线路设置，应按照《爆炸危险环境电力装置设计规范》以及《爆炸性环境 第 4 部分：由本质安全型"i"保护的设备》(GB/T 3836.4-2021)、《爆炸性环境 第 14 部分：场所分类 爆炸性气体环境》(GB3836.14-2014）的规定执行。液氢生产系统处于爆炸危险环境内的电气设施防爆等级应划分为 1 区或 2 区。</w:t>
      </w:r>
    </w:p>
    <w:p>
      <w:pPr>
        <w:pStyle w:val="201"/>
        <w:adjustRightInd w:val="0"/>
        <w:snapToGrid w:val="0"/>
        <w:spacing w:line="360" w:lineRule="auto"/>
        <w:rPr>
          <w:rFonts w:ascii="Times New Roman" w:hAnsi="Times New Roman" w:eastAsia="宋体"/>
          <w:color w:val="000000" w:themeColor="text1"/>
          <w:sz w:val="21"/>
          <w:szCs w:val="21"/>
          <w:highlight w:val="none"/>
          <w14:textFill>
            <w14:solidFill>
              <w14:schemeClr w14:val="tx1"/>
            </w14:solidFill>
          </w14:textFill>
        </w:rPr>
      </w:pPr>
      <w:r>
        <w:rPr>
          <w:rFonts w:hint="eastAsia" w:ascii="Times New Roman" w:hAnsi="Times New Roman" w:eastAsia="宋体"/>
          <w:color w:val="000000" w:themeColor="text1"/>
          <w:sz w:val="21"/>
          <w:szCs w:val="21"/>
          <w:highlight w:val="none"/>
          <w14:textFill>
            <w14:solidFill>
              <w14:schemeClr w14:val="tx1"/>
            </w14:solidFill>
          </w14:textFill>
        </w:rPr>
        <w:t>（2）储能设备间照明应采用防爆灯具，宜采用荧光灯等高效光源。灯具不得安装在氢气释放源的正上方。液氢生产系统区域内应设置应急照明。在有爆炸危险环境内的电缆及导线敷设，应符合《氢气站设计规范》的有关规定。敷设导线或电缆用的保护钢管，应在导线或电缆引向电气设备接头部件前及相邻的环境之间做隔离密封。</w:t>
      </w:r>
    </w:p>
    <w:p>
      <w:pPr>
        <w:pStyle w:val="201"/>
        <w:adjustRightInd w:val="0"/>
        <w:snapToGrid w:val="0"/>
        <w:spacing w:line="360" w:lineRule="auto"/>
        <w:rPr>
          <w:rFonts w:ascii="Times New Roman" w:hAnsi="Times New Roman" w:eastAsia="宋体"/>
          <w:color w:val="000000" w:themeColor="text1"/>
          <w:sz w:val="21"/>
          <w:szCs w:val="21"/>
          <w:highlight w:val="none"/>
          <w14:textFill>
            <w14:solidFill>
              <w14:schemeClr w14:val="tx1"/>
            </w14:solidFill>
          </w14:textFill>
        </w:rPr>
      </w:pPr>
      <w:r>
        <w:rPr>
          <w:rFonts w:ascii="Times New Roman" w:hAnsi="Times New Roman" w:eastAsia="宋体"/>
          <w:color w:val="000000" w:themeColor="text1"/>
          <w:sz w:val="21"/>
          <w:szCs w:val="21"/>
          <w:highlight w:val="none"/>
          <w14:textFill>
            <w14:solidFill>
              <w14:schemeClr w14:val="tx1"/>
            </w14:solidFill>
          </w14:textFill>
        </w:rPr>
        <w:t>5</w:t>
      </w:r>
      <w:r>
        <w:rPr>
          <w:rFonts w:hint="eastAsia" w:ascii="Times New Roman" w:hAnsi="Times New Roman" w:eastAsia="宋体"/>
          <w:color w:val="000000" w:themeColor="text1"/>
          <w:sz w:val="21"/>
          <w:szCs w:val="21"/>
          <w:highlight w:val="none"/>
          <w14:textFill>
            <w14:solidFill>
              <w14:schemeClr w14:val="tx1"/>
            </w14:solidFill>
          </w14:textFill>
        </w:rPr>
        <w:t>、工作界面划分</w:t>
      </w:r>
    </w:p>
    <w:p>
      <w:pPr>
        <w:pStyle w:val="201"/>
        <w:adjustRightInd w:val="0"/>
        <w:snapToGrid w:val="0"/>
        <w:spacing w:line="360" w:lineRule="auto"/>
        <w:rPr>
          <w:rFonts w:ascii="Times New Roman" w:hAnsi="Times New Roman" w:eastAsia="宋体"/>
          <w:color w:val="000000" w:themeColor="text1"/>
          <w:sz w:val="21"/>
          <w:szCs w:val="21"/>
          <w:highlight w:val="none"/>
          <w14:textFill>
            <w14:solidFill>
              <w14:schemeClr w14:val="tx1"/>
            </w14:solidFill>
          </w14:textFill>
        </w:rPr>
      </w:pPr>
      <w:r>
        <w:rPr>
          <w:rFonts w:hint="eastAsia" w:ascii="Times New Roman" w:hAnsi="Times New Roman" w:eastAsia="宋体"/>
          <w:color w:val="000000" w:themeColor="text1"/>
          <w:sz w:val="21"/>
          <w:szCs w:val="21"/>
          <w:highlight w:val="none"/>
          <w14:textFill>
            <w14:solidFill>
              <w14:schemeClr w14:val="tx1"/>
            </w14:solidFill>
          </w14:textFill>
        </w:rPr>
        <w:t>（</w:t>
      </w:r>
      <w:r>
        <w:rPr>
          <w:rFonts w:ascii="Times New Roman" w:hAnsi="Times New Roman" w:eastAsia="宋体"/>
          <w:color w:val="000000" w:themeColor="text1"/>
          <w:sz w:val="21"/>
          <w:szCs w:val="21"/>
          <w:highlight w:val="none"/>
          <w14:textFill>
            <w14:solidFill>
              <w14:schemeClr w14:val="tx1"/>
            </w14:solidFill>
          </w14:textFill>
        </w:rPr>
        <w:t>1</w:t>
      </w:r>
      <w:r>
        <w:rPr>
          <w:rFonts w:hint="eastAsia" w:ascii="Times New Roman" w:hAnsi="Times New Roman" w:eastAsia="宋体"/>
          <w:color w:val="000000" w:themeColor="text1"/>
          <w:sz w:val="21"/>
          <w:szCs w:val="21"/>
          <w:highlight w:val="none"/>
          <w14:textFill>
            <w14:solidFill>
              <w14:schemeClr w14:val="tx1"/>
            </w14:solidFill>
          </w14:textFill>
        </w:rPr>
        <w:t>）舱体底座采用混凝土结构，底座由本项目设计单位设计，施工方完成施工。投标方设计舱体时需考虑舱体在混凝土底座上的安装方式，并充分考虑舱壁与混凝土底座间的密闭性设计；</w:t>
      </w:r>
    </w:p>
    <w:p>
      <w:pPr>
        <w:pStyle w:val="201"/>
        <w:adjustRightInd w:val="0"/>
        <w:snapToGrid w:val="0"/>
        <w:spacing w:line="360" w:lineRule="auto"/>
        <w:rPr>
          <w:rFonts w:ascii="Times New Roman" w:hAnsi="Times New Roman" w:eastAsia="宋体"/>
          <w:color w:val="000000" w:themeColor="text1"/>
          <w:sz w:val="21"/>
          <w:szCs w:val="21"/>
          <w:highlight w:val="none"/>
          <w14:textFill>
            <w14:solidFill>
              <w14:schemeClr w14:val="tx1"/>
            </w14:solidFill>
          </w14:textFill>
        </w:rPr>
      </w:pPr>
      <w:r>
        <w:rPr>
          <w:rFonts w:hint="eastAsia" w:ascii="Times New Roman" w:hAnsi="Times New Roman" w:eastAsia="宋体"/>
          <w:color w:val="000000" w:themeColor="text1"/>
          <w:sz w:val="21"/>
          <w:szCs w:val="21"/>
          <w:highlight w:val="none"/>
          <w14:textFill>
            <w14:solidFill>
              <w14:schemeClr w14:val="tx1"/>
            </w14:solidFill>
          </w14:textFill>
        </w:rPr>
        <w:t>（</w:t>
      </w:r>
      <w:r>
        <w:rPr>
          <w:rFonts w:ascii="Times New Roman" w:hAnsi="Times New Roman" w:eastAsia="宋体"/>
          <w:color w:val="000000" w:themeColor="text1"/>
          <w:sz w:val="21"/>
          <w:szCs w:val="21"/>
          <w:highlight w:val="none"/>
          <w14:textFill>
            <w14:solidFill>
              <w14:schemeClr w14:val="tx1"/>
            </w14:solidFill>
          </w14:textFill>
        </w:rPr>
        <w:t>2</w:t>
      </w:r>
      <w:r>
        <w:rPr>
          <w:rFonts w:hint="eastAsia" w:ascii="Times New Roman" w:hAnsi="Times New Roman" w:eastAsia="宋体"/>
          <w:color w:val="000000" w:themeColor="text1"/>
          <w:sz w:val="21"/>
          <w:szCs w:val="21"/>
          <w:highlight w:val="none"/>
          <w14:textFill>
            <w14:solidFill>
              <w14:schemeClr w14:val="tx1"/>
            </w14:solidFill>
          </w14:textFill>
        </w:rPr>
        <w:t>）舱体内储能储备、</w:t>
      </w:r>
      <w:r>
        <w:rPr>
          <w:rFonts w:ascii="Times New Roman" w:hAnsi="Times New Roman" w:eastAsia="宋体"/>
          <w:color w:val="000000" w:themeColor="text1"/>
          <w:sz w:val="21"/>
          <w:szCs w:val="21"/>
          <w:highlight w:val="none"/>
          <w14:textFill>
            <w14:solidFill>
              <w14:schemeClr w14:val="tx1"/>
            </w14:solidFill>
          </w14:textFill>
        </w:rPr>
        <w:t>10kV</w:t>
      </w:r>
      <w:r>
        <w:rPr>
          <w:rFonts w:hint="eastAsia" w:ascii="Times New Roman" w:hAnsi="Times New Roman" w:eastAsia="宋体"/>
          <w:color w:val="000000" w:themeColor="text1"/>
          <w:sz w:val="21"/>
          <w:szCs w:val="21"/>
          <w:highlight w:val="none"/>
          <w14:textFill>
            <w14:solidFill>
              <w14:schemeClr w14:val="tx1"/>
            </w14:solidFill>
          </w14:textFill>
        </w:rPr>
        <w:t>开关柜、3</w:t>
      </w:r>
      <w:r>
        <w:rPr>
          <w:rFonts w:ascii="Times New Roman" w:hAnsi="Times New Roman" w:eastAsia="宋体"/>
          <w:color w:val="000000" w:themeColor="text1"/>
          <w:sz w:val="21"/>
          <w:szCs w:val="21"/>
          <w:highlight w:val="none"/>
          <w14:textFill>
            <w14:solidFill>
              <w14:schemeClr w14:val="tx1"/>
            </w14:solidFill>
          </w14:textFill>
        </w:rPr>
        <w:t>80</w:t>
      </w:r>
      <w:r>
        <w:rPr>
          <w:rFonts w:hint="eastAsia" w:ascii="Times New Roman" w:hAnsi="Times New Roman" w:eastAsia="宋体"/>
          <w:color w:val="000000" w:themeColor="text1"/>
          <w:sz w:val="21"/>
          <w:szCs w:val="21"/>
          <w:highlight w:val="none"/>
          <w14:textFill>
            <w14:solidFill>
              <w14:schemeClr w14:val="tx1"/>
            </w14:solidFill>
          </w14:textFill>
        </w:rPr>
        <w:t>V配电柜、变压器、换流阀、直流设备、二次设备、通信设备等主设备的安装和调试由施工单位负责，预制舱厂商及其他厂商配合；照明、动力、消防、通风、空调、检修、接地、检修爬梯及附属围栏、扶手、防小动物措施等辅助设施由投标方提供，由投标方在工厂内安装及并调试交付；、</w:t>
      </w:r>
    </w:p>
    <w:p>
      <w:pPr>
        <w:pStyle w:val="201"/>
        <w:adjustRightInd w:val="0"/>
        <w:snapToGrid w:val="0"/>
        <w:spacing w:line="360" w:lineRule="auto"/>
        <w:rPr>
          <w:rFonts w:ascii="Times New Roman" w:hAnsi="Times New Roman" w:eastAsia="宋体"/>
          <w:color w:val="000000" w:themeColor="text1"/>
          <w:sz w:val="21"/>
          <w:szCs w:val="21"/>
          <w:highlight w:val="none"/>
          <w14:textFill>
            <w14:solidFill>
              <w14:schemeClr w14:val="tx1"/>
            </w14:solidFill>
          </w14:textFill>
        </w:rPr>
      </w:pPr>
      <w:r>
        <w:rPr>
          <w:rFonts w:hint="eastAsia" w:ascii="Times New Roman" w:hAnsi="Times New Roman" w:eastAsia="宋体"/>
          <w:color w:val="000000" w:themeColor="text1"/>
          <w:sz w:val="21"/>
          <w:szCs w:val="21"/>
          <w:highlight w:val="none"/>
          <w14:textFill>
            <w14:solidFill>
              <w14:schemeClr w14:val="tx1"/>
            </w14:solidFill>
          </w14:textFill>
        </w:rPr>
        <w:t>（3）舱体内储能储备、</w:t>
      </w:r>
      <w:r>
        <w:rPr>
          <w:rFonts w:ascii="Times New Roman" w:hAnsi="Times New Roman" w:eastAsia="宋体"/>
          <w:color w:val="000000" w:themeColor="text1"/>
          <w:sz w:val="21"/>
          <w:szCs w:val="21"/>
          <w:highlight w:val="none"/>
          <w14:textFill>
            <w14:solidFill>
              <w14:schemeClr w14:val="tx1"/>
            </w14:solidFill>
          </w14:textFill>
        </w:rPr>
        <w:t>10kV</w:t>
      </w:r>
      <w:r>
        <w:rPr>
          <w:rFonts w:hint="eastAsia" w:ascii="Times New Roman" w:hAnsi="Times New Roman" w:eastAsia="宋体"/>
          <w:color w:val="000000" w:themeColor="text1"/>
          <w:sz w:val="21"/>
          <w:szCs w:val="21"/>
          <w:highlight w:val="none"/>
          <w14:textFill>
            <w14:solidFill>
              <w14:schemeClr w14:val="tx1"/>
            </w14:solidFill>
          </w14:textFill>
        </w:rPr>
        <w:t>开关柜、3</w:t>
      </w:r>
      <w:r>
        <w:rPr>
          <w:rFonts w:ascii="Times New Roman" w:hAnsi="Times New Roman" w:eastAsia="宋体"/>
          <w:color w:val="000000" w:themeColor="text1"/>
          <w:sz w:val="21"/>
          <w:szCs w:val="21"/>
          <w:highlight w:val="none"/>
          <w14:textFill>
            <w14:solidFill>
              <w14:schemeClr w14:val="tx1"/>
            </w14:solidFill>
          </w14:textFill>
        </w:rPr>
        <w:t>80</w:t>
      </w:r>
      <w:r>
        <w:rPr>
          <w:rFonts w:hint="eastAsia" w:ascii="Times New Roman" w:hAnsi="Times New Roman" w:eastAsia="宋体"/>
          <w:color w:val="000000" w:themeColor="text1"/>
          <w:sz w:val="21"/>
          <w:szCs w:val="21"/>
          <w:highlight w:val="none"/>
          <w14:textFill>
            <w14:solidFill>
              <w14:schemeClr w14:val="tx1"/>
            </w14:solidFill>
          </w14:textFill>
        </w:rPr>
        <w:t>V配电柜、变压器、换流阀、直流设备、二次设备、通信设备等主设备所需连接电缆、线缆由招标方提供，设备线缆、电缆接线由投标方及本项目设计单位共同确认敷设方式，投标方完成舱体内部的线缆敷设及设备接线；出舱线缆由施工方敷设；照明、动力、消防、通风、空调、检修等辅助设施所用电缆，由投标方提供并完成敷设；</w:t>
      </w:r>
      <w:r>
        <w:rPr>
          <w:rFonts w:ascii="Times New Roman" w:hAnsi="Times New Roman" w:eastAsia="宋体"/>
          <w:color w:val="000000" w:themeColor="text1"/>
          <w:sz w:val="21"/>
          <w:szCs w:val="21"/>
          <w:highlight w:val="none"/>
          <w14:textFill>
            <w14:solidFill>
              <w14:schemeClr w14:val="tx1"/>
            </w14:solidFill>
          </w14:textFill>
        </w:rPr>
        <w:t xml:space="preserve"> </w:t>
      </w:r>
    </w:p>
    <w:p>
      <w:pPr>
        <w:pStyle w:val="201"/>
        <w:adjustRightInd w:val="0"/>
        <w:snapToGrid w:val="0"/>
        <w:spacing w:line="360" w:lineRule="auto"/>
        <w:rPr>
          <w:rFonts w:ascii="Times New Roman" w:hAnsi="Times New Roman" w:eastAsia="宋体"/>
          <w:color w:val="000000" w:themeColor="text1"/>
          <w:sz w:val="21"/>
          <w:szCs w:val="21"/>
          <w:highlight w:val="none"/>
          <w14:textFill>
            <w14:solidFill>
              <w14:schemeClr w14:val="tx1"/>
            </w14:solidFill>
          </w14:textFill>
        </w:rPr>
      </w:pPr>
      <w:r>
        <w:rPr>
          <w:rFonts w:hint="eastAsia" w:ascii="Times New Roman" w:hAnsi="Times New Roman" w:eastAsia="宋体"/>
          <w:color w:val="000000" w:themeColor="text1"/>
          <w:sz w:val="21"/>
          <w:szCs w:val="21"/>
          <w:highlight w:val="none"/>
          <w14:textFill>
            <w14:solidFill>
              <w14:schemeClr w14:val="tx1"/>
            </w14:solidFill>
          </w14:textFill>
        </w:rPr>
        <w:t>（</w:t>
      </w:r>
      <w:r>
        <w:rPr>
          <w:rFonts w:ascii="Times New Roman" w:hAnsi="Times New Roman" w:eastAsia="宋体"/>
          <w:color w:val="000000" w:themeColor="text1"/>
          <w:sz w:val="21"/>
          <w:szCs w:val="21"/>
          <w:highlight w:val="none"/>
          <w14:textFill>
            <w14:solidFill>
              <w14:schemeClr w14:val="tx1"/>
            </w14:solidFill>
          </w14:textFill>
        </w:rPr>
        <w:t>4</w:t>
      </w:r>
      <w:r>
        <w:rPr>
          <w:rFonts w:hint="eastAsia" w:ascii="Times New Roman" w:hAnsi="Times New Roman" w:eastAsia="宋体"/>
          <w:color w:val="000000" w:themeColor="text1"/>
          <w:sz w:val="21"/>
          <w:szCs w:val="21"/>
          <w:highlight w:val="none"/>
          <w14:textFill>
            <w14:solidFill>
              <w14:schemeClr w14:val="tx1"/>
            </w14:solidFill>
          </w14:textFill>
        </w:rPr>
        <w:t>）招标方所提供设备的安装方式及检修需求由本项目设计单位及招标方共同与设备厂家确认；</w:t>
      </w:r>
    </w:p>
    <w:p>
      <w:pPr>
        <w:pStyle w:val="201"/>
        <w:adjustRightInd w:val="0"/>
        <w:snapToGrid w:val="0"/>
        <w:spacing w:line="360" w:lineRule="auto"/>
        <w:rPr>
          <w:rFonts w:ascii="Times New Roman" w:hAnsi="Times New Roman" w:eastAsia="宋体"/>
          <w:color w:val="000000" w:themeColor="text1"/>
          <w:sz w:val="21"/>
          <w:szCs w:val="21"/>
          <w:highlight w:val="none"/>
          <w14:textFill>
            <w14:solidFill>
              <w14:schemeClr w14:val="tx1"/>
            </w14:solidFill>
          </w14:textFill>
        </w:rPr>
      </w:pPr>
      <w:r>
        <w:rPr>
          <w:rFonts w:hint="eastAsia" w:ascii="Times New Roman" w:hAnsi="Times New Roman" w:eastAsia="宋体"/>
          <w:color w:val="000000" w:themeColor="text1"/>
          <w:sz w:val="21"/>
          <w:szCs w:val="21"/>
          <w:highlight w:val="none"/>
          <w14:textFill>
            <w14:solidFill>
              <w14:schemeClr w14:val="tx1"/>
            </w14:solidFill>
          </w14:textFill>
        </w:rPr>
        <w:t>（</w:t>
      </w:r>
      <w:r>
        <w:rPr>
          <w:rFonts w:ascii="Times New Roman" w:hAnsi="Times New Roman" w:eastAsia="宋体"/>
          <w:color w:val="000000" w:themeColor="text1"/>
          <w:sz w:val="21"/>
          <w:szCs w:val="21"/>
          <w:highlight w:val="none"/>
          <w14:textFill>
            <w14:solidFill>
              <w14:schemeClr w14:val="tx1"/>
            </w14:solidFill>
          </w14:textFill>
        </w:rPr>
        <w:t>4</w:t>
      </w:r>
      <w:r>
        <w:rPr>
          <w:rFonts w:hint="eastAsia" w:ascii="Times New Roman" w:hAnsi="Times New Roman" w:eastAsia="宋体"/>
          <w:color w:val="000000" w:themeColor="text1"/>
          <w:sz w:val="21"/>
          <w:szCs w:val="21"/>
          <w:highlight w:val="none"/>
          <w14:textFill>
            <w14:solidFill>
              <w14:schemeClr w14:val="tx1"/>
            </w14:solidFill>
          </w14:textFill>
        </w:rPr>
        <w:t>）内部装修、配置设施及消防设备均由投标方设计后发本项目设计单位确认，内部装修、配置设施及消防设备均由投标方在工厂内预装完成；</w:t>
      </w:r>
    </w:p>
    <w:p>
      <w:pPr>
        <w:pStyle w:val="201"/>
        <w:adjustRightInd w:val="0"/>
        <w:snapToGrid w:val="0"/>
        <w:spacing w:line="360" w:lineRule="auto"/>
        <w:rPr>
          <w:rFonts w:ascii="Times New Roman" w:hAnsi="Times New Roman" w:eastAsia="宋体"/>
          <w:color w:val="000000" w:themeColor="text1"/>
          <w:sz w:val="21"/>
          <w:szCs w:val="21"/>
          <w:highlight w:val="none"/>
          <w14:textFill>
            <w14:solidFill>
              <w14:schemeClr w14:val="tx1"/>
            </w14:solidFill>
          </w14:textFill>
        </w:rPr>
      </w:pPr>
      <w:r>
        <w:rPr>
          <w:rFonts w:hint="eastAsia" w:ascii="Times New Roman" w:hAnsi="Times New Roman" w:eastAsia="宋体"/>
          <w:color w:val="000000" w:themeColor="text1"/>
          <w:sz w:val="21"/>
          <w:szCs w:val="21"/>
          <w:highlight w:val="none"/>
          <w14:textFill>
            <w14:solidFill>
              <w14:schemeClr w14:val="tx1"/>
            </w14:solidFill>
          </w14:textFill>
        </w:rPr>
        <w:t>（</w:t>
      </w:r>
      <w:r>
        <w:rPr>
          <w:rFonts w:ascii="Times New Roman" w:hAnsi="Times New Roman" w:eastAsia="宋体"/>
          <w:color w:val="000000" w:themeColor="text1"/>
          <w:sz w:val="21"/>
          <w:szCs w:val="21"/>
          <w:highlight w:val="none"/>
          <w14:textFill>
            <w14:solidFill>
              <w14:schemeClr w14:val="tx1"/>
            </w14:solidFill>
          </w14:textFill>
        </w:rPr>
        <w:t>5</w:t>
      </w:r>
      <w:r>
        <w:rPr>
          <w:rFonts w:hint="eastAsia" w:ascii="Times New Roman" w:hAnsi="Times New Roman" w:eastAsia="宋体"/>
          <w:color w:val="000000" w:themeColor="text1"/>
          <w:sz w:val="21"/>
          <w:szCs w:val="21"/>
          <w:highlight w:val="none"/>
          <w14:textFill>
            <w14:solidFill>
              <w14:schemeClr w14:val="tx1"/>
            </w14:solidFill>
          </w14:textFill>
        </w:rPr>
        <w:t>）预制舱厂商提供的设备、辅助系统的安装和调试由预制舱厂商完成，施工单位配合；其他设备、系统的安装和调试由施工单位负责，预制舱厂商及其他厂商配合；</w:t>
      </w:r>
    </w:p>
    <w:p>
      <w:pPr>
        <w:pStyle w:val="201"/>
        <w:adjustRightInd w:val="0"/>
        <w:snapToGrid w:val="0"/>
        <w:spacing w:line="360" w:lineRule="auto"/>
        <w:rPr>
          <w:rFonts w:ascii="Times New Roman" w:hAnsi="Times New Roman" w:eastAsia="宋体"/>
          <w:color w:val="000000" w:themeColor="text1"/>
          <w:sz w:val="21"/>
          <w:szCs w:val="21"/>
          <w:highlight w:val="none"/>
          <w14:textFill>
            <w14:solidFill>
              <w14:schemeClr w14:val="tx1"/>
            </w14:solidFill>
          </w14:textFill>
        </w:rPr>
      </w:pPr>
      <w:r>
        <w:rPr>
          <w:rFonts w:hint="eastAsia" w:ascii="Times New Roman" w:hAnsi="Times New Roman" w:eastAsia="宋体"/>
          <w:color w:val="000000" w:themeColor="text1"/>
          <w:sz w:val="21"/>
          <w:szCs w:val="21"/>
          <w:highlight w:val="none"/>
          <w14:textFill>
            <w14:solidFill>
              <w14:schemeClr w14:val="tx1"/>
            </w14:solidFill>
          </w14:textFill>
        </w:rPr>
        <w:t>（</w:t>
      </w:r>
      <w:r>
        <w:rPr>
          <w:rFonts w:ascii="Times New Roman" w:hAnsi="Times New Roman" w:eastAsia="宋体"/>
          <w:color w:val="000000" w:themeColor="text1"/>
          <w:sz w:val="21"/>
          <w:szCs w:val="21"/>
          <w:highlight w:val="none"/>
          <w14:textFill>
            <w14:solidFill>
              <w14:schemeClr w14:val="tx1"/>
            </w14:solidFill>
          </w14:textFill>
        </w:rPr>
        <w:t>6</w:t>
      </w:r>
      <w:r>
        <w:rPr>
          <w:rFonts w:hint="eastAsia" w:ascii="Times New Roman" w:hAnsi="Times New Roman" w:eastAsia="宋体"/>
          <w:color w:val="000000" w:themeColor="text1"/>
          <w:sz w:val="21"/>
          <w:szCs w:val="21"/>
          <w:highlight w:val="none"/>
          <w14:textFill>
            <w14:solidFill>
              <w14:schemeClr w14:val="tx1"/>
            </w14:solidFill>
          </w14:textFill>
        </w:rPr>
        <w:t>）舱顶需安装阀冷室外机，投标方需设计、提供阀冷室外机安装支架。支架由投标方在工厂内预装完成。</w:t>
      </w:r>
    </w:p>
    <w:p>
      <w:pPr>
        <w:pStyle w:val="201"/>
        <w:adjustRightInd w:val="0"/>
        <w:snapToGrid w:val="0"/>
        <w:spacing w:line="360" w:lineRule="auto"/>
        <w:rPr>
          <w:rFonts w:ascii="Times New Roman" w:hAnsi="Times New Roman" w:eastAsia="宋体"/>
          <w:color w:val="000000" w:themeColor="text1"/>
          <w:sz w:val="21"/>
          <w:szCs w:val="21"/>
          <w:highlight w:val="none"/>
          <w14:textFill>
            <w14:solidFill>
              <w14:schemeClr w14:val="tx1"/>
            </w14:solidFill>
          </w14:textFill>
        </w:rPr>
      </w:pPr>
      <w:r>
        <w:rPr>
          <w:rFonts w:hint="eastAsia" w:ascii="Times New Roman" w:hAnsi="Times New Roman" w:eastAsia="宋体"/>
          <w:color w:val="000000" w:themeColor="text1"/>
          <w:sz w:val="21"/>
          <w:szCs w:val="21"/>
          <w:highlight w:val="none"/>
          <w14:textFill>
            <w14:solidFill>
              <w14:schemeClr w14:val="tx1"/>
            </w14:solidFill>
          </w14:textFill>
        </w:rPr>
        <w:t>（</w:t>
      </w:r>
      <w:r>
        <w:rPr>
          <w:rFonts w:ascii="Times New Roman" w:hAnsi="Times New Roman" w:eastAsia="宋体"/>
          <w:color w:val="000000" w:themeColor="text1"/>
          <w:sz w:val="21"/>
          <w:szCs w:val="21"/>
          <w:highlight w:val="none"/>
          <w14:textFill>
            <w14:solidFill>
              <w14:schemeClr w14:val="tx1"/>
            </w14:solidFill>
          </w14:textFill>
        </w:rPr>
        <w:t>7</w:t>
      </w:r>
      <w:r>
        <w:rPr>
          <w:rFonts w:hint="eastAsia" w:ascii="Times New Roman" w:hAnsi="Times New Roman" w:eastAsia="宋体"/>
          <w:color w:val="000000" w:themeColor="text1"/>
          <w:sz w:val="21"/>
          <w:szCs w:val="21"/>
          <w:highlight w:val="none"/>
          <w14:textFill>
            <w14:solidFill>
              <w14:schemeClr w14:val="tx1"/>
            </w14:solidFill>
          </w14:textFill>
        </w:rPr>
        <w:t>）超导磁储能核心撬排气管需高于舱顶</w:t>
      </w:r>
      <w:r>
        <w:rPr>
          <w:rFonts w:ascii="Times New Roman" w:hAnsi="Times New Roman" w:eastAsia="宋体"/>
          <w:color w:val="000000" w:themeColor="text1"/>
          <w:sz w:val="21"/>
          <w:szCs w:val="21"/>
          <w:highlight w:val="none"/>
          <w14:textFill>
            <w14:solidFill>
              <w14:schemeClr w14:val="tx1"/>
            </w14:solidFill>
          </w14:textFill>
        </w:rPr>
        <w:t>5000mm</w:t>
      </w:r>
      <w:r>
        <w:rPr>
          <w:rFonts w:hint="eastAsia" w:ascii="Times New Roman" w:hAnsi="Times New Roman" w:eastAsia="宋体"/>
          <w:color w:val="000000" w:themeColor="text1"/>
          <w:sz w:val="21"/>
          <w:szCs w:val="21"/>
          <w:highlight w:val="none"/>
          <w14:textFill>
            <w14:solidFill>
              <w14:schemeClr w14:val="tx1"/>
            </w14:solidFill>
          </w14:textFill>
        </w:rPr>
        <w:t>，投标方需设计、提供排气管在舱顶的固定支架。支架由投标方在工厂内预装完成。</w:t>
      </w:r>
    </w:p>
    <w:p>
      <w:pPr>
        <w:pStyle w:val="201"/>
        <w:adjustRightInd w:val="0"/>
        <w:snapToGrid w:val="0"/>
        <w:spacing w:line="360" w:lineRule="auto"/>
        <w:rPr>
          <w:rFonts w:ascii="Times New Roman" w:hAnsi="Times New Roman" w:eastAsia="宋体"/>
          <w:color w:val="000000" w:themeColor="text1"/>
          <w:sz w:val="21"/>
          <w:szCs w:val="21"/>
          <w:highlight w:val="none"/>
          <w14:textFill>
            <w14:solidFill>
              <w14:schemeClr w14:val="tx1"/>
            </w14:solidFill>
          </w14:textFill>
        </w:rPr>
      </w:pPr>
      <w:r>
        <w:rPr>
          <w:rFonts w:hint="eastAsia" w:ascii="Times New Roman" w:hAnsi="Times New Roman" w:eastAsia="宋体"/>
          <w:color w:val="000000" w:themeColor="text1"/>
          <w:sz w:val="21"/>
          <w:szCs w:val="21"/>
          <w:highlight w:val="none"/>
          <w14:textFill>
            <w14:solidFill>
              <w14:schemeClr w14:val="tx1"/>
            </w14:solidFill>
          </w14:textFill>
        </w:rPr>
        <w:t>（8）预制舱吊装及安装由投标方完成。招标方在设计舱体时，应考虑设置高空作业安装措施。</w:t>
      </w:r>
    </w:p>
    <w:p>
      <w:pPr>
        <w:pStyle w:val="201"/>
        <w:adjustRightInd w:val="0"/>
        <w:snapToGrid w:val="0"/>
        <w:spacing w:line="360" w:lineRule="auto"/>
        <w:rPr>
          <w:rFonts w:ascii="Times New Roman" w:hAnsi="Times New Roman" w:eastAsia="宋体"/>
          <w:color w:val="000000" w:themeColor="text1"/>
          <w:sz w:val="21"/>
          <w:szCs w:val="21"/>
          <w:highlight w:val="none"/>
          <w14:textFill>
            <w14:solidFill>
              <w14:schemeClr w14:val="tx1"/>
            </w14:solidFill>
          </w14:textFill>
        </w:rPr>
      </w:pPr>
      <w:bookmarkStart w:id="111" w:name="_Toc177995338"/>
      <w:bookmarkStart w:id="112" w:name="_Toc119049830"/>
      <w:bookmarkStart w:id="113" w:name="_Toc26765"/>
      <w:r>
        <w:rPr>
          <w:rFonts w:hint="eastAsia" w:ascii="Times New Roman" w:hAnsi="Times New Roman" w:eastAsia="宋体"/>
          <w:color w:val="000000" w:themeColor="text1"/>
          <w:sz w:val="21"/>
          <w:szCs w:val="21"/>
          <w:highlight w:val="none"/>
          <w14:textFill>
            <w14:solidFill>
              <w14:schemeClr w14:val="tx1"/>
            </w14:solidFill>
          </w14:textFill>
        </w:rPr>
        <w:t>除以上工作量外，投标方负责预制舱舱体维护工作。舱体外部喷漆前供货方需制作外观效果图方案供招标方选择。</w:t>
      </w:r>
    </w:p>
    <w:p>
      <w:pPr>
        <w:pStyle w:val="3"/>
        <w:numPr>
          <w:ilvl w:val="1"/>
          <w:numId w:val="0"/>
        </w:numPr>
        <w:rPr>
          <w:rFonts w:ascii="黑体" w:hAnsi="黑体" w:eastAsia="黑体"/>
          <w:color w:val="000000" w:themeColor="text1"/>
          <w14:textFill>
            <w14:solidFill>
              <w14:schemeClr w14:val="tx1"/>
            </w14:solidFill>
          </w14:textFill>
        </w:rPr>
      </w:pPr>
      <w:r>
        <w:rPr>
          <w:rFonts w:ascii="黑体" w:hAnsi="黑体" w:eastAsia="黑体"/>
          <w:color w:val="000000" w:themeColor="text1"/>
          <w14:textFill>
            <w14:solidFill>
              <w14:schemeClr w14:val="tx1"/>
            </w14:solidFill>
          </w14:textFill>
        </w:rPr>
        <w:t xml:space="preserve">6.4 </w:t>
      </w:r>
      <w:r>
        <w:rPr>
          <w:rFonts w:hint="eastAsia" w:ascii="黑体" w:hAnsi="黑体" w:eastAsia="黑体"/>
          <w:color w:val="000000" w:themeColor="text1"/>
          <w14:textFill>
            <w14:solidFill>
              <w14:schemeClr w14:val="tx1"/>
            </w14:solidFill>
          </w14:textFill>
        </w:rPr>
        <w:t>展厅舱</w:t>
      </w:r>
      <w:bookmarkEnd w:id="111"/>
    </w:p>
    <w:p>
      <w:pPr>
        <w:pStyle w:val="201"/>
        <w:adjustRightInd w:val="0"/>
        <w:snapToGrid w:val="0"/>
        <w:spacing w:line="360" w:lineRule="auto"/>
        <w:rPr>
          <w:rFonts w:ascii="Times New Roman" w:hAnsi="Times New Roman" w:eastAsia="宋体"/>
          <w:color w:val="000000" w:themeColor="text1"/>
          <w:sz w:val="21"/>
          <w:szCs w:val="21"/>
          <w14:textFill>
            <w14:solidFill>
              <w14:schemeClr w14:val="tx1"/>
            </w14:solidFill>
          </w14:textFill>
        </w:rPr>
      </w:pPr>
      <w:r>
        <w:rPr>
          <w:rFonts w:ascii="Times New Roman" w:hAnsi="Times New Roman" w:eastAsia="宋体"/>
          <w:color w:val="000000" w:themeColor="text1"/>
          <w:sz w:val="21"/>
          <w:szCs w:val="21"/>
          <w14:textFill>
            <w14:solidFill>
              <w14:schemeClr w14:val="tx1"/>
            </w14:solidFill>
          </w14:textFill>
        </w:rPr>
        <w:t>1</w:t>
      </w:r>
      <w:r>
        <w:rPr>
          <w:rFonts w:hint="eastAsia" w:ascii="Times New Roman" w:hAnsi="Times New Roman" w:eastAsia="宋体"/>
          <w:color w:val="000000" w:themeColor="text1"/>
          <w:sz w:val="21"/>
          <w:szCs w:val="21"/>
          <w14:textFill>
            <w14:solidFill>
              <w14:schemeClr w14:val="tx1"/>
            </w14:solidFill>
          </w14:textFill>
        </w:rPr>
        <w:t>、总则</w:t>
      </w:r>
    </w:p>
    <w:p>
      <w:pPr>
        <w:pStyle w:val="201"/>
        <w:adjustRightInd w:val="0"/>
        <w:snapToGrid w:val="0"/>
        <w:spacing w:line="360" w:lineRule="auto"/>
        <w:rPr>
          <w:rFonts w:ascii="Times New Roman" w:hAnsi="Times New Roman" w:eastAsia="宋体"/>
          <w:color w:val="000000" w:themeColor="text1"/>
          <w:sz w:val="21"/>
          <w:szCs w:val="21"/>
          <w14:textFill>
            <w14:solidFill>
              <w14:schemeClr w14:val="tx1"/>
            </w14:solidFill>
          </w14:textFill>
        </w:rPr>
      </w:pPr>
      <w:r>
        <w:rPr>
          <w:rFonts w:hint="eastAsia" w:ascii="Times New Roman" w:hAnsi="Times New Roman" w:eastAsia="宋体"/>
          <w:color w:val="000000" w:themeColor="text1"/>
          <w:sz w:val="21"/>
          <w:szCs w:val="21"/>
          <w14:textFill>
            <w14:solidFill>
              <w14:schemeClr w14:val="tx1"/>
            </w14:solidFill>
          </w14:textFill>
        </w:rPr>
        <w:t>技术规范书中标注有☆的条款为重要技术要求，投标方需在投标文件中对其做出重点响应。</w:t>
      </w:r>
    </w:p>
    <w:p>
      <w:pPr>
        <w:pStyle w:val="201"/>
        <w:adjustRightInd w:val="0"/>
        <w:snapToGrid w:val="0"/>
        <w:spacing w:line="360" w:lineRule="auto"/>
        <w:rPr>
          <w:rFonts w:ascii="Times New Roman" w:hAnsi="Times New Roman" w:eastAsia="宋体"/>
          <w:color w:val="000000" w:themeColor="text1"/>
          <w:sz w:val="21"/>
          <w:szCs w:val="21"/>
          <w14:textFill>
            <w14:solidFill>
              <w14:schemeClr w14:val="tx1"/>
            </w14:solidFill>
          </w14:textFill>
        </w:rPr>
      </w:pPr>
      <w:r>
        <w:rPr>
          <w:rFonts w:ascii="Times New Roman" w:hAnsi="Times New Roman" w:eastAsia="宋体"/>
          <w:color w:val="000000" w:themeColor="text1"/>
          <w:sz w:val="21"/>
          <w:szCs w:val="21"/>
          <w14:textFill>
            <w14:solidFill>
              <w14:schemeClr w14:val="tx1"/>
            </w14:solidFill>
          </w14:textFill>
        </w:rPr>
        <w:t>2</w:t>
      </w:r>
      <w:r>
        <w:rPr>
          <w:rFonts w:hint="eastAsia" w:ascii="Times New Roman" w:hAnsi="Times New Roman" w:eastAsia="宋体"/>
          <w:color w:val="000000" w:themeColor="text1"/>
          <w:sz w:val="21"/>
          <w:szCs w:val="21"/>
          <w14:textFill>
            <w14:solidFill>
              <w14:schemeClr w14:val="tx1"/>
            </w14:solidFill>
          </w14:textFill>
        </w:rPr>
        <w:t>、预制舱规格尺寸</w:t>
      </w:r>
    </w:p>
    <w:p>
      <w:pPr>
        <w:pStyle w:val="201"/>
        <w:adjustRightInd w:val="0"/>
        <w:snapToGrid w:val="0"/>
        <w:spacing w:line="360" w:lineRule="auto"/>
        <w:rPr>
          <w:rFonts w:ascii="Times New Roman" w:hAnsi="Times New Roman" w:eastAsia="宋体"/>
          <w:color w:val="000000" w:themeColor="text1"/>
          <w:sz w:val="21"/>
          <w:szCs w:val="21"/>
          <w14:textFill>
            <w14:solidFill>
              <w14:schemeClr w14:val="tx1"/>
            </w14:solidFill>
          </w14:textFill>
        </w:rPr>
      </w:pPr>
      <w:r>
        <w:rPr>
          <w:rFonts w:hint="eastAsia" w:ascii="Times New Roman" w:hAnsi="Times New Roman" w:eastAsia="宋体"/>
          <w:color w:val="000000" w:themeColor="text1"/>
          <w:sz w:val="21"/>
          <w:szCs w:val="21"/>
          <w14:textFill>
            <w14:solidFill>
              <w14:schemeClr w14:val="tx1"/>
            </w14:solidFill>
          </w14:textFill>
        </w:rPr>
        <w:t>（</w:t>
      </w:r>
      <w:r>
        <w:rPr>
          <w:rFonts w:ascii="Times New Roman" w:hAnsi="Times New Roman" w:eastAsia="宋体"/>
          <w:color w:val="000000" w:themeColor="text1"/>
          <w:sz w:val="21"/>
          <w:szCs w:val="21"/>
          <w14:textFill>
            <w14:solidFill>
              <w14:schemeClr w14:val="tx1"/>
            </w14:solidFill>
          </w14:textFill>
        </w:rPr>
        <w:t>1</w:t>
      </w:r>
      <w:r>
        <w:rPr>
          <w:rFonts w:hint="eastAsia" w:ascii="Times New Roman" w:hAnsi="Times New Roman" w:eastAsia="宋体"/>
          <w:color w:val="000000" w:themeColor="text1"/>
          <w:sz w:val="21"/>
          <w:szCs w:val="21"/>
          <w14:textFill>
            <w14:solidFill>
              <w14:schemeClr w14:val="tx1"/>
            </w14:solidFill>
          </w14:textFill>
        </w:rPr>
        <w:t>）双层布置，内尺寸不小于图</w:t>
      </w:r>
      <w:r>
        <w:rPr>
          <w:rFonts w:ascii="Times New Roman" w:hAnsi="Times New Roman" w:eastAsia="宋体"/>
          <w:color w:val="000000" w:themeColor="text1"/>
          <w:sz w:val="21"/>
          <w:szCs w:val="21"/>
          <w14:textFill>
            <w14:solidFill>
              <w14:schemeClr w14:val="tx1"/>
            </w14:solidFill>
          </w14:textFill>
        </w:rPr>
        <w:t>6.4-1</w:t>
      </w:r>
      <w:r>
        <w:rPr>
          <w:rFonts w:hint="eastAsia" w:ascii="Times New Roman" w:hAnsi="Times New Roman" w:eastAsia="宋体"/>
          <w:color w:val="000000" w:themeColor="text1"/>
          <w:sz w:val="21"/>
          <w:szCs w:val="21"/>
          <w14:textFill>
            <w14:solidFill>
              <w14:schemeClr w14:val="tx1"/>
            </w14:solidFill>
          </w14:textFill>
        </w:rPr>
        <w:t>所标识尺寸，首层净高不小于</w:t>
      </w:r>
      <w:r>
        <w:rPr>
          <w:rFonts w:ascii="Times New Roman" w:hAnsi="Times New Roman" w:eastAsia="宋体"/>
          <w:color w:val="000000" w:themeColor="text1"/>
          <w:sz w:val="21"/>
          <w:szCs w:val="21"/>
          <w14:textFill>
            <w14:solidFill>
              <w14:schemeClr w14:val="tx1"/>
            </w14:solidFill>
          </w14:textFill>
        </w:rPr>
        <w:t>3500mm</w:t>
      </w:r>
      <w:r>
        <w:rPr>
          <w:rFonts w:hint="eastAsia" w:ascii="Times New Roman" w:hAnsi="Times New Roman" w:eastAsia="宋体"/>
          <w:color w:val="000000" w:themeColor="text1"/>
          <w:sz w:val="21"/>
          <w:szCs w:val="21"/>
          <w14:textFill>
            <w14:solidFill>
              <w14:schemeClr w14:val="tx1"/>
            </w14:solidFill>
          </w14:textFill>
        </w:rPr>
        <w:t>，二层净高不小于</w:t>
      </w:r>
      <w:r>
        <w:rPr>
          <w:rFonts w:ascii="Times New Roman" w:hAnsi="Times New Roman" w:eastAsia="宋体"/>
          <w:color w:val="000000" w:themeColor="text1"/>
          <w:sz w:val="21"/>
          <w:szCs w:val="21"/>
          <w14:textFill>
            <w14:solidFill>
              <w14:schemeClr w14:val="tx1"/>
            </w14:solidFill>
          </w14:textFill>
        </w:rPr>
        <w:t>3500-4200mm</w:t>
      </w:r>
      <w:r>
        <w:rPr>
          <w:rFonts w:hint="eastAsia" w:ascii="Times New Roman" w:hAnsi="Times New Roman" w:eastAsia="宋体"/>
          <w:color w:val="000000" w:themeColor="text1"/>
          <w:sz w:val="21"/>
          <w:szCs w:val="21"/>
          <w14:textFill>
            <w14:solidFill>
              <w14:schemeClr w14:val="tx1"/>
            </w14:solidFill>
          </w14:textFill>
        </w:rPr>
        <w:t>，布置一部室内楼梯连接首二层。底座采用钢结构，供货范围包含底座。中部设置圆形采光柱，具有与舱体一致的承载力、抗风性能及防水性能等。本规范仅规定了舱体最小尺寸，最终图纸确认按实际设备检修通道需求设计舱体尺寸。</w:t>
      </w:r>
    </w:p>
    <w:p>
      <w:pPr>
        <w:tabs>
          <w:tab w:val="left" w:pos="1267"/>
        </w:tabs>
        <w:spacing w:line="360" w:lineRule="auto"/>
        <w:ind w:firstLine="420" w:firstLineChars="200"/>
        <w:rPr>
          <w:color w:val="000000" w:themeColor="text1"/>
          <w:szCs w:val="21"/>
          <w14:textFill>
            <w14:solidFill>
              <w14:schemeClr w14:val="tx1"/>
            </w14:solidFill>
          </w14:textFill>
        </w:rPr>
      </w:pPr>
      <w:r>
        <w:rPr>
          <w:rFonts w:hint="eastAsia"/>
          <w:color w:val="000000" w:themeColor="text1"/>
          <w:szCs w:val="21"/>
          <w14:textFill>
            <w14:solidFill>
              <w14:schemeClr w14:val="tx1"/>
            </w14:solidFill>
          </w14:textFill>
        </w:rPr>
        <w:t>（</w:t>
      </w:r>
      <w:r>
        <w:rPr>
          <w:color w:val="000000" w:themeColor="text1"/>
          <w:szCs w:val="21"/>
          <w14:textFill>
            <w14:solidFill>
              <w14:schemeClr w14:val="tx1"/>
            </w14:solidFill>
          </w14:textFill>
        </w:rPr>
        <w:t>2</w:t>
      </w:r>
      <w:r>
        <w:rPr>
          <w:rFonts w:hint="eastAsia"/>
          <w:color w:val="000000" w:themeColor="text1"/>
          <w:szCs w:val="21"/>
          <w14:textFill>
            <w14:solidFill>
              <w14:schemeClr w14:val="tx1"/>
            </w14:solidFill>
          </w14:textFill>
        </w:rPr>
        <w:t>）预制舱舱体底架由型钢焊接而成，舱体骨架为焊装一体式结构，主要钢材材质应选用不低于</w:t>
      </w:r>
      <w:r>
        <w:rPr>
          <w:color w:val="000000" w:themeColor="text1"/>
          <w:szCs w:val="21"/>
          <w14:textFill>
            <w14:solidFill>
              <w14:schemeClr w14:val="tx1"/>
            </w14:solidFill>
          </w14:textFill>
        </w:rPr>
        <w:t>GB/T 700</w:t>
      </w:r>
      <w:r>
        <w:rPr>
          <w:rFonts w:hint="eastAsia"/>
          <w:color w:val="000000" w:themeColor="text1"/>
          <w:szCs w:val="21"/>
          <w14:textFill>
            <w14:solidFill>
              <w14:schemeClr w14:val="tx1"/>
            </w14:solidFill>
          </w14:textFill>
        </w:rPr>
        <w:t>标准的优质碳素结构钢，钢材的屈服强度不小于</w:t>
      </w:r>
      <w:r>
        <w:rPr>
          <w:color w:val="000000" w:themeColor="text1"/>
          <w:szCs w:val="21"/>
          <w14:textFill>
            <w14:solidFill>
              <w14:schemeClr w14:val="tx1"/>
            </w14:solidFill>
          </w14:textFill>
        </w:rPr>
        <w:t>235N/mm2(MPa)</w:t>
      </w:r>
      <w:r>
        <w:rPr>
          <w:rFonts w:hint="eastAsia"/>
          <w:color w:val="000000" w:themeColor="text1"/>
          <w:szCs w:val="21"/>
          <w14:textFill>
            <w14:solidFill>
              <w14:schemeClr w14:val="tx1"/>
            </w14:solidFill>
          </w14:textFill>
        </w:rPr>
        <w:t>，钢材的冲击吸收功</w:t>
      </w:r>
      <w:r>
        <w:rPr>
          <w:color w:val="000000" w:themeColor="text1"/>
          <w:szCs w:val="21"/>
          <w14:textFill>
            <w14:solidFill>
              <w14:schemeClr w14:val="tx1"/>
            </w14:solidFill>
          </w14:textFill>
        </w:rPr>
        <w:t>(</w:t>
      </w:r>
      <w:r>
        <w:rPr>
          <w:rFonts w:hint="eastAsia"/>
          <w:color w:val="000000" w:themeColor="text1"/>
          <w:szCs w:val="21"/>
          <w14:textFill>
            <w14:solidFill>
              <w14:schemeClr w14:val="tx1"/>
            </w14:solidFill>
          </w14:textFill>
        </w:rPr>
        <w:t>纵向</w:t>
      </w:r>
      <w:r>
        <w:rPr>
          <w:color w:val="000000" w:themeColor="text1"/>
          <w:szCs w:val="21"/>
          <w14:textFill>
            <w14:solidFill>
              <w14:schemeClr w14:val="tx1"/>
            </w14:solidFill>
          </w14:textFill>
        </w:rPr>
        <w:t>)</w:t>
      </w:r>
      <w:r>
        <w:rPr>
          <w:rFonts w:hint="eastAsia"/>
          <w:color w:val="000000" w:themeColor="text1"/>
          <w:szCs w:val="21"/>
          <w14:textFill>
            <w14:solidFill>
              <w14:schemeClr w14:val="tx1"/>
            </w14:solidFill>
          </w14:textFill>
        </w:rPr>
        <w:t>不小于</w:t>
      </w:r>
      <w:r>
        <w:rPr>
          <w:color w:val="000000" w:themeColor="text1"/>
          <w:szCs w:val="21"/>
          <w14:textFill>
            <w14:solidFill>
              <w14:schemeClr w14:val="tx1"/>
            </w14:solidFill>
          </w14:textFill>
        </w:rPr>
        <w:t>27J</w:t>
      </w:r>
      <w:r>
        <w:rPr>
          <w:rFonts w:hint="eastAsia"/>
          <w:color w:val="000000" w:themeColor="text1"/>
          <w:szCs w:val="21"/>
          <w14:textFill>
            <w14:solidFill>
              <w14:schemeClr w14:val="tx1"/>
            </w14:solidFill>
          </w14:textFill>
        </w:rPr>
        <w:t>，应有足够的机械强度和刚度，在起吊、运输和安装时不会产生变形，满足</w:t>
      </w:r>
      <w:r>
        <w:rPr>
          <w:color w:val="000000" w:themeColor="text1"/>
          <w:szCs w:val="21"/>
          <w14:textFill>
            <w14:solidFill>
              <w14:schemeClr w14:val="tx1"/>
            </w14:solidFill>
          </w14:textFill>
        </w:rPr>
        <w:t>GB17467</w:t>
      </w:r>
      <w:r>
        <w:rPr>
          <w:rFonts w:hint="eastAsia"/>
          <w:color w:val="000000" w:themeColor="text1"/>
          <w:szCs w:val="21"/>
          <w14:textFill>
            <w14:solidFill>
              <w14:schemeClr w14:val="tx1"/>
            </w14:solidFill>
          </w14:textFill>
        </w:rPr>
        <w:t>《高低压预装式变电站》防冲击试验要求，并耐受以下的负荷和撞击：</w:t>
      </w:r>
    </w:p>
    <w:p>
      <w:pPr>
        <w:tabs>
          <w:tab w:val="left" w:pos="1267"/>
        </w:tabs>
        <w:spacing w:line="360" w:lineRule="auto"/>
        <w:ind w:firstLine="420" w:firstLineChars="200"/>
        <w:rPr>
          <w:color w:val="000000" w:themeColor="text1"/>
          <w14:textFill>
            <w14:solidFill>
              <w14:schemeClr w14:val="tx1"/>
            </w14:solidFill>
          </w14:textFill>
        </w:rPr>
      </w:pPr>
      <w:r>
        <w:rPr>
          <w:color w:val="000000" w:themeColor="text1"/>
          <w14:textFill>
            <w14:solidFill>
              <w14:schemeClr w14:val="tx1"/>
            </w14:solidFill>
          </w14:textFill>
        </w:rPr>
        <w:t>a)</w:t>
      </w:r>
      <w:r>
        <w:rPr>
          <w:rFonts w:hint="eastAsia"/>
          <w:color w:val="000000" w:themeColor="text1"/>
          <w14:textFill>
            <w14:solidFill>
              <w14:schemeClr w14:val="tx1"/>
            </w14:solidFill>
          </w14:textFill>
        </w:rPr>
        <w:t>顶部负荷：最小值为</w:t>
      </w:r>
      <w:r>
        <w:rPr>
          <w:color w:val="000000" w:themeColor="text1"/>
          <w14:textFill>
            <w14:solidFill>
              <w14:schemeClr w14:val="tx1"/>
            </w14:solidFill>
          </w14:textFill>
        </w:rPr>
        <w:t>3500N/</w:t>
      </w:r>
      <w:r>
        <w:rPr>
          <w:rFonts w:hint="eastAsia"/>
          <w:color w:val="000000" w:themeColor="text1"/>
          <w14:textFill>
            <w14:solidFill>
              <w14:schemeClr w14:val="tx1"/>
            </w14:solidFill>
          </w14:textFill>
        </w:rPr>
        <w:t>㎡，顶部需安装单晶硅双面双玻光伏组件，最终负荷以设备厂家实际需求为准。</w:t>
      </w:r>
    </w:p>
    <w:p>
      <w:pPr>
        <w:tabs>
          <w:tab w:val="left" w:pos="1267"/>
        </w:tabs>
        <w:spacing w:line="360" w:lineRule="auto"/>
        <w:ind w:firstLine="420" w:firstLineChars="200"/>
        <w:rPr>
          <w:color w:val="000000" w:themeColor="text1"/>
          <w14:textFill>
            <w14:solidFill>
              <w14:schemeClr w14:val="tx1"/>
            </w14:solidFill>
          </w14:textFill>
        </w:rPr>
      </w:pPr>
      <w:r>
        <w:rPr>
          <w:color w:val="000000" w:themeColor="text1"/>
          <w14:textFill>
            <w14:solidFill>
              <w14:schemeClr w14:val="tx1"/>
            </w14:solidFill>
          </w14:textFill>
        </w:rPr>
        <w:t>b)</w:t>
      </w:r>
      <w:r>
        <w:rPr>
          <w:rFonts w:hint="eastAsia"/>
          <w:color w:val="000000" w:themeColor="text1"/>
          <w14:textFill>
            <w14:solidFill>
              <w14:schemeClr w14:val="tx1"/>
            </w14:solidFill>
          </w14:textFill>
        </w:rPr>
        <w:t>在面板、门和通风口上的外部机械撞击：外部机械撞击的撞击能量为</w:t>
      </w:r>
      <w:r>
        <w:rPr>
          <w:color w:val="000000" w:themeColor="text1"/>
          <w14:textFill>
            <w14:solidFill>
              <w14:schemeClr w14:val="tx1"/>
            </w14:solidFill>
          </w14:textFill>
        </w:rPr>
        <w:t>20J</w:t>
      </w:r>
      <w:r>
        <w:rPr>
          <w:rFonts w:hint="eastAsia"/>
          <w:color w:val="000000" w:themeColor="text1"/>
          <w14:textFill>
            <w14:solidFill>
              <w14:schemeClr w14:val="tx1"/>
            </w14:solidFill>
          </w14:textFill>
        </w:rPr>
        <w:t>，对应的防护等级为</w:t>
      </w:r>
      <w:r>
        <w:rPr>
          <w:color w:val="000000" w:themeColor="text1"/>
          <w14:textFill>
            <w14:solidFill>
              <w14:schemeClr w14:val="tx1"/>
            </w14:solidFill>
          </w14:textFill>
        </w:rPr>
        <w:t>GB/T20138</w:t>
      </w:r>
      <w:r>
        <w:rPr>
          <w:rFonts w:hint="eastAsia"/>
          <w:color w:val="000000" w:themeColor="text1"/>
          <w14:textFill>
            <w14:solidFill>
              <w14:schemeClr w14:val="tx1"/>
            </w14:solidFill>
          </w14:textFill>
        </w:rPr>
        <w:t>的</w:t>
      </w:r>
      <w:r>
        <w:rPr>
          <w:color w:val="000000" w:themeColor="text1"/>
          <w14:textFill>
            <w14:solidFill>
              <w14:schemeClr w14:val="tx1"/>
            </w14:solidFill>
          </w14:textFill>
        </w:rPr>
        <w:t>IK10</w:t>
      </w:r>
      <w:r>
        <w:rPr>
          <w:rFonts w:hint="eastAsia"/>
          <w:color w:val="000000" w:themeColor="text1"/>
          <w14:textFill>
            <w14:solidFill>
              <w14:schemeClr w14:val="tx1"/>
            </w14:solidFill>
          </w14:textFill>
        </w:rPr>
        <w:t>。</w:t>
      </w:r>
    </w:p>
    <w:p>
      <w:pPr>
        <w:tabs>
          <w:tab w:val="left" w:pos="1267"/>
        </w:tabs>
        <w:spacing w:line="360" w:lineRule="auto"/>
        <w:ind w:firstLine="420" w:firstLineChars="200"/>
        <w:rPr>
          <w:color w:val="000000" w:themeColor="text1"/>
          <w:szCs w:val="21"/>
          <w14:textFill>
            <w14:solidFill>
              <w14:schemeClr w14:val="tx1"/>
            </w14:solidFill>
          </w14:textFill>
        </w:rPr>
      </w:pPr>
      <w:r>
        <w:rPr>
          <w:rFonts w:hint="eastAsia"/>
          <w:color w:val="000000" w:themeColor="text1"/>
          <w:szCs w:val="21"/>
          <w14:textFill>
            <w14:solidFill>
              <w14:schemeClr w14:val="tx1"/>
            </w14:solidFill>
          </w14:textFill>
        </w:rPr>
        <w:t>（</w:t>
      </w:r>
      <w:r>
        <w:rPr>
          <w:color w:val="000000" w:themeColor="text1"/>
          <w:szCs w:val="21"/>
          <w14:textFill>
            <w14:solidFill>
              <w14:schemeClr w14:val="tx1"/>
            </w14:solidFill>
          </w14:textFill>
        </w:rPr>
        <w:t>3</w:t>
      </w:r>
      <w:r>
        <w:rPr>
          <w:rFonts w:hint="eastAsia"/>
          <w:color w:val="000000" w:themeColor="text1"/>
          <w:szCs w:val="21"/>
          <w14:textFill>
            <w14:solidFill>
              <w14:schemeClr w14:val="tx1"/>
            </w14:solidFill>
          </w14:textFill>
        </w:rPr>
        <w:t>）一层及二层底座与骨架主体结构为焊接一体式，不允许采用拼接形式。底座由型</w:t>
      </w:r>
    </w:p>
    <w:p>
      <w:pPr>
        <w:tabs>
          <w:tab w:val="left" w:pos="1267"/>
        </w:tabs>
        <w:spacing w:line="360" w:lineRule="auto"/>
        <w:rPr>
          <w:color w:val="000000" w:themeColor="text1"/>
          <w:szCs w:val="21"/>
          <w14:textFill>
            <w14:solidFill>
              <w14:schemeClr w14:val="tx1"/>
            </w14:solidFill>
          </w14:textFill>
        </w:rPr>
      </w:pPr>
      <w:r>
        <w:rPr>
          <w:rFonts w:hint="eastAsia"/>
          <w:color w:val="000000" w:themeColor="text1"/>
          <w:szCs w:val="21"/>
          <w14:textFill>
            <w14:solidFill>
              <w14:schemeClr w14:val="tx1"/>
            </w14:solidFill>
          </w14:textFill>
        </w:rPr>
        <w:t>钢焊接而成，骨架主体结构采用型钢或薄壁冷弯型钢焊接式结构，钢板厚度不得小于</w:t>
      </w:r>
      <w:r>
        <w:rPr>
          <w:color w:val="000000" w:themeColor="text1"/>
          <w:szCs w:val="21"/>
          <w14:textFill>
            <w14:solidFill>
              <w14:schemeClr w14:val="tx1"/>
            </w14:solidFill>
          </w14:textFill>
        </w:rPr>
        <w:t>2mm;</w:t>
      </w:r>
      <w:r>
        <w:rPr>
          <w:rFonts w:hint="eastAsia"/>
          <w:color w:val="000000" w:themeColor="text1"/>
          <w:szCs w:val="21"/>
          <w14:textFill>
            <w14:solidFill>
              <w14:schemeClr w14:val="tx1"/>
            </w14:solidFill>
          </w14:textFill>
        </w:rPr>
        <w:t>底座需要满足设备荷载、开孔、穿线、穿管、安装及使用需求。</w:t>
      </w:r>
    </w:p>
    <w:p>
      <w:pPr>
        <w:tabs>
          <w:tab w:val="left" w:pos="1267"/>
        </w:tabs>
        <w:spacing w:line="360" w:lineRule="auto"/>
        <w:ind w:firstLine="420" w:firstLineChars="200"/>
        <w:jc w:val="center"/>
        <w:rPr>
          <w:color w:val="000000" w:themeColor="text1"/>
          <w14:textFill>
            <w14:solidFill>
              <w14:schemeClr w14:val="tx1"/>
            </w14:solidFill>
          </w14:textFill>
        </w:rPr>
      </w:pPr>
      <w:r>
        <w:drawing>
          <wp:inline distT="0" distB="0" distL="0" distR="0">
            <wp:extent cx="4344670" cy="3031490"/>
            <wp:effectExtent l="0" t="0" r="0" b="0"/>
            <wp:docPr id="11" name="图片 11" descr="C:\Users\g8144.GEDI\AppData\Local\Temp\企业微信截图_1740638998864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图片 11" descr="C:\Users\g8144.GEDI\AppData\Local\Temp\企业微信截图_17406389988643.png"/>
                    <pic:cNvPicPr>
                      <a:picLocks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a:xfrm>
                      <a:off x="0" y="0"/>
                      <a:ext cx="4351807" cy="3036188"/>
                    </a:xfrm>
                    <a:prstGeom prst="rect">
                      <a:avLst/>
                    </a:prstGeom>
                    <a:noFill/>
                    <a:ln>
                      <a:noFill/>
                    </a:ln>
                  </pic:spPr>
                </pic:pic>
              </a:graphicData>
            </a:graphic>
          </wp:inline>
        </w:drawing>
      </w:r>
    </w:p>
    <w:p>
      <w:pPr>
        <w:pStyle w:val="77"/>
        <w:rPr>
          <w:rFonts w:ascii="宋体" w:hAnsi="宋体" w:cs="宋体"/>
          <w:kern w:val="0"/>
        </w:rPr>
      </w:pPr>
    </w:p>
    <w:p>
      <w:pPr>
        <w:tabs>
          <w:tab w:val="left" w:pos="1267"/>
        </w:tabs>
        <w:spacing w:line="360" w:lineRule="auto"/>
        <w:ind w:firstLine="420" w:firstLineChars="200"/>
        <w:jc w:val="center"/>
        <w:rPr>
          <w:color w:val="000000" w:themeColor="text1"/>
          <w14:textFill>
            <w14:solidFill>
              <w14:schemeClr w14:val="tx1"/>
            </w14:solidFill>
          </w14:textFill>
        </w:rPr>
      </w:pPr>
      <w:r>
        <w:drawing>
          <wp:inline distT="0" distB="0" distL="0" distR="0">
            <wp:extent cx="4498340" cy="3131185"/>
            <wp:effectExtent l="0" t="0" r="0" b="0"/>
            <wp:docPr id="12" name="图片 12" descr="C:\Users\g8144.GEDI\AppData\Local\Temp\企业微信截图_1740639111821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图片 12" descr="C:\Users\g8144.GEDI\AppData\Local\Temp\企业微信截图_17406391118212.png"/>
                    <pic:cNvPicPr>
                      <a:picLocks noChangeAspect="1" noChangeArrowheads="1"/>
                    </pic:cNvPicPr>
                  </pic:nvPicPr>
                  <pic:blipFill>
                    <a:blip r:embed="rId27">
                      <a:extLst>
                        <a:ext uri="{28A0092B-C50C-407E-A947-70E740481C1C}">
                          <a14:useLocalDpi xmlns:a14="http://schemas.microsoft.com/office/drawing/2010/main" val="0"/>
                        </a:ext>
                      </a:extLst>
                    </a:blip>
                    <a:srcRect/>
                    <a:stretch>
                      <a:fillRect/>
                    </a:stretch>
                  </pic:blipFill>
                  <pic:spPr>
                    <a:xfrm>
                      <a:off x="0" y="0"/>
                      <a:ext cx="4508490" cy="3138266"/>
                    </a:xfrm>
                    <a:prstGeom prst="rect">
                      <a:avLst/>
                    </a:prstGeom>
                    <a:noFill/>
                    <a:ln>
                      <a:noFill/>
                    </a:ln>
                  </pic:spPr>
                </pic:pic>
              </a:graphicData>
            </a:graphic>
          </wp:inline>
        </w:drawing>
      </w:r>
    </w:p>
    <w:p>
      <w:pPr>
        <w:tabs>
          <w:tab w:val="left" w:pos="1267"/>
        </w:tabs>
        <w:spacing w:line="360" w:lineRule="auto"/>
        <w:ind w:firstLine="420" w:firstLineChars="200"/>
        <w:rPr>
          <w:color w:val="000000" w:themeColor="text1"/>
          <w14:textFill>
            <w14:solidFill>
              <w14:schemeClr w14:val="tx1"/>
            </w14:solidFill>
          </w14:textFill>
        </w:rPr>
      </w:pPr>
      <w:r>
        <w:rPr>
          <w:color w:val="000000" w:themeColor="text1"/>
          <w14:textFill>
            <w14:solidFill>
              <w14:schemeClr w14:val="tx1"/>
            </w14:solidFill>
          </w14:textFill>
        </w:rPr>
        <w:drawing>
          <wp:inline distT="0" distB="0" distL="0" distR="0">
            <wp:extent cx="4893310" cy="3244850"/>
            <wp:effectExtent l="0" t="0" r="2540" b="0"/>
            <wp:docPr id="14" name="图片 14" descr="D:\g8144\WeChat Files\wxid_2pl5epn2eted22\FileStorage\Temp\1740639179369.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图片 14" descr="D:\g8144\WeChat Files\wxid_2pl5epn2eted22\FileStorage\Temp\1740639179369.png"/>
                    <pic:cNvPicPr>
                      <a:picLocks noChangeAspect="1" noChangeArrowheads="1"/>
                    </pic:cNvPicPr>
                  </pic:nvPicPr>
                  <pic:blipFill>
                    <a:blip r:embed="rId28">
                      <a:extLst>
                        <a:ext uri="{28A0092B-C50C-407E-A947-70E740481C1C}">
                          <a14:useLocalDpi xmlns:a14="http://schemas.microsoft.com/office/drawing/2010/main" val="0"/>
                        </a:ext>
                      </a:extLst>
                    </a:blip>
                    <a:srcRect/>
                    <a:stretch>
                      <a:fillRect/>
                    </a:stretch>
                  </pic:blipFill>
                  <pic:spPr>
                    <a:xfrm>
                      <a:off x="0" y="0"/>
                      <a:ext cx="4897792" cy="3247917"/>
                    </a:xfrm>
                    <a:prstGeom prst="rect">
                      <a:avLst/>
                    </a:prstGeom>
                    <a:noFill/>
                    <a:ln>
                      <a:noFill/>
                    </a:ln>
                  </pic:spPr>
                </pic:pic>
              </a:graphicData>
            </a:graphic>
          </wp:inline>
        </w:drawing>
      </w:r>
    </w:p>
    <w:p>
      <w:pPr>
        <w:pStyle w:val="201"/>
        <w:adjustRightInd w:val="0"/>
        <w:snapToGrid w:val="0"/>
        <w:spacing w:line="360" w:lineRule="auto"/>
        <w:jc w:val="left"/>
        <w:rPr>
          <w:rFonts w:ascii="Times New Roman" w:hAnsi="Times New Roman" w:eastAsia="宋体"/>
          <w:color w:val="000000" w:themeColor="text1"/>
          <w:sz w:val="21"/>
          <w:szCs w:val="21"/>
          <w:highlight w:val="none"/>
          <w14:textFill>
            <w14:solidFill>
              <w14:schemeClr w14:val="tx1"/>
            </w14:solidFill>
          </w14:textFill>
        </w:rPr>
      </w:pPr>
      <w:r>
        <w:rPr>
          <w:rFonts w:hint="eastAsia" w:ascii="Times New Roman" w:hAnsi="Times New Roman" w:eastAsia="宋体"/>
          <w:color w:val="000000" w:themeColor="text1"/>
          <w:sz w:val="21"/>
          <w:szCs w:val="21"/>
          <w14:textFill>
            <w14:solidFill>
              <w14:schemeClr w14:val="tx1"/>
            </w14:solidFill>
          </w14:textFill>
        </w:rPr>
        <w:t>图</w:t>
      </w:r>
      <w:r>
        <w:rPr>
          <w:rFonts w:ascii="Times New Roman" w:hAnsi="Times New Roman" w:eastAsia="宋体"/>
          <w:color w:val="000000" w:themeColor="text1"/>
          <w:sz w:val="21"/>
          <w:szCs w:val="21"/>
          <w14:textFill>
            <w14:solidFill>
              <w14:schemeClr w14:val="tx1"/>
            </w14:solidFill>
          </w14:textFill>
        </w:rPr>
        <w:t xml:space="preserve">2.4-1 </w:t>
      </w:r>
      <w:r>
        <w:rPr>
          <w:rFonts w:hint="eastAsia" w:ascii="Times New Roman" w:hAnsi="Times New Roman" w:eastAsia="宋体"/>
          <w:color w:val="000000" w:themeColor="text1"/>
          <w:sz w:val="21"/>
          <w:szCs w:val="21"/>
          <w14:textFill>
            <w14:solidFill>
              <w14:schemeClr w14:val="tx1"/>
            </w14:solidFill>
          </w14:textFill>
        </w:rPr>
        <w:t>展厅舱示意图（双层结构，首层净高不小于</w:t>
      </w:r>
      <w:r>
        <w:rPr>
          <w:rFonts w:ascii="Times New Roman" w:hAnsi="Times New Roman" w:eastAsia="宋体"/>
          <w:color w:val="000000" w:themeColor="text1"/>
          <w:sz w:val="21"/>
          <w:szCs w:val="21"/>
          <w14:textFill>
            <w14:solidFill>
              <w14:schemeClr w14:val="tx1"/>
            </w14:solidFill>
          </w14:textFill>
        </w:rPr>
        <w:t>3500</w:t>
      </w:r>
      <w:r>
        <w:rPr>
          <w:rFonts w:hint="eastAsia" w:ascii="Times New Roman" w:hAnsi="Times New Roman" w:eastAsia="宋体"/>
          <w:color w:val="000000" w:themeColor="text1"/>
          <w:sz w:val="21"/>
          <w:szCs w:val="21"/>
          <w14:textFill>
            <w14:solidFill>
              <w14:schemeClr w14:val="tx1"/>
            </w14:solidFill>
          </w14:textFill>
        </w:rPr>
        <w:t>，二层净高不小于</w:t>
      </w:r>
      <w:r>
        <w:rPr>
          <w:rFonts w:ascii="Times New Roman" w:hAnsi="Times New Roman" w:eastAsia="宋体"/>
          <w:color w:val="000000" w:themeColor="text1"/>
          <w:sz w:val="21"/>
          <w:szCs w:val="21"/>
          <w14:textFill>
            <w14:solidFill>
              <w14:schemeClr w14:val="tx1"/>
            </w14:solidFill>
          </w14:textFill>
        </w:rPr>
        <w:t>3500-4200</w:t>
      </w:r>
      <w:r>
        <w:rPr>
          <w:rFonts w:hint="eastAsia" w:ascii="Times New Roman" w:hAnsi="Times New Roman" w:eastAsia="宋体"/>
          <w:color w:val="000000" w:themeColor="text1"/>
          <w:sz w:val="21"/>
          <w:szCs w:val="21"/>
          <w:highlight w:val="none"/>
          <w14:textFill>
            <w14:solidFill>
              <w14:schemeClr w14:val="tx1"/>
            </w14:solidFill>
          </w14:textFill>
        </w:rPr>
        <w:t>）</w:t>
      </w:r>
    </w:p>
    <w:p>
      <w:pPr>
        <w:tabs>
          <w:tab w:val="left" w:pos="1267"/>
        </w:tabs>
        <w:spacing w:line="360" w:lineRule="auto"/>
        <w:ind w:firstLine="420" w:firstLineChars="200"/>
        <w:rPr>
          <w:rFonts w:hint="default" w:eastAsia="宋体"/>
          <w:color w:val="000000" w:themeColor="text1"/>
          <w:highlight w:val="none"/>
          <w:lang w:val="en-US" w:eastAsia="zh-CN"/>
          <w14:textFill>
            <w14:solidFill>
              <w14:schemeClr w14:val="tx1"/>
            </w14:solidFill>
          </w14:textFill>
        </w:rPr>
      </w:pPr>
      <w:r>
        <w:rPr>
          <w:color w:val="000000" w:themeColor="text1"/>
          <w:highlight w:val="none"/>
          <w14:textFill>
            <w14:solidFill>
              <w14:schemeClr w14:val="tx1"/>
            </w14:solidFill>
          </w14:textFill>
        </w:rPr>
        <w:t>（4）舱体外墙体外彩钢板厚度不小于</w:t>
      </w:r>
      <w:r>
        <w:rPr>
          <w:rFonts w:hint="eastAsia"/>
          <w:color w:val="000000" w:themeColor="text1"/>
          <w:highlight w:val="none"/>
          <w14:textFill>
            <w14:solidFill>
              <w14:schemeClr w14:val="tx1"/>
            </w14:solidFill>
          </w14:textFill>
        </w:rPr>
        <w:t>0</w:t>
      </w:r>
      <w:r>
        <w:rPr>
          <w:color w:val="000000" w:themeColor="text1"/>
          <w:highlight w:val="none"/>
          <w14:textFill>
            <w14:solidFill>
              <w14:schemeClr w14:val="tx1"/>
            </w14:solidFill>
          </w14:textFill>
        </w:rPr>
        <w:t>.80mm，横向宽度不</w:t>
      </w:r>
      <w:r>
        <w:rPr>
          <w:rFonts w:hint="eastAsia"/>
          <w:color w:val="000000" w:themeColor="text1"/>
          <w:highlight w:val="none"/>
          <w14:textFill>
            <w14:solidFill>
              <w14:schemeClr w14:val="tx1"/>
            </w14:solidFill>
          </w14:textFill>
        </w:rPr>
        <w:t>小</w:t>
      </w:r>
      <w:r>
        <w:rPr>
          <w:color w:val="000000" w:themeColor="text1"/>
          <w:highlight w:val="none"/>
          <w14:textFill>
            <w14:solidFill>
              <w14:schemeClr w14:val="tx1"/>
            </w14:solidFill>
          </w14:textFill>
        </w:rPr>
        <w:t>于</w:t>
      </w:r>
      <w:r>
        <w:rPr>
          <w:rFonts w:hint="eastAsia"/>
          <w:color w:val="000000" w:themeColor="text1"/>
          <w:highlight w:val="none"/>
          <w14:textFill>
            <w14:solidFill>
              <w14:schemeClr w14:val="tx1"/>
            </w14:solidFill>
          </w14:textFill>
        </w:rPr>
        <w:t>1</w:t>
      </w:r>
      <w:r>
        <w:rPr>
          <w:color w:val="000000" w:themeColor="text1"/>
          <w:highlight w:val="none"/>
          <w14:textFill>
            <w14:solidFill>
              <w14:schemeClr w14:val="tx1"/>
            </w14:solidFill>
          </w14:textFill>
        </w:rPr>
        <w:t>250mm，纵向要求通长</w:t>
      </w:r>
      <w:r>
        <w:rPr>
          <w:rFonts w:hint="eastAsia"/>
          <w:color w:val="000000" w:themeColor="text1"/>
          <w:highlight w:val="none"/>
          <w14:textFill>
            <w14:solidFill>
              <w14:schemeClr w14:val="tx1"/>
            </w14:solidFill>
          </w14:textFill>
        </w:rPr>
        <w:t>；</w:t>
      </w:r>
      <w:r>
        <w:rPr>
          <w:color w:val="000000" w:themeColor="text1"/>
          <w:highlight w:val="none"/>
          <w14:textFill>
            <w14:solidFill>
              <w14:schemeClr w14:val="tx1"/>
            </w14:solidFill>
          </w14:textFill>
        </w:rPr>
        <w:t>外墙体</w:t>
      </w:r>
      <w:r>
        <w:rPr>
          <w:rFonts w:hint="eastAsia"/>
          <w:color w:val="000000" w:themeColor="text1"/>
          <w:highlight w:val="none"/>
          <w14:textFill>
            <w14:solidFill>
              <w14:schemeClr w14:val="tx1"/>
            </w14:solidFill>
          </w14:textFill>
        </w:rPr>
        <w:t>内</w:t>
      </w:r>
      <w:r>
        <w:rPr>
          <w:color w:val="000000" w:themeColor="text1"/>
          <w:highlight w:val="none"/>
          <w14:textFill>
            <w14:solidFill>
              <w14:schemeClr w14:val="tx1"/>
            </w14:solidFill>
          </w14:textFill>
        </w:rPr>
        <w:t>彩钢板厚度不小于</w:t>
      </w:r>
      <w:r>
        <w:rPr>
          <w:rFonts w:hint="eastAsia"/>
          <w:color w:val="000000" w:themeColor="text1"/>
          <w:highlight w:val="none"/>
          <w14:textFill>
            <w14:solidFill>
              <w14:schemeClr w14:val="tx1"/>
            </w14:solidFill>
          </w14:textFill>
        </w:rPr>
        <w:t>0</w:t>
      </w:r>
      <w:r>
        <w:rPr>
          <w:color w:val="000000" w:themeColor="text1"/>
          <w:highlight w:val="none"/>
          <w14:textFill>
            <w14:solidFill>
              <w14:schemeClr w14:val="tx1"/>
            </w14:solidFill>
          </w14:textFill>
        </w:rPr>
        <w:t>.60mm。舱体屋面外彩钢板厚度不小于</w:t>
      </w:r>
      <w:r>
        <w:rPr>
          <w:rFonts w:hint="eastAsia"/>
          <w:color w:val="000000" w:themeColor="text1"/>
          <w:highlight w:val="none"/>
          <w14:textFill>
            <w14:solidFill>
              <w14:schemeClr w14:val="tx1"/>
            </w14:solidFill>
          </w14:textFill>
        </w:rPr>
        <w:t>0</w:t>
      </w:r>
      <w:r>
        <w:rPr>
          <w:color w:val="000000" w:themeColor="text1"/>
          <w:highlight w:val="none"/>
          <w14:textFill>
            <w14:solidFill>
              <w14:schemeClr w14:val="tx1"/>
            </w14:solidFill>
          </w14:textFill>
        </w:rPr>
        <w:t>.65mm，要求单坡为整板</w:t>
      </w:r>
      <w:r>
        <w:rPr>
          <w:rFonts w:hint="eastAsia"/>
          <w:color w:val="000000" w:themeColor="text1"/>
          <w:highlight w:val="none"/>
          <w14:textFill>
            <w14:solidFill>
              <w14:schemeClr w14:val="tx1"/>
            </w14:solidFill>
          </w14:textFill>
        </w:rPr>
        <w:t>；</w:t>
      </w:r>
      <w:r>
        <w:rPr>
          <w:color w:val="000000" w:themeColor="text1"/>
          <w:highlight w:val="none"/>
          <w14:textFill>
            <w14:solidFill>
              <w14:schemeClr w14:val="tx1"/>
            </w14:solidFill>
          </w14:textFill>
        </w:rPr>
        <w:t>屋面内彩钢板厚度不小于</w:t>
      </w:r>
      <w:r>
        <w:rPr>
          <w:rFonts w:hint="eastAsia"/>
          <w:color w:val="000000" w:themeColor="text1"/>
          <w:highlight w:val="none"/>
          <w14:textFill>
            <w14:solidFill>
              <w14:schemeClr w14:val="tx1"/>
            </w14:solidFill>
          </w14:textFill>
        </w:rPr>
        <w:t>0</w:t>
      </w:r>
      <w:r>
        <w:rPr>
          <w:color w:val="000000" w:themeColor="text1"/>
          <w:highlight w:val="none"/>
          <w14:textFill>
            <w14:solidFill>
              <w14:schemeClr w14:val="tx1"/>
            </w14:solidFill>
          </w14:textFill>
        </w:rPr>
        <w:t>.60mm，要求单坡为整板。</w:t>
      </w:r>
      <w:r>
        <w:rPr>
          <w:rFonts w:hint="eastAsia"/>
          <w:color w:val="000000" w:themeColor="text1"/>
          <w:highlight w:val="none"/>
          <w:lang w:val="en-US" w:eastAsia="zh-CN"/>
          <w14:textFill>
            <w14:solidFill>
              <w14:schemeClr w14:val="tx1"/>
            </w14:solidFill>
          </w14:textFill>
        </w:rPr>
        <w:t>外墙体宜具有自清洗功能。</w:t>
      </w:r>
    </w:p>
    <w:p>
      <w:pPr>
        <w:tabs>
          <w:tab w:val="left" w:pos="1267"/>
        </w:tabs>
        <w:spacing w:line="360" w:lineRule="auto"/>
        <w:ind w:firstLine="420" w:firstLineChars="200"/>
        <w:rPr>
          <w:color w:val="000000" w:themeColor="text1"/>
          <w:szCs w:val="21"/>
          <w14:textFill>
            <w14:solidFill>
              <w14:schemeClr w14:val="tx1"/>
            </w14:solidFill>
          </w14:textFill>
        </w:rPr>
      </w:pPr>
      <w:r>
        <w:rPr>
          <w:rFonts w:hint="eastAsia"/>
          <w:color w:val="000000" w:themeColor="text1"/>
          <w14:textFill>
            <w14:solidFill>
              <w14:schemeClr w14:val="tx1"/>
            </w14:solidFill>
          </w14:textFill>
        </w:rPr>
        <w:t>（</w:t>
      </w:r>
      <w:r>
        <w:rPr>
          <w:color w:val="000000" w:themeColor="text1"/>
          <w14:textFill>
            <w14:solidFill>
              <w14:schemeClr w14:val="tx1"/>
            </w14:solidFill>
          </w14:textFill>
        </w:rPr>
        <w:t>5</w:t>
      </w:r>
      <w:r>
        <w:rPr>
          <w:rFonts w:hint="eastAsia"/>
          <w:color w:val="000000" w:themeColor="text1"/>
          <w14:textFill>
            <w14:solidFill>
              <w14:schemeClr w14:val="tx1"/>
            </w14:solidFill>
          </w14:textFill>
        </w:rPr>
        <w:t>）</w:t>
      </w:r>
      <w:r>
        <w:rPr>
          <w:rFonts w:hint="eastAsia"/>
          <w:color w:val="000000" w:themeColor="text1"/>
          <w:szCs w:val="21"/>
          <w14:textFill>
            <w14:solidFill>
              <w14:schemeClr w14:val="tx1"/>
            </w14:solidFill>
          </w14:textFill>
        </w:rPr>
        <w:t>舱壁需安装光伏玻璃，光伏玻璃由第三方提供，投标方需设计、提供光伏玻璃安装支架</w:t>
      </w:r>
      <w:r>
        <w:rPr>
          <w:rFonts w:hint="eastAsia"/>
          <w:color w:val="000000" w:themeColor="text1"/>
          <w14:textFill>
            <w14:solidFill>
              <w14:schemeClr w14:val="tx1"/>
            </w14:solidFill>
          </w14:textFill>
        </w:rPr>
        <w:t>及线缆槽盒等</w:t>
      </w:r>
      <w:r>
        <w:rPr>
          <w:rFonts w:hint="eastAsia"/>
          <w:color w:val="000000" w:themeColor="text1"/>
          <w:szCs w:val="21"/>
          <w14:textFill>
            <w14:solidFill>
              <w14:schemeClr w14:val="tx1"/>
            </w14:solidFill>
          </w14:textFill>
        </w:rPr>
        <w:t>；舱顶需安装单晶硅双面双玻光伏组件，单晶硅双面双玻光伏组件由第三方提供，投标方需设计、提供单晶硅双面双玻光伏组件安装支架</w:t>
      </w:r>
      <w:r>
        <w:rPr>
          <w:rFonts w:hint="eastAsia"/>
          <w:color w:val="000000" w:themeColor="text1"/>
          <w14:textFill>
            <w14:solidFill>
              <w14:schemeClr w14:val="tx1"/>
            </w14:solidFill>
          </w14:textFill>
        </w:rPr>
        <w:t>及线缆槽盒等</w:t>
      </w:r>
      <w:r>
        <w:rPr>
          <w:rFonts w:hint="eastAsia"/>
          <w:color w:val="000000" w:themeColor="text1"/>
          <w:szCs w:val="21"/>
          <w14:textFill>
            <w14:solidFill>
              <w14:schemeClr w14:val="tx1"/>
            </w14:solidFill>
          </w14:textFill>
        </w:rPr>
        <w:t>。</w:t>
      </w:r>
    </w:p>
    <w:p>
      <w:pPr>
        <w:pStyle w:val="201"/>
        <w:adjustRightInd w:val="0"/>
        <w:snapToGrid w:val="0"/>
        <w:spacing w:line="360" w:lineRule="auto"/>
        <w:rPr>
          <w:rFonts w:ascii="Times New Roman" w:hAnsi="Times New Roman" w:eastAsia="宋体"/>
          <w:color w:val="000000" w:themeColor="text1"/>
          <w:kern w:val="2"/>
          <w:sz w:val="21"/>
          <w:szCs w:val="24"/>
          <w14:textFill>
            <w14:solidFill>
              <w14:schemeClr w14:val="tx1"/>
            </w14:solidFill>
          </w14:textFill>
        </w:rPr>
      </w:pPr>
      <w:r>
        <w:rPr>
          <w:rFonts w:hint="eastAsia" w:ascii="Times New Roman" w:hAnsi="Times New Roman" w:eastAsia="宋体"/>
          <w:color w:val="000000" w:themeColor="text1"/>
          <w:kern w:val="2"/>
          <w:sz w:val="21"/>
          <w:szCs w:val="24"/>
          <w14:textFill>
            <w14:solidFill>
              <w14:schemeClr w14:val="tx1"/>
            </w14:solidFill>
          </w14:textFill>
        </w:rPr>
        <w:t>（</w:t>
      </w:r>
      <w:r>
        <w:rPr>
          <w:rFonts w:ascii="Times New Roman" w:hAnsi="Times New Roman" w:eastAsia="宋体"/>
          <w:color w:val="000000" w:themeColor="text1"/>
          <w:kern w:val="2"/>
          <w:sz w:val="21"/>
          <w:szCs w:val="24"/>
          <w14:textFill>
            <w14:solidFill>
              <w14:schemeClr w14:val="tx1"/>
            </w14:solidFill>
          </w14:textFill>
        </w:rPr>
        <w:t>6</w:t>
      </w:r>
      <w:r>
        <w:rPr>
          <w:rFonts w:hint="eastAsia" w:ascii="Times New Roman" w:hAnsi="Times New Roman" w:eastAsia="宋体"/>
          <w:color w:val="000000" w:themeColor="text1"/>
          <w:kern w:val="2"/>
          <w:sz w:val="21"/>
          <w:szCs w:val="24"/>
          <w14:textFill>
            <w14:solidFill>
              <w14:schemeClr w14:val="tx1"/>
            </w14:solidFill>
          </w14:textFill>
        </w:rPr>
        <w:t>）舱体底部需有保温隔气层，确保室外水气不进入舱体内，导致舱内设备产生凝露。</w:t>
      </w:r>
    </w:p>
    <w:p>
      <w:pPr>
        <w:pStyle w:val="201"/>
        <w:adjustRightInd w:val="0"/>
        <w:snapToGrid w:val="0"/>
        <w:spacing w:line="360" w:lineRule="auto"/>
        <w:rPr>
          <w:rFonts w:ascii="Times New Roman" w:hAnsi="Times New Roman" w:eastAsia="宋体"/>
          <w:color w:val="000000" w:themeColor="text1"/>
          <w:sz w:val="21"/>
          <w:szCs w:val="21"/>
          <w14:textFill>
            <w14:solidFill>
              <w14:schemeClr w14:val="tx1"/>
            </w14:solidFill>
          </w14:textFill>
        </w:rPr>
      </w:pPr>
      <w:r>
        <w:rPr>
          <w:rFonts w:ascii="Times New Roman" w:hAnsi="Times New Roman" w:eastAsia="宋体"/>
          <w:color w:val="000000" w:themeColor="text1"/>
          <w:sz w:val="21"/>
          <w:szCs w:val="21"/>
          <w14:textFill>
            <w14:solidFill>
              <w14:schemeClr w14:val="tx1"/>
            </w14:solidFill>
          </w14:textFill>
        </w:rPr>
        <w:t>3</w:t>
      </w:r>
      <w:r>
        <w:rPr>
          <w:rFonts w:hint="eastAsia" w:ascii="Times New Roman" w:hAnsi="Times New Roman" w:eastAsia="宋体"/>
          <w:color w:val="000000" w:themeColor="text1"/>
          <w:sz w:val="21"/>
          <w:szCs w:val="21"/>
          <w14:textFill>
            <w14:solidFill>
              <w14:schemeClr w14:val="tx1"/>
            </w14:solidFill>
          </w14:textFill>
        </w:rPr>
        <w:t>、舱体护栏与检修爬梯</w:t>
      </w:r>
    </w:p>
    <w:p>
      <w:pPr>
        <w:pStyle w:val="201"/>
        <w:adjustRightInd w:val="0"/>
        <w:snapToGrid w:val="0"/>
        <w:spacing w:line="360" w:lineRule="auto"/>
        <w:rPr>
          <w:rFonts w:ascii="Times New Roman" w:hAnsi="Times New Roman" w:eastAsia="宋体"/>
          <w:color w:val="000000" w:themeColor="text1"/>
          <w:sz w:val="21"/>
          <w:szCs w:val="21"/>
          <w14:textFill>
            <w14:solidFill>
              <w14:schemeClr w14:val="tx1"/>
            </w14:solidFill>
          </w14:textFill>
        </w:rPr>
      </w:pPr>
      <w:r>
        <w:rPr>
          <w:rFonts w:hint="eastAsia" w:ascii="Times New Roman" w:hAnsi="Times New Roman" w:eastAsia="宋体"/>
          <w:color w:val="000000" w:themeColor="text1"/>
          <w:sz w:val="21"/>
          <w:szCs w:val="21"/>
          <w14:textFill>
            <w14:solidFill>
              <w14:schemeClr w14:val="tx1"/>
            </w14:solidFill>
          </w14:textFill>
        </w:rPr>
        <w:t>围栏、爬梯等的设计和生产制作应遵循相关设计规范和标准。</w:t>
      </w:r>
    </w:p>
    <w:p>
      <w:pPr>
        <w:pStyle w:val="201"/>
        <w:adjustRightInd w:val="0"/>
        <w:snapToGrid w:val="0"/>
        <w:spacing w:line="360" w:lineRule="auto"/>
        <w:rPr>
          <w:rFonts w:ascii="Times New Roman" w:hAnsi="Times New Roman" w:eastAsia="宋体"/>
          <w:color w:val="000000" w:themeColor="text1"/>
          <w:sz w:val="21"/>
          <w:szCs w:val="21"/>
          <w14:textFill>
            <w14:solidFill>
              <w14:schemeClr w14:val="tx1"/>
            </w14:solidFill>
          </w14:textFill>
        </w:rPr>
      </w:pPr>
      <w:r>
        <w:rPr>
          <w:rFonts w:hint="eastAsia" w:ascii="Times New Roman" w:hAnsi="Times New Roman" w:eastAsia="宋体"/>
          <w:color w:val="000000" w:themeColor="text1"/>
          <w:sz w:val="21"/>
          <w:szCs w:val="21"/>
          <w14:textFill>
            <w14:solidFill>
              <w14:schemeClr w14:val="tx1"/>
            </w14:solidFill>
          </w14:textFill>
        </w:rPr>
        <w:t>在舱顶附近舱壁处需设置检修爬梯及护笼，方便运维检修及保证安全。</w:t>
      </w:r>
    </w:p>
    <w:p>
      <w:pPr>
        <w:pStyle w:val="201"/>
        <w:adjustRightInd w:val="0"/>
        <w:snapToGrid w:val="0"/>
        <w:spacing w:line="360" w:lineRule="auto"/>
        <w:rPr>
          <w:rFonts w:ascii="Times New Roman" w:hAnsi="Times New Roman" w:eastAsia="宋体"/>
          <w:color w:val="000000" w:themeColor="text1"/>
          <w:sz w:val="21"/>
          <w:szCs w:val="21"/>
          <w14:textFill>
            <w14:solidFill>
              <w14:schemeClr w14:val="tx1"/>
            </w14:solidFill>
          </w14:textFill>
        </w:rPr>
      </w:pPr>
      <w:r>
        <w:rPr>
          <w:rFonts w:hint="eastAsia" w:ascii="Times New Roman" w:hAnsi="Times New Roman" w:eastAsia="宋体"/>
          <w:color w:val="000000" w:themeColor="text1"/>
          <w:sz w:val="21"/>
          <w:szCs w:val="21"/>
          <w14:textFill>
            <w14:solidFill>
              <w14:schemeClr w14:val="tx1"/>
            </w14:solidFill>
          </w14:textFill>
        </w:rPr>
        <w:t>检修爬梯、围栏、扶手等必须采用不锈钢材质以保证防腐效果。</w:t>
      </w:r>
    </w:p>
    <w:p>
      <w:pPr>
        <w:pStyle w:val="201"/>
        <w:adjustRightInd w:val="0"/>
        <w:snapToGrid w:val="0"/>
        <w:spacing w:line="360" w:lineRule="auto"/>
        <w:rPr>
          <w:rFonts w:ascii="Times New Roman" w:hAnsi="Times New Roman" w:eastAsia="宋体"/>
          <w:color w:val="000000" w:themeColor="text1"/>
          <w:sz w:val="21"/>
          <w:szCs w:val="21"/>
          <w:highlight w:val="none"/>
          <w14:textFill>
            <w14:solidFill>
              <w14:schemeClr w14:val="tx1"/>
            </w14:solidFill>
          </w14:textFill>
        </w:rPr>
      </w:pPr>
      <w:r>
        <w:rPr>
          <w:rFonts w:ascii="Times New Roman" w:hAnsi="Times New Roman" w:eastAsia="宋体"/>
          <w:color w:val="000000" w:themeColor="text1"/>
          <w:sz w:val="21"/>
          <w:szCs w:val="21"/>
          <w:highlight w:val="none"/>
          <w14:textFill>
            <w14:solidFill>
              <w14:schemeClr w14:val="tx1"/>
            </w14:solidFill>
          </w14:textFill>
        </w:rPr>
        <w:t>4</w:t>
      </w:r>
      <w:r>
        <w:rPr>
          <w:rFonts w:hint="eastAsia" w:ascii="Times New Roman" w:hAnsi="Times New Roman" w:eastAsia="宋体"/>
          <w:color w:val="000000" w:themeColor="text1"/>
          <w:sz w:val="21"/>
          <w:szCs w:val="21"/>
          <w:highlight w:val="none"/>
          <w14:textFill>
            <w14:solidFill>
              <w14:schemeClr w14:val="tx1"/>
            </w14:solidFill>
          </w14:textFill>
        </w:rPr>
        <w:t>、工作界面划分</w:t>
      </w:r>
    </w:p>
    <w:p>
      <w:pPr>
        <w:pStyle w:val="201"/>
        <w:adjustRightInd w:val="0"/>
        <w:snapToGrid w:val="0"/>
        <w:spacing w:line="360" w:lineRule="auto"/>
        <w:rPr>
          <w:rFonts w:ascii="Times New Roman" w:hAnsi="Times New Roman" w:eastAsia="宋体"/>
          <w:color w:val="000000" w:themeColor="text1"/>
          <w:sz w:val="21"/>
          <w:szCs w:val="21"/>
          <w:highlight w:val="none"/>
          <w14:textFill>
            <w14:solidFill>
              <w14:schemeClr w14:val="tx1"/>
            </w14:solidFill>
          </w14:textFill>
        </w:rPr>
      </w:pPr>
      <w:r>
        <w:rPr>
          <w:rFonts w:hint="eastAsia" w:ascii="Times New Roman" w:hAnsi="Times New Roman" w:eastAsia="宋体"/>
          <w:color w:val="000000" w:themeColor="text1"/>
          <w:sz w:val="21"/>
          <w:szCs w:val="21"/>
          <w:highlight w:val="none"/>
          <w14:textFill>
            <w14:solidFill>
              <w14:schemeClr w14:val="tx1"/>
            </w14:solidFill>
          </w14:textFill>
        </w:rPr>
        <w:t>（</w:t>
      </w:r>
      <w:r>
        <w:rPr>
          <w:rFonts w:ascii="Times New Roman" w:hAnsi="Times New Roman" w:eastAsia="宋体"/>
          <w:color w:val="000000" w:themeColor="text1"/>
          <w:sz w:val="21"/>
          <w:szCs w:val="21"/>
          <w:highlight w:val="none"/>
          <w14:textFill>
            <w14:solidFill>
              <w14:schemeClr w14:val="tx1"/>
            </w14:solidFill>
          </w14:textFill>
        </w:rPr>
        <w:t>1</w:t>
      </w:r>
      <w:r>
        <w:rPr>
          <w:rFonts w:hint="eastAsia" w:ascii="Times New Roman" w:hAnsi="Times New Roman" w:eastAsia="宋体"/>
          <w:color w:val="000000" w:themeColor="text1"/>
          <w:sz w:val="21"/>
          <w:szCs w:val="21"/>
          <w:highlight w:val="none"/>
          <w14:textFill>
            <w14:solidFill>
              <w14:schemeClr w14:val="tx1"/>
            </w14:solidFill>
          </w14:textFill>
        </w:rPr>
        <w:t>）舱体内展示内容的布置和安装等由展厅设计单位负责，预制舱厂商及其他厂商配合；照明、动力、消防、通风、空调、检修、接地、检修爬梯及附属围栏、扶手、防小动物措施等辅助设施由投标方提供，由投标方在工厂内安装及并调试交付。上述内容展厅设计单位有特殊要求的，应以书面形式提出，并由投标方响应。</w:t>
      </w:r>
    </w:p>
    <w:p>
      <w:pPr>
        <w:pStyle w:val="201"/>
        <w:adjustRightInd w:val="0"/>
        <w:snapToGrid w:val="0"/>
        <w:spacing w:line="360" w:lineRule="auto"/>
        <w:rPr>
          <w:rFonts w:ascii="Times New Roman" w:hAnsi="Times New Roman" w:eastAsia="宋体"/>
          <w:color w:val="000000" w:themeColor="text1"/>
          <w:sz w:val="21"/>
          <w:szCs w:val="21"/>
          <w:highlight w:val="none"/>
          <w14:textFill>
            <w14:solidFill>
              <w14:schemeClr w14:val="tx1"/>
            </w14:solidFill>
          </w14:textFill>
        </w:rPr>
      </w:pPr>
      <w:r>
        <w:rPr>
          <w:rFonts w:hint="eastAsia" w:ascii="Times New Roman" w:hAnsi="Times New Roman" w:eastAsia="宋体"/>
          <w:color w:val="000000" w:themeColor="text1"/>
          <w:sz w:val="21"/>
          <w:szCs w:val="21"/>
          <w:highlight w:val="none"/>
          <w14:textFill>
            <w14:solidFill>
              <w14:schemeClr w14:val="tx1"/>
            </w14:solidFill>
          </w14:textFill>
        </w:rPr>
        <w:t>（2）舱体内主设备所需连接电缆、线缆由招标方提供，设备线缆、电缆接线由投标方及本项目设计单位共同确认敷设方式，投标方完成舱体内部的线缆敷设及设备接线；出舱线缆由施工方敷设；照明、动力、消防、通风、空调、检修等辅助设施所用电缆，由投标方提供并完成敷设；</w:t>
      </w:r>
    </w:p>
    <w:p>
      <w:pPr>
        <w:pStyle w:val="201"/>
        <w:adjustRightInd w:val="0"/>
        <w:snapToGrid w:val="0"/>
        <w:spacing w:line="360" w:lineRule="auto"/>
        <w:rPr>
          <w:rFonts w:ascii="Times New Roman" w:hAnsi="Times New Roman" w:eastAsia="宋体"/>
          <w:color w:val="000000" w:themeColor="text1"/>
          <w:sz w:val="21"/>
          <w:szCs w:val="21"/>
          <w:highlight w:val="none"/>
          <w14:textFill>
            <w14:solidFill>
              <w14:schemeClr w14:val="tx1"/>
            </w14:solidFill>
          </w14:textFill>
        </w:rPr>
      </w:pPr>
      <w:r>
        <w:rPr>
          <w:rFonts w:hint="eastAsia" w:ascii="Times New Roman" w:hAnsi="Times New Roman" w:eastAsia="宋体"/>
          <w:color w:val="000000" w:themeColor="text1"/>
          <w:sz w:val="21"/>
          <w:szCs w:val="21"/>
          <w:highlight w:val="none"/>
          <w14:textFill>
            <w14:solidFill>
              <w14:schemeClr w14:val="tx1"/>
            </w14:solidFill>
          </w14:textFill>
        </w:rPr>
        <w:t>（</w:t>
      </w:r>
      <w:r>
        <w:rPr>
          <w:rFonts w:ascii="Times New Roman" w:hAnsi="Times New Roman" w:eastAsia="宋体"/>
          <w:color w:val="000000" w:themeColor="text1"/>
          <w:sz w:val="21"/>
          <w:szCs w:val="21"/>
          <w:highlight w:val="none"/>
          <w14:textFill>
            <w14:solidFill>
              <w14:schemeClr w14:val="tx1"/>
            </w14:solidFill>
          </w14:textFill>
        </w:rPr>
        <w:t>3</w:t>
      </w:r>
      <w:r>
        <w:rPr>
          <w:rFonts w:hint="eastAsia" w:ascii="Times New Roman" w:hAnsi="Times New Roman" w:eastAsia="宋体"/>
          <w:color w:val="000000" w:themeColor="text1"/>
          <w:sz w:val="21"/>
          <w:szCs w:val="21"/>
          <w:highlight w:val="none"/>
          <w14:textFill>
            <w14:solidFill>
              <w14:schemeClr w14:val="tx1"/>
            </w14:solidFill>
          </w14:textFill>
        </w:rPr>
        <w:t>）招标方所提供设备的安装方式及检修需求由本项目设计单位及招标方共同与展厅设计单位确认，舱内展示设施安装由展厅设计单位完成。</w:t>
      </w:r>
    </w:p>
    <w:p>
      <w:pPr>
        <w:pStyle w:val="201"/>
        <w:adjustRightInd w:val="0"/>
        <w:snapToGrid w:val="0"/>
        <w:spacing w:line="360" w:lineRule="auto"/>
        <w:rPr>
          <w:rFonts w:ascii="Times New Roman" w:hAnsi="Times New Roman" w:eastAsia="宋体"/>
          <w:color w:val="000000" w:themeColor="text1"/>
          <w:sz w:val="21"/>
          <w:szCs w:val="21"/>
          <w:highlight w:val="none"/>
          <w14:textFill>
            <w14:solidFill>
              <w14:schemeClr w14:val="tx1"/>
            </w14:solidFill>
          </w14:textFill>
        </w:rPr>
      </w:pPr>
      <w:r>
        <w:rPr>
          <w:rFonts w:hint="eastAsia" w:ascii="Times New Roman" w:hAnsi="Times New Roman" w:eastAsia="宋体"/>
          <w:color w:val="000000" w:themeColor="text1"/>
          <w:sz w:val="21"/>
          <w:szCs w:val="21"/>
          <w:highlight w:val="none"/>
          <w14:textFill>
            <w14:solidFill>
              <w14:schemeClr w14:val="tx1"/>
            </w14:solidFill>
          </w14:textFill>
        </w:rPr>
        <w:t>（</w:t>
      </w:r>
      <w:r>
        <w:rPr>
          <w:rFonts w:ascii="Times New Roman" w:hAnsi="Times New Roman" w:eastAsia="宋体"/>
          <w:color w:val="000000" w:themeColor="text1"/>
          <w:sz w:val="21"/>
          <w:szCs w:val="21"/>
          <w:highlight w:val="none"/>
          <w14:textFill>
            <w14:solidFill>
              <w14:schemeClr w14:val="tx1"/>
            </w14:solidFill>
          </w14:textFill>
        </w:rPr>
        <w:t>4</w:t>
      </w:r>
      <w:r>
        <w:rPr>
          <w:rFonts w:hint="eastAsia" w:ascii="Times New Roman" w:hAnsi="Times New Roman" w:eastAsia="宋体"/>
          <w:color w:val="000000" w:themeColor="text1"/>
          <w:sz w:val="21"/>
          <w:szCs w:val="21"/>
          <w:highlight w:val="none"/>
          <w14:textFill>
            <w14:solidFill>
              <w14:schemeClr w14:val="tx1"/>
            </w14:solidFill>
          </w14:textFill>
        </w:rPr>
        <w:t>）舱体外部采用的光伏发电玻璃产品参数及接入方案经业主与本项目设计单位确定后，由投标方预留接口。</w:t>
      </w:r>
    </w:p>
    <w:p>
      <w:pPr>
        <w:pStyle w:val="201"/>
        <w:adjustRightInd w:val="0"/>
        <w:snapToGrid w:val="0"/>
        <w:spacing w:line="360" w:lineRule="auto"/>
        <w:rPr>
          <w:rFonts w:ascii="Times New Roman" w:hAnsi="Times New Roman" w:eastAsia="宋体"/>
          <w:color w:val="000000" w:themeColor="text1"/>
          <w:sz w:val="21"/>
          <w:szCs w:val="21"/>
          <w:highlight w:val="none"/>
          <w14:textFill>
            <w14:solidFill>
              <w14:schemeClr w14:val="tx1"/>
            </w14:solidFill>
          </w14:textFill>
        </w:rPr>
      </w:pPr>
      <w:r>
        <w:rPr>
          <w:rFonts w:hint="eastAsia" w:ascii="Times New Roman" w:hAnsi="Times New Roman" w:eastAsia="宋体"/>
          <w:color w:val="000000"/>
          <w:kern w:val="2"/>
          <w:sz w:val="21"/>
          <w:szCs w:val="24"/>
          <w:highlight w:val="none"/>
        </w:rPr>
        <w:t>（</w:t>
      </w:r>
      <w:r>
        <w:rPr>
          <w:rFonts w:ascii="Times New Roman" w:hAnsi="Times New Roman" w:eastAsia="宋体"/>
          <w:color w:val="000000"/>
          <w:kern w:val="2"/>
          <w:sz w:val="21"/>
          <w:szCs w:val="24"/>
          <w:highlight w:val="none"/>
        </w:rPr>
        <w:t>5</w:t>
      </w:r>
      <w:r>
        <w:rPr>
          <w:rFonts w:hint="eastAsia" w:ascii="Times New Roman" w:hAnsi="Times New Roman" w:eastAsia="宋体"/>
          <w:color w:val="000000"/>
          <w:kern w:val="2"/>
          <w:sz w:val="21"/>
          <w:szCs w:val="24"/>
          <w:highlight w:val="none"/>
        </w:rPr>
        <w:t>）</w:t>
      </w:r>
      <w:r>
        <w:rPr>
          <w:rFonts w:hint="eastAsia" w:ascii="Times New Roman" w:hAnsi="Times New Roman" w:eastAsia="宋体"/>
          <w:color w:val="000000" w:themeColor="text1"/>
          <w:sz w:val="21"/>
          <w:szCs w:val="21"/>
          <w:highlight w:val="none"/>
          <w14:textFill>
            <w14:solidFill>
              <w14:schemeClr w14:val="tx1"/>
            </w14:solidFill>
          </w14:textFill>
        </w:rPr>
        <w:t>舱壁需安装光伏玻璃，光伏玻璃由第三方提供，投标方需设计、提供光伏玻璃安装支架及线缆槽盒等，支架及线槽由投标方在工厂内预装完成；舱顶需安装单晶硅双面双玻光伏组件，单晶硅双面双玻光伏组件由第三方提供，投标方需设计、提供单晶硅双面双玻光伏组件安装支架及线缆槽盒等，支架及线槽由投标方在工厂内预装完成。</w:t>
      </w:r>
    </w:p>
    <w:p>
      <w:pPr>
        <w:pStyle w:val="201"/>
        <w:adjustRightInd w:val="0"/>
        <w:snapToGrid w:val="0"/>
        <w:spacing w:line="360" w:lineRule="auto"/>
        <w:rPr>
          <w:rFonts w:ascii="Times New Roman" w:hAnsi="Times New Roman" w:eastAsia="宋体"/>
          <w:color w:val="000000" w:themeColor="text1"/>
          <w:sz w:val="21"/>
          <w:szCs w:val="21"/>
          <w:highlight w:val="none"/>
          <w14:textFill>
            <w14:solidFill>
              <w14:schemeClr w14:val="tx1"/>
            </w14:solidFill>
          </w14:textFill>
        </w:rPr>
      </w:pPr>
      <w:r>
        <w:rPr>
          <w:rFonts w:hint="eastAsia" w:ascii="Times New Roman" w:hAnsi="Times New Roman" w:eastAsia="宋体"/>
          <w:color w:val="000000" w:themeColor="text1"/>
          <w:sz w:val="21"/>
          <w:szCs w:val="21"/>
          <w:highlight w:val="none"/>
          <w14:textFill>
            <w14:solidFill>
              <w14:schemeClr w14:val="tx1"/>
            </w14:solidFill>
          </w14:textFill>
        </w:rPr>
        <w:t>（6）预制舱吊装及安装由投标方完成，招标方现场配合指导安装。招标方在设计舱体时，应考虑设置高空作业安装措施。</w:t>
      </w:r>
    </w:p>
    <w:p>
      <w:pPr>
        <w:pStyle w:val="201"/>
        <w:adjustRightInd w:val="0"/>
        <w:snapToGrid w:val="0"/>
        <w:spacing w:line="360" w:lineRule="auto"/>
        <w:rPr>
          <w:rFonts w:ascii="Times New Roman" w:hAnsi="Times New Roman" w:eastAsia="宋体"/>
          <w:color w:val="000000" w:themeColor="text1"/>
          <w:sz w:val="21"/>
          <w:szCs w:val="21"/>
          <w:highlight w:val="none"/>
          <w14:textFill>
            <w14:solidFill>
              <w14:schemeClr w14:val="tx1"/>
            </w14:solidFill>
          </w14:textFill>
        </w:rPr>
      </w:pPr>
      <w:r>
        <w:rPr>
          <w:rFonts w:hint="eastAsia" w:ascii="Times New Roman" w:hAnsi="Times New Roman" w:eastAsia="宋体"/>
          <w:color w:val="000000" w:themeColor="text1"/>
          <w:sz w:val="21"/>
          <w:szCs w:val="21"/>
          <w:highlight w:val="none"/>
          <w14:textFill>
            <w14:solidFill>
              <w14:schemeClr w14:val="tx1"/>
            </w14:solidFill>
          </w14:textFill>
        </w:rPr>
        <w:t>除以上工作量外，投标方负责预制舱舱体维护工作。舱体外部喷漆前供货方需制作外观效果图方案供招标方选择。</w:t>
      </w:r>
    </w:p>
    <w:p>
      <w:pPr>
        <w:pStyle w:val="3"/>
        <w:numPr>
          <w:ilvl w:val="1"/>
          <w:numId w:val="0"/>
        </w:numPr>
        <w:rPr>
          <w:rFonts w:ascii="黑体" w:hAnsi="黑体" w:eastAsia="黑体"/>
          <w:color w:val="000000" w:themeColor="text1"/>
          <w14:textFill>
            <w14:solidFill>
              <w14:schemeClr w14:val="tx1"/>
            </w14:solidFill>
          </w14:textFill>
        </w:rPr>
      </w:pPr>
      <w:bookmarkStart w:id="114" w:name="_Toc177995339"/>
      <w:r>
        <w:rPr>
          <w:rFonts w:ascii="黑体" w:hAnsi="黑体" w:eastAsia="黑体"/>
          <w:color w:val="000000" w:themeColor="text1"/>
          <w14:textFill>
            <w14:solidFill>
              <w14:schemeClr w14:val="tx1"/>
            </w14:solidFill>
          </w14:textFill>
        </w:rPr>
        <w:t>6.5</w:t>
      </w:r>
      <w:r>
        <w:rPr>
          <w:rFonts w:hint="eastAsia" w:ascii="黑体" w:hAnsi="黑体" w:eastAsia="黑体"/>
          <w:color w:val="000000" w:themeColor="text1"/>
          <w14:textFill>
            <w14:solidFill>
              <w14:schemeClr w14:val="tx1"/>
            </w14:solidFill>
          </w14:textFill>
        </w:rPr>
        <w:t>工作界面划分</w:t>
      </w:r>
      <w:bookmarkEnd w:id="112"/>
      <w:bookmarkEnd w:id="113"/>
      <w:bookmarkEnd w:id="114"/>
    </w:p>
    <w:p>
      <w:pPr>
        <w:pStyle w:val="201"/>
        <w:adjustRightInd w:val="0"/>
        <w:snapToGrid w:val="0"/>
        <w:spacing w:line="360" w:lineRule="auto"/>
        <w:rPr>
          <w:rFonts w:ascii="Times New Roman" w:hAnsi="Times New Roman" w:eastAsia="宋体"/>
          <w:color w:val="000000" w:themeColor="text1"/>
          <w:sz w:val="21"/>
          <w:szCs w:val="21"/>
          <w14:textFill>
            <w14:solidFill>
              <w14:schemeClr w14:val="tx1"/>
            </w14:solidFill>
          </w14:textFill>
        </w:rPr>
      </w:pPr>
      <w:r>
        <w:rPr>
          <w:rFonts w:hint="eastAsia" w:ascii="Times New Roman" w:hAnsi="Times New Roman" w:eastAsia="宋体"/>
          <w:color w:val="000000" w:themeColor="text1"/>
          <w:sz w:val="21"/>
          <w:szCs w:val="21"/>
          <w14:textFill>
            <w14:solidFill>
              <w14:schemeClr w14:val="tx1"/>
            </w14:solidFill>
          </w14:textFill>
        </w:rPr>
        <w:t>除前文提及投标方负责的工作量之外，其余变电站土建部分、电缆敷设及连接、设备联调和交接试验等均由施工安装方负责，供货方协助，现场主要工作量如下：</w:t>
      </w:r>
    </w:p>
    <w:p>
      <w:pPr>
        <w:pStyle w:val="201"/>
        <w:adjustRightInd w:val="0"/>
        <w:snapToGrid w:val="0"/>
        <w:spacing w:line="360" w:lineRule="auto"/>
        <w:rPr>
          <w:rFonts w:ascii="Times New Roman" w:hAnsi="Times New Roman" w:eastAsia="宋体"/>
          <w:color w:val="000000" w:themeColor="text1"/>
          <w:sz w:val="21"/>
          <w:szCs w:val="21"/>
          <w14:textFill>
            <w14:solidFill>
              <w14:schemeClr w14:val="tx1"/>
            </w14:solidFill>
          </w14:textFill>
        </w:rPr>
      </w:pPr>
      <w:r>
        <w:rPr>
          <w:rFonts w:hint="eastAsia" w:ascii="Times New Roman" w:hAnsi="Times New Roman" w:eastAsia="宋体"/>
          <w:color w:val="000000" w:themeColor="text1"/>
          <w:sz w:val="21"/>
          <w:szCs w:val="21"/>
          <w14:textFill>
            <w14:solidFill>
              <w14:schemeClr w14:val="tx1"/>
            </w14:solidFill>
          </w14:textFill>
        </w:rPr>
        <w:t>（</w:t>
      </w:r>
      <w:r>
        <w:rPr>
          <w:rFonts w:ascii="Times New Roman" w:hAnsi="Times New Roman" w:eastAsia="宋体"/>
          <w:color w:val="000000" w:themeColor="text1"/>
          <w:sz w:val="21"/>
          <w:szCs w:val="21"/>
          <w14:textFill>
            <w14:solidFill>
              <w14:schemeClr w14:val="tx1"/>
            </w14:solidFill>
          </w14:textFill>
        </w:rPr>
        <w:t>1</w:t>
      </w:r>
      <w:r>
        <w:rPr>
          <w:rFonts w:hint="eastAsia" w:ascii="Times New Roman" w:hAnsi="Times New Roman" w:eastAsia="宋体"/>
          <w:color w:val="000000" w:themeColor="text1"/>
          <w:sz w:val="21"/>
          <w:szCs w:val="21"/>
          <w14:textFill>
            <w14:solidFill>
              <w14:schemeClr w14:val="tx1"/>
            </w14:solidFill>
          </w14:textFill>
        </w:rPr>
        <w:t>）围墙、道路、预制舱基础等土建工程；</w:t>
      </w:r>
    </w:p>
    <w:p>
      <w:pPr>
        <w:pStyle w:val="201"/>
        <w:adjustRightInd w:val="0"/>
        <w:snapToGrid w:val="0"/>
        <w:spacing w:line="360" w:lineRule="auto"/>
        <w:ind w:firstLine="400"/>
        <w:rPr>
          <w:rFonts w:ascii="Times New Roman" w:hAnsi="Times New Roman" w:eastAsia="宋体"/>
          <w:color w:val="000000" w:themeColor="text1"/>
          <w:sz w:val="21"/>
          <w:szCs w:val="21"/>
          <w14:textFill>
            <w14:solidFill>
              <w14:schemeClr w14:val="tx1"/>
            </w14:solidFill>
          </w14:textFill>
        </w:rPr>
      </w:pPr>
      <w:r>
        <w:rPr>
          <w:rFonts w:hint="eastAsia"/>
          <w:color w:val="000000" w:themeColor="text1"/>
          <w:szCs w:val="21"/>
          <w14:textFill>
            <w14:solidFill>
              <w14:schemeClr w14:val="tx1"/>
            </w14:solidFill>
          </w14:textFill>
        </w:rPr>
        <w:t>（</w:t>
      </w:r>
      <w:r>
        <w:rPr>
          <w:color w:val="000000" w:themeColor="text1"/>
          <w:szCs w:val="21"/>
          <w14:textFill>
            <w14:solidFill>
              <w14:schemeClr w14:val="tx1"/>
            </w14:solidFill>
          </w14:textFill>
        </w:rPr>
        <w:t>2</w:t>
      </w:r>
      <w:r>
        <w:rPr>
          <w:rFonts w:hint="eastAsia"/>
          <w:color w:val="000000" w:themeColor="text1"/>
          <w:szCs w:val="21"/>
          <w14:textFill>
            <w14:solidFill>
              <w14:schemeClr w14:val="tx1"/>
            </w14:solidFill>
          </w14:textFill>
        </w:rPr>
        <w:t>）</w:t>
      </w:r>
      <w:r>
        <w:rPr>
          <w:rFonts w:hint="eastAsia" w:ascii="Times New Roman" w:hAnsi="Times New Roman" w:eastAsia="宋体"/>
          <w:color w:val="000000" w:themeColor="text1"/>
          <w:sz w:val="21"/>
          <w:szCs w:val="21"/>
          <w14:textFill>
            <w14:solidFill>
              <w14:schemeClr w14:val="tx1"/>
            </w14:solidFill>
          </w14:textFill>
        </w:rPr>
        <w:t>地网（含接地体引线）施工；</w:t>
      </w:r>
    </w:p>
    <w:p>
      <w:pPr>
        <w:pStyle w:val="201"/>
        <w:adjustRightInd w:val="0"/>
        <w:snapToGrid w:val="0"/>
        <w:spacing w:line="360" w:lineRule="auto"/>
        <w:rPr>
          <w:rFonts w:ascii="Times New Roman" w:hAnsi="Times New Roman" w:eastAsia="宋体"/>
          <w:color w:val="000000" w:themeColor="text1"/>
          <w:sz w:val="21"/>
          <w:szCs w:val="21"/>
          <w14:textFill>
            <w14:solidFill>
              <w14:schemeClr w14:val="tx1"/>
            </w14:solidFill>
          </w14:textFill>
        </w:rPr>
      </w:pPr>
      <w:r>
        <w:rPr>
          <w:rFonts w:hint="eastAsia" w:ascii="Times New Roman" w:hAnsi="Times New Roman" w:eastAsia="宋体"/>
          <w:color w:val="000000" w:themeColor="text1"/>
          <w:sz w:val="21"/>
          <w:szCs w:val="21"/>
          <w14:textFill>
            <w14:solidFill>
              <w14:schemeClr w14:val="tx1"/>
            </w14:solidFill>
          </w14:textFill>
        </w:rPr>
        <w:t>（</w:t>
      </w:r>
      <w:r>
        <w:rPr>
          <w:rFonts w:ascii="Times New Roman" w:hAnsi="Times New Roman" w:eastAsia="宋体"/>
          <w:color w:val="000000" w:themeColor="text1"/>
          <w:sz w:val="21"/>
          <w:szCs w:val="21"/>
          <w14:textFill>
            <w14:solidFill>
              <w14:schemeClr w14:val="tx1"/>
            </w14:solidFill>
          </w14:textFill>
        </w:rPr>
        <w:t>3</w:t>
      </w:r>
      <w:r>
        <w:rPr>
          <w:rFonts w:hint="eastAsia" w:ascii="Times New Roman" w:hAnsi="Times New Roman" w:eastAsia="宋体"/>
          <w:color w:val="000000" w:themeColor="text1"/>
          <w:sz w:val="21"/>
          <w:szCs w:val="21"/>
          <w14:textFill>
            <w14:solidFill>
              <w14:schemeClr w14:val="tx1"/>
            </w14:solidFill>
          </w14:textFill>
        </w:rPr>
        <w:t>）接地网施工及独立避雷针安装；</w:t>
      </w:r>
    </w:p>
    <w:p>
      <w:pPr>
        <w:pStyle w:val="201"/>
        <w:adjustRightInd w:val="0"/>
        <w:snapToGrid w:val="0"/>
        <w:spacing w:line="360" w:lineRule="auto"/>
        <w:rPr>
          <w:rFonts w:ascii="Times New Roman" w:hAnsi="Times New Roman" w:eastAsia="宋体"/>
          <w:color w:val="000000" w:themeColor="text1"/>
          <w:sz w:val="21"/>
          <w:szCs w:val="21"/>
          <w14:textFill>
            <w14:solidFill>
              <w14:schemeClr w14:val="tx1"/>
            </w14:solidFill>
          </w14:textFill>
        </w:rPr>
      </w:pPr>
      <w:r>
        <w:rPr>
          <w:rFonts w:hint="eastAsia" w:ascii="Times New Roman" w:hAnsi="Times New Roman" w:eastAsia="宋体"/>
          <w:color w:val="000000" w:themeColor="text1"/>
          <w:sz w:val="21"/>
          <w:szCs w:val="21"/>
          <w14:textFill>
            <w14:solidFill>
              <w14:schemeClr w14:val="tx1"/>
            </w14:solidFill>
          </w14:textFill>
        </w:rPr>
        <w:t>（</w:t>
      </w:r>
      <w:r>
        <w:rPr>
          <w:rFonts w:ascii="Times New Roman" w:hAnsi="Times New Roman" w:eastAsia="宋体"/>
          <w:color w:val="000000" w:themeColor="text1"/>
          <w:sz w:val="21"/>
          <w:szCs w:val="21"/>
          <w14:textFill>
            <w14:solidFill>
              <w14:schemeClr w14:val="tx1"/>
            </w14:solidFill>
          </w14:textFill>
        </w:rPr>
        <w:t>4</w:t>
      </w:r>
      <w:r>
        <w:rPr>
          <w:rFonts w:hint="eastAsia" w:ascii="Times New Roman" w:hAnsi="Times New Roman" w:eastAsia="宋体"/>
          <w:color w:val="000000" w:themeColor="text1"/>
          <w:sz w:val="21"/>
          <w:szCs w:val="21"/>
          <w14:textFill>
            <w14:solidFill>
              <w14:schemeClr w14:val="tx1"/>
            </w14:solidFill>
          </w14:textFill>
        </w:rPr>
        <w:t>）系统联调、电气交接试验。</w:t>
      </w:r>
    </w:p>
    <w:bookmarkEnd w:id="42"/>
    <w:bookmarkEnd w:id="43"/>
    <w:bookmarkEnd w:id="44"/>
    <w:p>
      <w:pPr>
        <w:pStyle w:val="2"/>
        <w:numPr>
          <w:ilvl w:val="0"/>
          <w:numId w:val="0"/>
        </w:numPr>
        <w:snapToGrid/>
        <w:spacing w:before="0" w:beforeLines="0" w:line="480" w:lineRule="auto"/>
        <w:rPr>
          <w:rFonts w:ascii="黑体" w:eastAsia="黑体"/>
          <w:color w:val="000000" w:themeColor="text1"/>
          <w14:textFill>
            <w14:solidFill>
              <w14:schemeClr w14:val="tx1"/>
            </w14:solidFill>
          </w14:textFill>
        </w:rPr>
      </w:pPr>
      <w:bookmarkStart w:id="115" w:name="_Toc177995340"/>
      <w:bookmarkStart w:id="116" w:name="_Toc293332474"/>
      <w:bookmarkStart w:id="117" w:name="_Toc279695721"/>
      <w:bookmarkStart w:id="118" w:name="_Toc511891195"/>
      <w:bookmarkStart w:id="119" w:name="_Toc282993301"/>
      <w:r>
        <w:rPr>
          <w:rFonts w:ascii="黑体" w:eastAsia="黑体"/>
          <w:color w:val="000000" w:themeColor="text1"/>
          <w14:textFill>
            <w14:solidFill>
              <w14:schemeClr w14:val="tx1"/>
            </w14:solidFill>
          </w14:textFill>
        </w:rPr>
        <w:t xml:space="preserve">7 </w:t>
      </w:r>
      <w:r>
        <w:rPr>
          <w:rFonts w:hint="eastAsia" w:ascii="黑体" w:eastAsia="黑体"/>
          <w:color w:val="000000" w:themeColor="text1"/>
          <w14:textFill>
            <w14:solidFill>
              <w14:schemeClr w14:val="tx1"/>
            </w14:solidFill>
          </w14:textFill>
        </w:rPr>
        <w:t>试验</w:t>
      </w:r>
      <w:bookmarkEnd w:id="115"/>
      <w:bookmarkEnd w:id="116"/>
      <w:bookmarkEnd w:id="117"/>
      <w:bookmarkEnd w:id="118"/>
      <w:bookmarkEnd w:id="119"/>
    </w:p>
    <w:p>
      <w:pPr>
        <w:pStyle w:val="201"/>
        <w:adjustRightInd w:val="0"/>
        <w:snapToGrid w:val="0"/>
        <w:spacing w:line="360" w:lineRule="auto"/>
        <w:rPr>
          <w:rFonts w:ascii="Times New Roman" w:hAnsi="Times New Roman" w:eastAsia="宋体"/>
          <w:color w:val="000000" w:themeColor="text1"/>
          <w:sz w:val="21"/>
          <w:szCs w:val="21"/>
          <w14:textFill>
            <w14:solidFill>
              <w14:schemeClr w14:val="tx1"/>
            </w14:solidFill>
          </w14:textFill>
        </w:rPr>
      </w:pPr>
      <w:bookmarkStart w:id="120" w:name="_Toc293332479"/>
      <w:bookmarkStart w:id="121" w:name="_Toc282993355"/>
      <w:bookmarkStart w:id="122" w:name="_Toc511891211"/>
      <w:r>
        <w:rPr>
          <w:rFonts w:hint="eastAsia" w:ascii="Times New Roman" w:hAnsi="Times New Roman" w:eastAsia="宋体"/>
          <w:color w:val="000000" w:themeColor="text1"/>
          <w:sz w:val="21"/>
          <w:szCs w:val="21"/>
          <w14:textFill>
            <w14:solidFill>
              <w14:schemeClr w14:val="tx1"/>
            </w14:solidFill>
          </w14:textFill>
        </w:rPr>
        <w:t>根据相关国标和行标等有关标准及其补充说明进行各项试验，有关条款的特殊要求和补充应在试验期间遵守并执行。</w:t>
      </w:r>
    </w:p>
    <w:p>
      <w:pPr>
        <w:pStyle w:val="3"/>
        <w:numPr>
          <w:ilvl w:val="1"/>
          <w:numId w:val="0"/>
        </w:numPr>
        <w:rPr>
          <w:rFonts w:ascii="黑体" w:hAnsi="黑体" w:eastAsia="黑体"/>
          <w:color w:val="000000" w:themeColor="text1"/>
          <w14:textFill>
            <w14:solidFill>
              <w14:schemeClr w14:val="tx1"/>
            </w14:solidFill>
          </w14:textFill>
        </w:rPr>
      </w:pPr>
      <w:bookmarkStart w:id="123" w:name="_Toc241749411"/>
      <w:bookmarkStart w:id="124" w:name="_Toc283110354"/>
      <w:bookmarkStart w:id="125" w:name="_Toc242394252"/>
      <w:bookmarkStart w:id="126" w:name="_Toc111620761"/>
      <w:bookmarkStart w:id="127" w:name="_Toc177995341"/>
      <w:bookmarkStart w:id="128" w:name="_Toc241314867"/>
      <w:bookmarkStart w:id="129" w:name="_Toc412810147"/>
      <w:bookmarkStart w:id="130" w:name="_Toc224635171"/>
      <w:r>
        <w:rPr>
          <w:rFonts w:ascii="黑体" w:hAnsi="黑体" w:eastAsia="黑体"/>
          <w:color w:val="000000" w:themeColor="text1"/>
          <w14:textFill>
            <w14:solidFill>
              <w14:schemeClr w14:val="tx1"/>
            </w14:solidFill>
          </w14:textFill>
        </w:rPr>
        <w:t xml:space="preserve">7.1 </w:t>
      </w:r>
      <w:r>
        <w:rPr>
          <w:rFonts w:hint="eastAsia" w:ascii="黑体" w:hAnsi="黑体" w:eastAsia="黑体"/>
          <w:color w:val="000000" w:themeColor="text1"/>
          <w14:textFill>
            <w14:solidFill>
              <w14:schemeClr w14:val="tx1"/>
            </w14:solidFill>
          </w14:textFill>
        </w:rPr>
        <w:t>型式试验</w:t>
      </w:r>
      <w:bookmarkEnd w:id="123"/>
      <w:bookmarkEnd w:id="124"/>
      <w:bookmarkEnd w:id="125"/>
      <w:bookmarkEnd w:id="126"/>
      <w:bookmarkEnd w:id="127"/>
      <w:bookmarkEnd w:id="128"/>
      <w:bookmarkEnd w:id="129"/>
      <w:bookmarkEnd w:id="130"/>
    </w:p>
    <w:p>
      <w:pPr>
        <w:pStyle w:val="201"/>
        <w:adjustRightInd w:val="0"/>
        <w:snapToGrid w:val="0"/>
        <w:spacing w:line="360" w:lineRule="auto"/>
        <w:rPr>
          <w:rFonts w:ascii="Times New Roman" w:hAnsi="Times New Roman" w:eastAsia="宋体"/>
          <w:color w:val="000000" w:themeColor="text1"/>
          <w:sz w:val="21"/>
          <w:szCs w:val="21"/>
          <w14:textFill>
            <w14:solidFill>
              <w14:schemeClr w14:val="tx1"/>
            </w14:solidFill>
          </w14:textFill>
        </w:rPr>
      </w:pPr>
      <w:r>
        <w:rPr>
          <w:rFonts w:ascii="Times New Roman" w:hAnsi="Times New Roman" w:eastAsia="宋体"/>
          <w:color w:val="000000" w:themeColor="text1"/>
          <w:sz w:val="21"/>
          <w:szCs w:val="21"/>
          <w14:textFill>
            <w14:solidFill>
              <w14:schemeClr w14:val="tx1"/>
            </w14:solidFill>
          </w14:textFill>
        </w:rPr>
        <w:t xml:space="preserve">6.1.1 </w:t>
      </w:r>
      <w:r>
        <w:rPr>
          <w:rFonts w:hint="eastAsia" w:ascii="Times New Roman" w:hAnsi="Times New Roman" w:eastAsia="宋体"/>
          <w:color w:val="000000" w:themeColor="text1"/>
          <w:sz w:val="21"/>
          <w:szCs w:val="21"/>
          <w14:textFill>
            <w14:solidFill>
              <w14:schemeClr w14:val="tx1"/>
            </w14:solidFill>
          </w14:textFill>
        </w:rPr>
        <w:t>结构及外观检查：</w:t>
      </w:r>
      <w:r>
        <w:rPr>
          <w:rFonts w:ascii="Times New Roman" w:hAnsi="Times New Roman" w:eastAsia="宋体"/>
          <w:color w:val="000000" w:themeColor="text1"/>
          <w:sz w:val="21"/>
          <w:szCs w:val="21"/>
          <w14:textFill>
            <w14:solidFill>
              <w14:schemeClr w14:val="tx1"/>
            </w14:solidFill>
          </w14:textFill>
        </w:rPr>
        <w:t xml:space="preserve"> </w:t>
      </w:r>
      <w:r>
        <w:rPr>
          <w:rFonts w:hint="eastAsia" w:ascii="Times New Roman" w:hAnsi="Times New Roman" w:eastAsia="宋体"/>
          <w:color w:val="000000" w:themeColor="text1"/>
          <w:sz w:val="21"/>
          <w:szCs w:val="21"/>
          <w14:textFill>
            <w14:solidFill>
              <w14:schemeClr w14:val="tx1"/>
            </w14:solidFill>
          </w14:textFill>
        </w:rPr>
        <w:t>目测。</w:t>
      </w:r>
    </w:p>
    <w:p>
      <w:pPr>
        <w:pStyle w:val="201"/>
        <w:adjustRightInd w:val="0"/>
        <w:snapToGrid w:val="0"/>
        <w:spacing w:line="360" w:lineRule="auto"/>
        <w:rPr>
          <w:rFonts w:ascii="Times New Roman" w:hAnsi="Times New Roman" w:eastAsia="宋体"/>
          <w:color w:val="000000" w:themeColor="text1"/>
          <w:sz w:val="21"/>
          <w:szCs w:val="21"/>
          <w14:textFill>
            <w14:solidFill>
              <w14:schemeClr w14:val="tx1"/>
            </w14:solidFill>
          </w14:textFill>
        </w:rPr>
      </w:pPr>
      <w:r>
        <w:rPr>
          <w:rFonts w:ascii="Times New Roman" w:hAnsi="Times New Roman" w:eastAsia="宋体"/>
          <w:color w:val="000000" w:themeColor="text1"/>
          <w:sz w:val="21"/>
          <w:szCs w:val="21"/>
          <w14:textFill>
            <w14:solidFill>
              <w14:schemeClr w14:val="tx1"/>
            </w14:solidFill>
          </w14:textFill>
        </w:rPr>
        <w:t>6.1.2</w:t>
      </w:r>
      <w:r>
        <w:rPr>
          <w:rFonts w:hint="eastAsia" w:ascii="Times New Roman" w:hAnsi="Times New Roman" w:eastAsia="宋体"/>
          <w:color w:val="000000" w:themeColor="text1"/>
          <w:sz w:val="21"/>
          <w:szCs w:val="21"/>
          <w14:textFill>
            <w14:solidFill>
              <w14:schemeClr w14:val="tx1"/>
            </w14:solidFill>
          </w14:textFill>
        </w:rPr>
        <w:t>防护等级验证</w:t>
      </w:r>
      <w:r>
        <w:rPr>
          <w:rFonts w:ascii="Times New Roman" w:hAnsi="Times New Roman" w:eastAsia="宋体"/>
          <w:color w:val="000000" w:themeColor="text1"/>
          <w:sz w:val="21"/>
          <w:szCs w:val="21"/>
          <w14:textFill>
            <w14:solidFill>
              <w14:schemeClr w14:val="tx1"/>
            </w14:solidFill>
          </w14:textFill>
        </w:rPr>
        <w:t xml:space="preserve">: </w:t>
      </w:r>
      <w:r>
        <w:rPr>
          <w:rFonts w:hint="eastAsia" w:ascii="Times New Roman" w:hAnsi="Times New Roman" w:eastAsia="宋体"/>
          <w:color w:val="000000" w:themeColor="text1"/>
          <w:sz w:val="21"/>
          <w:szCs w:val="21"/>
          <w14:textFill>
            <w14:solidFill>
              <w14:schemeClr w14:val="tx1"/>
            </w14:solidFill>
          </w14:textFill>
        </w:rPr>
        <w:t>按</w:t>
      </w:r>
      <w:r>
        <w:rPr>
          <w:rFonts w:ascii="Times New Roman" w:hAnsi="Times New Roman" w:eastAsia="宋体"/>
          <w:color w:val="000000" w:themeColor="text1"/>
          <w:sz w:val="21"/>
          <w:szCs w:val="21"/>
          <w14:textFill>
            <w14:solidFill>
              <w14:schemeClr w14:val="tx1"/>
            </w14:solidFill>
          </w14:textFill>
        </w:rPr>
        <w:t>GB7251.1-2005</w:t>
      </w:r>
      <w:r>
        <w:rPr>
          <w:rFonts w:hint="eastAsia" w:ascii="Times New Roman" w:hAnsi="Times New Roman" w:eastAsia="宋体"/>
          <w:color w:val="000000" w:themeColor="text1"/>
          <w:sz w:val="21"/>
          <w:szCs w:val="21"/>
          <w14:textFill>
            <w14:solidFill>
              <w14:schemeClr w14:val="tx1"/>
            </w14:solidFill>
          </w14:textFill>
        </w:rPr>
        <w:t>标准验证。</w:t>
      </w:r>
    </w:p>
    <w:p>
      <w:pPr>
        <w:pStyle w:val="201"/>
        <w:adjustRightInd w:val="0"/>
        <w:snapToGrid w:val="0"/>
        <w:spacing w:line="360" w:lineRule="auto"/>
        <w:rPr>
          <w:rFonts w:ascii="Times New Roman" w:hAnsi="Times New Roman" w:eastAsia="宋体"/>
          <w:color w:val="000000" w:themeColor="text1"/>
          <w:sz w:val="21"/>
          <w:szCs w:val="21"/>
          <w14:textFill>
            <w14:solidFill>
              <w14:schemeClr w14:val="tx1"/>
            </w14:solidFill>
          </w14:textFill>
        </w:rPr>
      </w:pPr>
      <w:r>
        <w:rPr>
          <w:rFonts w:ascii="Times New Roman" w:hAnsi="Times New Roman" w:eastAsia="宋体"/>
          <w:color w:val="000000" w:themeColor="text1"/>
          <w:sz w:val="21"/>
          <w:szCs w:val="21"/>
          <w14:textFill>
            <w14:solidFill>
              <w14:schemeClr w14:val="tx1"/>
            </w14:solidFill>
          </w14:textFill>
        </w:rPr>
        <w:t xml:space="preserve">6.1.3 </w:t>
      </w:r>
      <w:r>
        <w:rPr>
          <w:rFonts w:hint="eastAsia" w:ascii="Times New Roman" w:hAnsi="Times New Roman" w:eastAsia="宋体"/>
          <w:color w:val="000000" w:themeColor="text1"/>
          <w:sz w:val="21"/>
          <w:szCs w:val="21"/>
          <w14:textFill>
            <w14:solidFill>
              <w14:schemeClr w14:val="tx1"/>
            </w14:solidFill>
          </w14:textFill>
        </w:rPr>
        <w:t>绝缘性能检验：按</w:t>
      </w:r>
      <w:r>
        <w:rPr>
          <w:rFonts w:ascii="Times New Roman" w:hAnsi="Times New Roman" w:eastAsia="宋体"/>
          <w:color w:val="000000" w:themeColor="text1"/>
          <w:sz w:val="21"/>
          <w:szCs w:val="21"/>
          <w14:textFill>
            <w14:solidFill>
              <w14:schemeClr w14:val="tx1"/>
            </w14:solidFill>
          </w14:textFill>
        </w:rPr>
        <w:t>GB 7251.1-2005</w:t>
      </w:r>
      <w:r>
        <w:rPr>
          <w:rFonts w:hint="eastAsia" w:ascii="Times New Roman" w:hAnsi="Times New Roman" w:eastAsia="宋体"/>
          <w:color w:val="000000" w:themeColor="text1"/>
          <w:sz w:val="21"/>
          <w:szCs w:val="21"/>
          <w14:textFill>
            <w14:solidFill>
              <w14:schemeClr w14:val="tx1"/>
            </w14:solidFill>
          </w14:textFill>
        </w:rPr>
        <w:t>中</w:t>
      </w:r>
      <w:r>
        <w:rPr>
          <w:rFonts w:ascii="Times New Roman" w:hAnsi="Times New Roman" w:eastAsia="宋体"/>
          <w:color w:val="000000" w:themeColor="text1"/>
          <w:sz w:val="21"/>
          <w:szCs w:val="21"/>
          <w14:textFill>
            <w14:solidFill>
              <w14:schemeClr w14:val="tx1"/>
            </w14:solidFill>
          </w14:textFill>
        </w:rPr>
        <w:t>8.3.4</w:t>
      </w:r>
      <w:r>
        <w:rPr>
          <w:rFonts w:hint="eastAsia" w:ascii="Times New Roman" w:hAnsi="Times New Roman" w:eastAsia="宋体"/>
          <w:color w:val="000000" w:themeColor="text1"/>
          <w:sz w:val="21"/>
          <w:szCs w:val="21"/>
          <w14:textFill>
            <w14:solidFill>
              <w14:schemeClr w14:val="tx1"/>
            </w14:solidFill>
          </w14:textFill>
        </w:rPr>
        <w:t>标准测试。</w:t>
      </w:r>
    </w:p>
    <w:p>
      <w:pPr>
        <w:pStyle w:val="201"/>
        <w:adjustRightInd w:val="0"/>
        <w:snapToGrid w:val="0"/>
        <w:spacing w:line="360" w:lineRule="auto"/>
        <w:rPr>
          <w:rFonts w:ascii="Times New Roman" w:hAnsi="Times New Roman" w:eastAsia="宋体"/>
          <w:color w:val="000000" w:themeColor="text1"/>
          <w:sz w:val="21"/>
          <w:szCs w:val="21"/>
          <w14:textFill>
            <w14:solidFill>
              <w14:schemeClr w14:val="tx1"/>
            </w14:solidFill>
          </w14:textFill>
        </w:rPr>
      </w:pPr>
      <w:r>
        <w:rPr>
          <w:rFonts w:ascii="Times New Roman" w:hAnsi="Times New Roman" w:eastAsia="宋体"/>
          <w:color w:val="000000" w:themeColor="text1"/>
          <w:sz w:val="21"/>
          <w:szCs w:val="21"/>
          <w14:textFill>
            <w14:solidFill>
              <w14:schemeClr w14:val="tx1"/>
            </w14:solidFill>
          </w14:textFill>
        </w:rPr>
        <w:t xml:space="preserve">6.1.4 </w:t>
      </w:r>
      <w:r>
        <w:rPr>
          <w:rFonts w:hint="eastAsia" w:ascii="Times New Roman" w:hAnsi="Times New Roman" w:eastAsia="宋体"/>
          <w:color w:val="000000" w:themeColor="text1"/>
          <w:sz w:val="21"/>
          <w:szCs w:val="21"/>
          <w14:textFill>
            <w14:solidFill>
              <w14:schemeClr w14:val="tx1"/>
            </w14:solidFill>
          </w14:textFill>
        </w:rPr>
        <w:t>机械性能检验</w:t>
      </w:r>
      <w:r>
        <w:rPr>
          <w:rFonts w:ascii="Times New Roman" w:hAnsi="Times New Roman" w:eastAsia="宋体"/>
          <w:color w:val="000000" w:themeColor="text1"/>
          <w:sz w:val="21"/>
          <w:szCs w:val="21"/>
          <w14:textFill>
            <w14:solidFill>
              <w14:schemeClr w14:val="tx1"/>
            </w14:solidFill>
          </w14:textFill>
        </w:rPr>
        <w:t xml:space="preserve">: </w:t>
      </w:r>
      <w:r>
        <w:rPr>
          <w:rFonts w:hint="eastAsia" w:ascii="Times New Roman" w:hAnsi="Times New Roman" w:eastAsia="宋体"/>
          <w:color w:val="000000" w:themeColor="text1"/>
          <w:sz w:val="21"/>
          <w:szCs w:val="21"/>
          <w14:textFill>
            <w14:solidFill>
              <w14:schemeClr w14:val="tx1"/>
            </w14:solidFill>
          </w14:textFill>
        </w:rPr>
        <w:t>按</w:t>
      </w:r>
      <w:r>
        <w:rPr>
          <w:rFonts w:ascii="Times New Roman" w:hAnsi="Times New Roman" w:eastAsia="宋体"/>
          <w:color w:val="000000" w:themeColor="text1"/>
          <w:sz w:val="21"/>
          <w:szCs w:val="21"/>
          <w14:textFill>
            <w14:solidFill>
              <w14:schemeClr w14:val="tx1"/>
            </w14:solidFill>
          </w14:textFill>
        </w:rPr>
        <w:t>GB/T11287-1989</w:t>
      </w:r>
      <w:r>
        <w:rPr>
          <w:rFonts w:hint="eastAsia" w:ascii="Times New Roman" w:hAnsi="Times New Roman" w:eastAsia="宋体"/>
          <w:color w:val="000000" w:themeColor="text1"/>
          <w:sz w:val="21"/>
          <w:szCs w:val="21"/>
          <w14:textFill>
            <w14:solidFill>
              <w14:schemeClr w14:val="tx1"/>
            </w14:solidFill>
          </w14:textFill>
        </w:rPr>
        <w:t>或</w:t>
      </w:r>
      <w:r>
        <w:rPr>
          <w:rFonts w:ascii="Times New Roman" w:hAnsi="Times New Roman" w:eastAsia="宋体"/>
          <w:color w:val="000000" w:themeColor="text1"/>
          <w:sz w:val="21"/>
          <w:szCs w:val="21"/>
          <w14:textFill>
            <w14:solidFill>
              <w14:schemeClr w14:val="tx1"/>
            </w14:solidFill>
          </w14:textFill>
        </w:rPr>
        <w:t>GB/T20138-2006</w:t>
      </w:r>
      <w:r>
        <w:rPr>
          <w:rFonts w:hint="eastAsia" w:ascii="Times New Roman" w:hAnsi="Times New Roman" w:eastAsia="宋体"/>
          <w:color w:val="000000" w:themeColor="text1"/>
          <w:sz w:val="21"/>
          <w:szCs w:val="21"/>
          <w14:textFill>
            <w14:solidFill>
              <w14:schemeClr w14:val="tx1"/>
            </w14:solidFill>
          </w14:textFill>
        </w:rPr>
        <w:t>标准试验。</w:t>
      </w:r>
    </w:p>
    <w:p>
      <w:pPr>
        <w:pStyle w:val="201"/>
        <w:adjustRightInd w:val="0"/>
        <w:snapToGrid w:val="0"/>
        <w:spacing w:line="360" w:lineRule="auto"/>
        <w:rPr>
          <w:rFonts w:ascii="Times New Roman" w:hAnsi="Times New Roman" w:eastAsia="宋体"/>
          <w:color w:val="000000" w:themeColor="text1"/>
          <w:sz w:val="21"/>
          <w:szCs w:val="21"/>
          <w14:textFill>
            <w14:solidFill>
              <w14:schemeClr w14:val="tx1"/>
            </w14:solidFill>
          </w14:textFill>
        </w:rPr>
      </w:pPr>
      <w:r>
        <w:rPr>
          <w:rFonts w:ascii="Times New Roman" w:hAnsi="Times New Roman" w:eastAsia="宋体"/>
          <w:color w:val="000000" w:themeColor="text1"/>
          <w:sz w:val="21"/>
          <w:szCs w:val="21"/>
          <w14:textFill>
            <w14:solidFill>
              <w14:schemeClr w14:val="tx1"/>
            </w14:solidFill>
          </w14:textFill>
        </w:rPr>
        <w:t xml:space="preserve">6.1.5 </w:t>
      </w:r>
      <w:r>
        <w:rPr>
          <w:rFonts w:hint="eastAsia" w:ascii="Times New Roman" w:hAnsi="Times New Roman" w:eastAsia="宋体"/>
          <w:color w:val="000000" w:themeColor="text1"/>
          <w:sz w:val="21"/>
          <w:szCs w:val="21"/>
          <w14:textFill>
            <w14:solidFill>
              <w14:schemeClr w14:val="tx1"/>
            </w14:solidFill>
          </w14:textFill>
        </w:rPr>
        <w:t>国家授权的第三方实验检测机构出具的检测报告。</w:t>
      </w:r>
    </w:p>
    <w:p>
      <w:pPr>
        <w:pStyle w:val="201"/>
        <w:adjustRightInd w:val="0"/>
        <w:snapToGrid w:val="0"/>
        <w:spacing w:line="360" w:lineRule="auto"/>
        <w:rPr>
          <w:rFonts w:ascii="Times New Roman" w:hAnsi="Times New Roman" w:eastAsia="宋体"/>
          <w:color w:val="000000" w:themeColor="text1"/>
          <w:sz w:val="21"/>
          <w:szCs w:val="21"/>
          <w14:textFill>
            <w14:solidFill>
              <w14:schemeClr w14:val="tx1"/>
            </w14:solidFill>
          </w14:textFill>
        </w:rPr>
      </w:pPr>
      <w:r>
        <w:rPr>
          <w:rFonts w:ascii="Times New Roman" w:hAnsi="Times New Roman" w:eastAsia="宋体"/>
          <w:color w:val="000000" w:themeColor="text1"/>
          <w:sz w:val="21"/>
          <w:szCs w:val="21"/>
          <w14:textFill>
            <w14:solidFill>
              <w14:schemeClr w14:val="tx1"/>
            </w14:solidFill>
          </w14:textFill>
        </w:rPr>
        <w:t>6.1.6</w:t>
      </w:r>
      <w:r>
        <w:rPr>
          <w:rFonts w:hint="eastAsia" w:ascii="Times New Roman" w:hAnsi="Times New Roman" w:eastAsia="宋体"/>
          <w:color w:val="000000" w:themeColor="text1"/>
          <w:sz w:val="21"/>
          <w:szCs w:val="21"/>
          <w14:textFill>
            <w14:solidFill>
              <w14:schemeClr w14:val="tx1"/>
            </w14:solidFill>
          </w14:textFill>
        </w:rPr>
        <w:t>防漏水性试验</w:t>
      </w:r>
    </w:p>
    <w:p>
      <w:pPr>
        <w:pStyle w:val="201"/>
        <w:adjustRightInd w:val="0"/>
        <w:snapToGrid w:val="0"/>
        <w:spacing w:line="360" w:lineRule="auto"/>
        <w:rPr>
          <w:rFonts w:ascii="Times New Roman" w:hAnsi="Times New Roman" w:eastAsia="宋体"/>
          <w:color w:val="000000" w:themeColor="text1"/>
          <w:sz w:val="21"/>
          <w:szCs w:val="21"/>
          <w14:textFill>
            <w14:solidFill>
              <w14:schemeClr w14:val="tx1"/>
            </w14:solidFill>
          </w14:textFill>
        </w:rPr>
      </w:pPr>
      <w:r>
        <w:rPr>
          <w:rFonts w:ascii="Times New Roman" w:hAnsi="Times New Roman" w:eastAsia="宋体"/>
          <w:color w:val="000000" w:themeColor="text1"/>
          <w:sz w:val="21"/>
          <w:szCs w:val="21"/>
          <w14:textFill>
            <w14:solidFill>
              <w14:schemeClr w14:val="tx1"/>
            </w14:solidFill>
          </w14:textFill>
        </w:rPr>
        <w:t>6.1.7</w:t>
      </w:r>
      <w:r>
        <w:rPr>
          <w:rFonts w:hint="eastAsia" w:ascii="Times New Roman" w:hAnsi="Times New Roman" w:eastAsia="宋体"/>
          <w:color w:val="000000" w:themeColor="text1"/>
          <w:sz w:val="21"/>
          <w:szCs w:val="21"/>
          <w14:textFill>
            <w14:solidFill>
              <w14:schemeClr w14:val="tx1"/>
            </w14:solidFill>
          </w14:textFill>
        </w:rPr>
        <w:t>（选做内容，作为评标技术部分评分项）型式试验内容应采用最新版本的</w:t>
      </w:r>
      <w:r>
        <w:rPr>
          <w:rFonts w:ascii="Times New Roman" w:hAnsi="Times New Roman" w:eastAsia="宋体"/>
          <w:color w:val="000000" w:themeColor="text1"/>
          <w:sz w:val="21"/>
          <w:szCs w:val="21"/>
          <w14:textFill>
            <w14:solidFill>
              <w14:schemeClr w14:val="tx1"/>
            </w14:solidFill>
          </w14:textFill>
        </w:rPr>
        <w:t>GB 7251.1-2013</w:t>
      </w:r>
      <w:r>
        <w:rPr>
          <w:rFonts w:hint="eastAsia" w:ascii="Times New Roman" w:hAnsi="Times New Roman" w:eastAsia="宋体"/>
          <w:color w:val="000000" w:themeColor="text1"/>
          <w:sz w:val="21"/>
          <w:szCs w:val="21"/>
          <w14:textFill>
            <w14:solidFill>
              <w14:schemeClr w14:val="tx1"/>
            </w14:solidFill>
          </w14:textFill>
        </w:rPr>
        <w:t>的“</w:t>
      </w:r>
      <w:r>
        <w:rPr>
          <w:rFonts w:ascii="Times New Roman" w:hAnsi="Times New Roman" w:eastAsia="宋体"/>
          <w:color w:val="000000" w:themeColor="text1"/>
          <w:sz w:val="21"/>
          <w:szCs w:val="21"/>
          <w14:textFill>
            <w14:solidFill>
              <w14:schemeClr w14:val="tx1"/>
            </w14:solidFill>
          </w14:textFill>
        </w:rPr>
        <w:t>10</w:t>
      </w:r>
      <w:r>
        <w:rPr>
          <w:rFonts w:hint="eastAsia" w:ascii="Times New Roman" w:hAnsi="Times New Roman" w:eastAsia="宋体"/>
          <w:color w:val="000000" w:themeColor="text1"/>
          <w:sz w:val="21"/>
          <w:szCs w:val="21"/>
          <w14:textFill>
            <w14:solidFill>
              <w14:schemeClr w14:val="tx1"/>
            </w14:solidFill>
          </w14:textFill>
        </w:rPr>
        <w:t>设计验证”的项目作为型式试验内容。具体如下：</w:t>
      </w:r>
    </w:p>
    <w:p>
      <w:pPr>
        <w:pStyle w:val="201"/>
        <w:adjustRightInd w:val="0"/>
        <w:snapToGrid w:val="0"/>
        <w:spacing w:line="360" w:lineRule="auto"/>
        <w:rPr>
          <w:rFonts w:ascii="Times New Roman" w:hAnsi="Times New Roman" w:eastAsia="宋体"/>
          <w:color w:val="000000" w:themeColor="text1"/>
          <w:sz w:val="21"/>
          <w:szCs w:val="21"/>
          <w14:textFill>
            <w14:solidFill>
              <w14:schemeClr w14:val="tx1"/>
            </w14:solidFill>
          </w14:textFill>
        </w:rPr>
      </w:pPr>
      <w:r>
        <w:rPr>
          <w:rFonts w:ascii="Times New Roman" w:hAnsi="Times New Roman" w:eastAsia="宋体"/>
          <w:color w:val="000000" w:themeColor="text1"/>
          <w:sz w:val="21"/>
          <w:szCs w:val="21"/>
          <w14:textFill>
            <w14:solidFill>
              <w14:schemeClr w14:val="tx1"/>
            </w14:solidFill>
          </w14:textFill>
        </w:rPr>
        <w:t xml:space="preserve">(A) </w:t>
      </w:r>
      <w:r>
        <w:rPr>
          <w:rFonts w:hint="eastAsia" w:ascii="Times New Roman" w:hAnsi="Times New Roman" w:eastAsia="宋体"/>
          <w:color w:val="000000" w:themeColor="text1"/>
          <w:sz w:val="21"/>
          <w:szCs w:val="21"/>
          <w14:textFill>
            <w14:solidFill>
              <w14:schemeClr w14:val="tx1"/>
            </w14:solidFill>
          </w14:textFill>
        </w:rPr>
        <w:t>结构</w:t>
      </w:r>
      <w:r>
        <w:rPr>
          <w:rFonts w:ascii="Times New Roman" w:hAnsi="Times New Roman" w:eastAsia="宋体"/>
          <w:color w:val="000000" w:themeColor="text1"/>
          <w:sz w:val="21"/>
          <w:szCs w:val="21"/>
          <w14:textFill>
            <w14:solidFill>
              <w14:schemeClr w14:val="tx1"/>
            </w14:solidFill>
          </w14:textFill>
        </w:rPr>
        <w:t>:</w:t>
      </w:r>
    </w:p>
    <w:p>
      <w:pPr>
        <w:pStyle w:val="201"/>
        <w:adjustRightInd w:val="0"/>
        <w:snapToGrid w:val="0"/>
        <w:spacing w:line="360" w:lineRule="auto"/>
        <w:rPr>
          <w:rFonts w:ascii="Times New Roman" w:hAnsi="Times New Roman" w:eastAsia="宋体"/>
          <w:color w:val="000000" w:themeColor="text1"/>
          <w:sz w:val="21"/>
          <w:szCs w:val="21"/>
          <w14:textFill>
            <w14:solidFill>
              <w14:schemeClr w14:val="tx1"/>
            </w14:solidFill>
          </w14:textFill>
        </w:rPr>
      </w:pPr>
      <w:r>
        <w:rPr>
          <w:rFonts w:ascii="Times New Roman" w:hAnsi="Times New Roman" w:eastAsia="宋体"/>
          <w:color w:val="000000" w:themeColor="text1"/>
          <w:sz w:val="21"/>
          <w:szCs w:val="21"/>
          <w14:textFill>
            <w14:solidFill>
              <w14:schemeClr w14:val="tx1"/>
            </w14:solidFill>
          </w14:textFill>
        </w:rPr>
        <w:t>a)</w:t>
      </w:r>
      <w:r>
        <w:rPr>
          <w:rFonts w:hint="eastAsia" w:ascii="Times New Roman" w:hAnsi="Times New Roman" w:eastAsia="宋体"/>
          <w:color w:val="000000" w:themeColor="text1"/>
          <w:sz w:val="21"/>
          <w:szCs w:val="21"/>
          <w14:textFill>
            <w14:solidFill>
              <w14:schemeClr w14:val="tx1"/>
            </w14:solidFill>
          </w14:textFill>
        </w:rPr>
        <w:t>材料和部件的强度。该试验包括耐腐蚀性、绝缘材料性能（包括外壳热稳定验证、绝缘材料耐受内部电效应引起的非正常发热和着火的验证、耐紫外线辐射验证、提升、机械碰撞试验、标志）；</w:t>
      </w:r>
    </w:p>
    <w:p>
      <w:pPr>
        <w:pStyle w:val="201"/>
        <w:adjustRightInd w:val="0"/>
        <w:snapToGrid w:val="0"/>
        <w:spacing w:line="360" w:lineRule="auto"/>
        <w:rPr>
          <w:rFonts w:ascii="Times New Roman" w:hAnsi="Times New Roman" w:eastAsia="宋体"/>
          <w:color w:val="000000" w:themeColor="text1"/>
          <w:sz w:val="21"/>
          <w:szCs w:val="21"/>
          <w14:textFill>
            <w14:solidFill>
              <w14:schemeClr w14:val="tx1"/>
            </w14:solidFill>
          </w14:textFill>
        </w:rPr>
      </w:pPr>
      <w:r>
        <w:rPr>
          <w:rFonts w:ascii="Times New Roman" w:hAnsi="Times New Roman" w:eastAsia="宋体"/>
          <w:color w:val="000000" w:themeColor="text1"/>
          <w:sz w:val="21"/>
          <w:szCs w:val="21"/>
          <w14:textFill>
            <w14:solidFill>
              <w14:schemeClr w14:val="tx1"/>
            </w14:solidFill>
          </w14:textFill>
        </w:rPr>
        <w:t>b)</w:t>
      </w:r>
      <w:r>
        <w:rPr>
          <w:rFonts w:hint="eastAsia" w:ascii="Times New Roman" w:hAnsi="Times New Roman" w:eastAsia="宋体"/>
          <w:color w:val="000000" w:themeColor="text1"/>
          <w:sz w:val="21"/>
          <w:szCs w:val="21"/>
          <w14:textFill>
            <w14:solidFill>
              <w14:schemeClr w14:val="tx1"/>
            </w14:solidFill>
          </w14:textFill>
        </w:rPr>
        <w:t>防护等级；</w:t>
      </w:r>
    </w:p>
    <w:bookmarkEnd w:id="120"/>
    <w:bookmarkEnd w:id="121"/>
    <w:bookmarkEnd w:id="122"/>
    <w:p>
      <w:pPr>
        <w:pStyle w:val="2"/>
        <w:numPr>
          <w:ilvl w:val="0"/>
          <w:numId w:val="0"/>
        </w:numPr>
        <w:snapToGrid/>
        <w:spacing w:before="0" w:beforeLines="0" w:line="480" w:lineRule="auto"/>
        <w:rPr>
          <w:rFonts w:ascii="黑体" w:eastAsia="黑体"/>
          <w:color w:val="000000" w:themeColor="text1"/>
          <w14:textFill>
            <w14:solidFill>
              <w14:schemeClr w14:val="tx1"/>
            </w14:solidFill>
          </w14:textFill>
        </w:rPr>
      </w:pPr>
      <w:bookmarkStart w:id="131" w:name="_Toc279695206"/>
      <w:bookmarkStart w:id="132" w:name="_Toc282993358"/>
      <w:bookmarkStart w:id="133" w:name="_Toc282433757"/>
      <w:bookmarkStart w:id="134" w:name="_Toc293332480"/>
      <w:bookmarkStart w:id="135" w:name="_Toc177995342"/>
      <w:bookmarkStart w:id="136" w:name="_Toc511891212"/>
      <w:r>
        <w:rPr>
          <w:rFonts w:ascii="黑体" w:eastAsia="黑体"/>
          <w:color w:val="000000" w:themeColor="text1"/>
          <w14:textFill>
            <w14:solidFill>
              <w14:schemeClr w14:val="tx1"/>
            </w14:solidFill>
          </w14:textFill>
        </w:rPr>
        <w:t>8</w:t>
      </w:r>
      <w:r>
        <w:rPr>
          <w:rFonts w:hint="eastAsia" w:ascii="黑体" w:eastAsia="黑体"/>
          <w:color w:val="000000" w:themeColor="text1"/>
          <w14:textFill>
            <w14:solidFill>
              <w14:schemeClr w14:val="tx1"/>
            </w14:solidFill>
          </w14:textFill>
        </w:rPr>
        <w:t xml:space="preserve"> 技术文件</w:t>
      </w:r>
      <w:bookmarkEnd w:id="131"/>
      <w:bookmarkEnd w:id="132"/>
      <w:bookmarkEnd w:id="133"/>
      <w:r>
        <w:rPr>
          <w:rFonts w:hint="eastAsia" w:ascii="黑体" w:eastAsia="黑体"/>
          <w:color w:val="000000" w:themeColor="text1"/>
          <w14:textFill>
            <w14:solidFill>
              <w14:schemeClr w14:val="tx1"/>
            </w14:solidFill>
          </w14:textFill>
        </w:rPr>
        <w:t>要求</w:t>
      </w:r>
      <w:bookmarkEnd w:id="134"/>
      <w:bookmarkEnd w:id="135"/>
      <w:bookmarkEnd w:id="136"/>
    </w:p>
    <w:p>
      <w:pPr>
        <w:pStyle w:val="201"/>
        <w:adjustRightInd w:val="0"/>
        <w:snapToGrid w:val="0"/>
        <w:spacing w:line="360" w:lineRule="auto"/>
        <w:rPr>
          <w:rFonts w:ascii="Times New Roman" w:hAnsi="Times New Roman" w:eastAsia="宋体"/>
          <w:color w:val="000000" w:themeColor="text1"/>
          <w:sz w:val="21"/>
          <w:szCs w:val="21"/>
          <w14:textFill>
            <w14:solidFill>
              <w14:schemeClr w14:val="tx1"/>
            </w14:solidFill>
          </w14:textFill>
        </w:rPr>
      </w:pPr>
      <w:bookmarkStart w:id="137" w:name="_Toc279695207"/>
      <w:bookmarkStart w:id="138" w:name="_Toc276490917"/>
      <w:bookmarkStart w:id="139" w:name="_Toc276492435"/>
      <w:bookmarkStart w:id="140" w:name="_Toc511891216"/>
      <w:bookmarkStart w:id="141" w:name="_Toc293332484"/>
      <w:bookmarkStart w:id="142" w:name="_Toc282433758"/>
      <w:bookmarkStart w:id="143" w:name="_Toc282993359"/>
      <w:r>
        <w:rPr>
          <w:rFonts w:hint="eastAsia" w:ascii="Times New Roman" w:hAnsi="Times New Roman" w:eastAsia="宋体"/>
          <w:color w:val="000000" w:themeColor="text1"/>
          <w:sz w:val="21"/>
          <w:szCs w:val="21"/>
          <w14:textFill>
            <w14:solidFill>
              <w14:schemeClr w14:val="tx1"/>
            </w14:solidFill>
          </w14:textFill>
        </w:rPr>
        <w:t>投标方应承诺在签订合同</w:t>
      </w:r>
      <w:r>
        <w:rPr>
          <w:rFonts w:ascii="Times New Roman" w:hAnsi="Times New Roman" w:eastAsia="宋体"/>
          <w:color w:val="000000" w:themeColor="text1"/>
          <w:sz w:val="21"/>
          <w:szCs w:val="21"/>
          <w14:textFill>
            <w14:solidFill>
              <w14:schemeClr w14:val="tx1"/>
            </w14:solidFill>
          </w14:textFill>
        </w:rPr>
        <w:t>15</w:t>
      </w:r>
      <w:r>
        <w:rPr>
          <w:rFonts w:hint="eastAsia" w:ascii="Times New Roman" w:hAnsi="Times New Roman" w:eastAsia="宋体"/>
          <w:color w:val="000000" w:themeColor="text1"/>
          <w:sz w:val="21"/>
          <w:szCs w:val="21"/>
          <w14:textFill>
            <w14:solidFill>
              <w14:schemeClr w14:val="tx1"/>
            </w14:solidFill>
          </w14:textFill>
        </w:rPr>
        <w:t>天内提供以下所列（但不限于下列资料、图纸、文件，投标方应承诺提供招标方提出的所有所需资料、图纸、文件供工程设计、安装、运维使用）的图纸、资料、文件纸质版</w:t>
      </w:r>
      <w:r>
        <w:rPr>
          <w:rFonts w:ascii="Times New Roman" w:hAnsi="Times New Roman" w:eastAsia="宋体"/>
          <w:color w:val="000000" w:themeColor="text1"/>
          <w:sz w:val="21"/>
          <w:szCs w:val="21"/>
          <w14:textFill>
            <w14:solidFill>
              <w14:schemeClr w14:val="tx1"/>
            </w14:solidFill>
          </w14:textFill>
        </w:rPr>
        <w:t>6</w:t>
      </w:r>
      <w:r>
        <w:rPr>
          <w:rFonts w:hint="eastAsia" w:ascii="Times New Roman" w:hAnsi="Times New Roman" w:eastAsia="宋体"/>
          <w:color w:val="000000" w:themeColor="text1"/>
          <w:sz w:val="21"/>
          <w:szCs w:val="21"/>
          <w14:textFill>
            <w14:solidFill>
              <w14:schemeClr w14:val="tx1"/>
            </w14:solidFill>
          </w14:textFill>
        </w:rPr>
        <w:t>套，电子版光盘</w:t>
      </w:r>
      <w:r>
        <w:rPr>
          <w:rFonts w:ascii="Times New Roman" w:hAnsi="Times New Roman" w:eastAsia="宋体"/>
          <w:color w:val="000000" w:themeColor="text1"/>
          <w:sz w:val="21"/>
          <w:szCs w:val="21"/>
          <w14:textFill>
            <w14:solidFill>
              <w14:schemeClr w14:val="tx1"/>
            </w14:solidFill>
          </w14:textFill>
        </w:rPr>
        <w:t>2</w:t>
      </w:r>
      <w:r>
        <w:rPr>
          <w:rFonts w:hint="eastAsia" w:ascii="Times New Roman" w:hAnsi="Times New Roman" w:eastAsia="宋体"/>
          <w:color w:val="000000" w:themeColor="text1"/>
          <w:sz w:val="21"/>
          <w:szCs w:val="21"/>
          <w14:textFill>
            <w14:solidFill>
              <w14:schemeClr w14:val="tx1"/>
            </w14:solidFill>
          </w14:textFill>
        </w:rPr>
        <w:t>套（含</w:t>
      </w:r>
      <w:r>
        <w:rPr>
          <w:rFonts w:ascii="Times New Roman" w:hAnsi="Times New Roman" w:eastAsia="宋体"/>
          <w:color w:val="000000" w:themeColor="text1"/>
          <w:sz w:val="21"/>
          <w:szCs w:val="21"/>
          <w14:textFill>
            <w14:solidFill>
              <w14:schemeClr w14:val="tx1"/>
            </w14:solidFill>
          </w14:textFill>
        </w:rPr>
        <w:t>AutoCAD</w:t>
      </w:r>
      <w:r>
        <w:rPr>
          <w:rFonts w:hint="eastAsia" w:ascii="Times New Roman" w:hAnsi="Times New Roman" w:eastAsia="宋体"/>
          <w:color w:val="000000" w:themeColor="text1"/>
          <w:sz w:val="21"/>
          <w:szCs w:val="21"/>
          <w14:textFill>
            <w14:solidFill>
              <w14:schemeClr w14:val="tx1"/>
            </w14:solidFill>
          </w14:textFill>
        </w:rPr>
        <w:t>图）。</w:t>
      </w:r>
    </w:p>
    <w:p>
      <w:pPr>
        <w:pStyle w:val="201"/>
        <w:adjustRightInd w:val="0"/>
        <w:snapToGrid w:val="0"/>
        <w:spacing w:line="360" w:lineRule="auto"/>
        <w:rPr>
          <w:rFonts w:ascii="Times New Roman" w:hAnsi="Times New Roman" w:eastAsia="宋体"/>
          <w:color w:val="000000" w:themeColor="text1"/>
          <w:sz w:val="21"/>
          <w:szCs w:val="21"/>
          <w14:textFill>
            <w14:solidFill>
              <w14:schemeClr w14:val="tx1"/>
            </w14:solidFill>
          </w14:textFill>
        </w:rPr>
      </w:pPr>
      <w:r>
        <w:rPr>
          <w:rFonts w:hint="eastAsia" w:ascii="Times New Roman" w:hAnsi="Times New Roman" w:eastAsia="宋体"/>
          <w:color w:val="000000" w:themeColor="text1"/>
          <w:sz w:val="21"/>
          <w:szCs w:val="21"/>
          <w14:textFill>
            <w14:solidFill>
              <w14:schemeClr w14:val="tx1"/>
            </w14:solidFill>
          </w14:textFill>
        </w:rPr>
        <w:t>预制舱外形图</w:t>
      </w:r>
      <w:r>
        <w:rPr>
          <w:rFonts w:ascii="Times New Roman" w:hAnsi="Times New Roman" w:eastAsia="宋体"/>
          <w:color w:val="000000" w:themeColor="text1"/>
          <w:sz w:val="21"/>
          <w:szCs w:val="21"/>
          <w14:textFill>
            <w14:solidFill>
              <w14:schemeClr w14:val="tx1"/>
            </w14:solidFill>
          </w14:textFill>
        </w:rPr>
        <w:t>(</w:t>
      </w:r>
      <w:r>
        <w:rPr>
          <w:rFonts w:hint="eastAsia" w:ascii="Times New Roman" w:hAnsi="Times New Roman" w:eastAsia="宋体"/>
          <w:color w:val="000000" w:themeColor="text1"/>
          <w:sz w:val="21"/>
          <w:szCs w:val="21"/>
          <w14:textFill>
            <w14:solidFill>
              <w14:schemeClr w14:val="tx1"/>
            </w14:solidFill>
          </w14:textFill>
        </w:rPr>
        <w:t>包括预制舱总体外形尺寸、各种重量、主体和箱盖等吊高、起吊位置、千斤顶位置、基础尺寸和要求、辅助设施配置等</w:t>
      </w:r>
      <w:r>
        <w:rPr>
          <w:rFonts w:ascii="Times New Roman" w:hAnsi="Times New Roman" w:eastAsia="宋体"/>
          <w:color w:val="000000" w:themeColor="text1"/>
          <w:sz w:val="21"/>
          <w:szCs w:val="21"/>
          <w14:textFill>
            <w14:solidFill>
              <w14:schemeClr w14:val="tx1"/>
            </w14:solidFill>
          </w14:textFill>
        </w:rPr>
        <w:t>)</w:t>
      </w:r>
      <w:r>
        <w:rPr>
          <w:rFonts w:hint="eastAsia" w:ascii="Times New Roman" w:hAnsi="Times New Roman" w:eastAsia="宋体"/>
          <w:color w:val="000000" w:themeColor="text1"/>
          <w:sz w:val="21"/>
          <w:szCs w:val="21"/>
          <w14:textFill>
            <w14:solidFill>
              <w14:schemeClr w14:val="tx1"/>
            </w14:solidFill>
          </w14:textFill>
        </w:rPr>
        <w:t>；</w:t>
      </w:r>
    </w:p>
    <w:p>
      <w:pPr>
        <w:pStyle w:val="201"/>
        <w:adjustRightInd w:val="0"/>
        <w:snapToGrid w:val="0"/>
        <w:spacing w:line="360" w:lineRule="auto"/>
        <w:rPr>
          <w:rFonts w:ascii="Times New Roman" w:hAnsi="Times New Roman" w:eastAsia="宋体"/>
          <w:color w:val="000000" w:themeColor="text1"/>
          <w:sz w:val="21"/>
          <w:szCs w:val="21"/>
          <w14:textFill>
            <w14:solidFill>
              <w14:schemeClr w14:val="tx1"/>
            </w14:solidFill>
          </w14:textFill>
        </w:rPr>
      </w:pPr>
      <w:r>
        <w:rPr>
          <w:rFonts w:hint="eastAsia" w:ascii="Times New Roman" w:hAnsi="Times New Roman" w:eastAsia="宋体"/>
          <w:color w:val="000000" w:themeColor="text1"/>
          <w:sz w:val="21"/>
          <w:szCs w:val="21"/>
          <w14:textFill>
            <w14:solidFill>
              <w14:schemeClr w14:val="tx1"/>
            </w14:solidFill>
          </w14:textFill>
        </w:rPr>
        <w:t>预制舱本体运输尺寸图；</w:t>
      </w:r>
    </w:p>
    <w:p>
      <w:pPr>
        <w:pStyle w:val="201"/>
        <w:adjustRightInd w:val="0"/>
        <w:snapToGrid w:val="0"/>
        <w:spacing w:line="360" w:lineRule="auto"/>
        <w:rPr>
          <w:rFonts w:ascii="Times New Roman" w:hAnsi="Times New Roman" w:eastAsia="宋体"/>
          <w:color w:val="000000" w:themeColor="text1"/>
          <w:sz w:val="21"/>
          <w:szCs w:val="21"/>
          <w14:textFill>
            <w14:solidFill>
              <w14:schemeClr w14:val="tx1"/>
            </w14:solidFill>
          </w14:textFill>
        </w:rPr>
      </w:pPr>
      <w:r>
        <w:rPr>
          <w:rFonts w:hint="eastAsia" w:ascii="Times New Roman" w:hAnsi="Times New Roman" w:eastAsia="宋体"/>
          <w:color w:val="000000" w:themeColor="text1"/>
          <w:sz w:val="21"/>
          <w:szCs w:val="21"/>
          <w14:textFill>
            <w14:solidFill>
              <w14:schemeClr w14:val="tx1"/>
            </w14:solidFill>
          </w14:textFill>
        </w:rPr>
        <w:t>产品合格证书，包括预制舱合格证书、主要组部件合格证书</w:t>
      </w:r>
      <w:r>
        <w:rPr>
          <w:rFonts w:ascii="Times New Roman" w:hAnsi="Times New Roman" w:eastAsia="宋体"/>
          <w:color w:val="000000" w:themeColor="text1"/>
          <w:sz w:val="21"/>
          <w:szCs w:val="21"/>
          <w14:textFill>
            <w14:solidFill>
              <w14:schemeClr w14:val="tx1"/>
            </w14:solidFill>
          </w14:textFill>
        </w:rPr>
        <w:t>(</w:t>
      </w:r>
      <w:r>
        <w:rPr>
          <w:rFonts w:hint="eastAsia" w:ascii="Times New Roman" w:hAnsi="Times New Roman" w:eastAsia="宋体"/>
          <w:color w:val="000000" w:themeColor="text1"/>
          <w:sz w:val="21"/>
          <w:szCs w:val="21"/>
          <w14:textFill>
            <w14:solidFill>
              <w14:schemeClr w14:val="tx1"/>
            </w14:solidFill>
          </w14:textFill>
        </w:rPr>
        <w:t>如配电箱、检修箱等</w:t>
      </w:r>
      <w:r>
        <w:rPr>
          <w:rFonts w:ascii="Times New Roman" w:hAnsi="Times New Roman" w:eastAsia="宋体"/>
          <w:color w:val="000000" w:themeColor="text1"/>
          <w:sz w:val="21"/>
          <w:szCs w:val="21"/>
          <w14:textFill>
            <w14:solidFill>
              <w14:schemeClr w14:val="tx1"/>
            </w14:solidFill>
          </w14:textFill>
        </w:rPr>
        <w:t>)</w:t>
      </w:r>
      <w:r>
        <w:rPr>
          <w:rFonts w:hint="eastAsia" w:ascii="Times New Roman" w:hAnsi="Times New Roman" w:eastAsia="宋体"/>
          <w:color w:val="000000" w:themeColor="text1"/>
          <w:sz w:val="21"/>
          <w:szCs w:val="21"/>
          <w14:textFill>
            <w14:solidFill>
              <w14:schemeClr w14:val="tx1"/>
            </w14:solidFill>
          </w14:textFill>
        </w:rPr>
        <w:t>；</w:t>
      </w:r>
    </w:p>
    <w:p>
      <w:pPr>
        <w:pStyle w:val="201"/>
        <w:adjustRightInd w:val="0"/>
        <w:snapToGrid w:val="0"/>
        <w:spacing w:line="360" w:lineRule="auto"/>
        <w:rPr>
          <w:rFonts w:ascii="Times New Roman" w:hAnsi="Times New Roman" w:eastAsia="宋体"/>
          <w:color w:val="000000" w:themeColor="text1"/>
          <w:sz w:val="21"/>
          <w:szCs w:val="21"/>
          <w14:textFill>
            <w14:solidFill>
              <w14:schemeClr w14:val="tx1"/>
            </w14:solidFill>
          </w14:textFill>
        </w:rPr>
      </w:pPr>
      <w:r>
        <w:rPr>
          <w:rFonts w:hint="eastAsia" w:ascii="Times New Roman" w:hAnsi="Times New Roman" w:eastAsia="宋体"/>
          <w:color w:val="000000" w:themeColor="text1"/>
          <w:sz w:val="21"/>
          <w:szCs w:val="21"/>
          <w14:textFill>
            <w14:solidFill>
              <w14:schemeClr w14:val="tx1"/>
            </w14:solidFill>
          </w14:textFill>
        </w:rPr>
        <w:t>产品试验报告，包括预制舱本体试验报告及辅助设施试验报告；</w:t>
      </w:r>
      <w:r>
        <w:rPr>
          <w:rFonts w:ascii="Times New Roman" w:hAnsi="Times New Roman" w:eastAsia="宋体"/>
          <w:color w:val="000000" w:themeColor="text1"/>
          <w:sz w:val="21"/>
          <w:szCs w:val="21"/>
          <w14:textFill>
            <w14:solidFill>
              <w14:schemeClr w14:val="tx1"/>
            </w14:solidFill>
          </w14:textFill>
        </w:rPr>
        <w:t xml:space="preserve"> </w:t>
      </w:r>
    </w:p>
    <w:p>
      <w:pPr>
        <w:pStyle w:val="201"/>
        <w:adjustRightInd w:val="0"/>
        <w:snapToGrid w:val="0"/>
        <w:spacing w:line="360" w:lineRule="auto"/>
        <w:rPr>
          <w:rFonts w:ascii="Times New Roman" w:hAnsi="Times New Roman" w:eastAsia="宋体"/>
          <w:color w:val="000000" w:themeColor="text1"/>
          <w:sz w:val="21"/>
          <w:szCs w:val="21"/>
          <w14:textFill>
            <w14:solidFill>
              <w14:schemeClr w14:val="tx1"/>
            </w14:solidFill>
          </w14:textFill>
        </w:rPr>
      </w:pPr>
      <w:r>
        <w:rPr>
          <w:rFonts w:hint="eastAsia" w:ascii="Times New Roman" w:hAnsi="Times New Roman" w:eastAsia="宋体"/>
          <w:color w:val="000000" w:themeColor="text1"/>
          <w:sz w:val="21"/>
          <w:szCs w:val="21"/>
          <w14:textFill>
            <w14:solidFill>
              <w14:schemeClr w14:val="tx1"/>
            </w14:solidFill>
          </w14:textFill>
        </w:rPr>
        <w:t>预制舱安装使用说明书；</w:t>
      </w:r>
    </w:p>
    <w:p>
      <w:pPr>
        <w:pStyle w:val="201"/>
        <w:adjustRightInd w:val="0"/>
        <w:snapToGrid w:val="0"/>
        <w:spacing w:line="360" w:lineRule="auto"/>
        <w:rPr>
          <w:rFonts w:ascii="Times New Roman" w:hAnsi="Times New Roman" w:eastAsia="宋体"/>
          <w:color w:val="000000" w:themeColor="text1"/>
          <w:sz w:val="21"/>
          <w:szCs w:val="21"/>
          <w14:textFill>
            <w14:solidFill>
              <w14:schemeClr w14:val="tx1"/>
            </w14:solidFill>
          </w14:textFill>
        </w:rPr>
      </w:pPr>
      <w:r>
        <w:rPr>
          <w:rFonts w:hint="eastAsia" w:ascii="Times New Roman" w:hAnsi="Times New Roman" w:eastAsia="宋体"/>
          <w:color w:val="000000" w:themeColor="text1"/>
          <w:sz w:val="21"/>
          <w:szCs w:val="21"/>
          <w14:textFill>
            <w14:solidFill>
              <w14:schemeClr w14:val="tx1"/>
            </w14:solidFill>
          </w14:textFill>
        </w:rPr>
        <w:t>其他辅助设施的使用说明书；</w:t>
      </w:r>
    </w:p>
    <w:p>
      <w:pPr>
        <w:pStyle w:val="201"/>
        <w:adjustRightInd w:val="0"/>
        <w:snapToGrid w:val="0"/>
        <w:spacing w:line="360" w:lineRule="auto"/>
        <w:rPr>
          <w:rFonts w:ascii="Times New Roman" w:hAnsi="Times New Roman" w:eastAsia="宋体"/>
          <w:color w:val="000000" w:themeColor="text1"/>
          <w:sz w:val="21"/>
          <w:szCs w:val="21"/>
          <w14:textFill>
            <w14:solidFill>
              <w14:schemeClr w14:val="tx1"/>
            </w14:solidFill>
          </w14:textFill>
        </w:rPr>
      </w:pPr>
      <w:r>
        <w:rPr>
          <w:rFonts w:hint="eastAsia" w:ascii="Times New Roman" w:hAnsi="Times New Roman" w:eastAsia="宋体"/>
          <w:color w:val="000000" w:themeColor="text1"/>
          <w:sz w:val="21"/>
          <w:szCs w:val="21"/>
          <w14:textFill>
            <w14:solidFill>
              <w14:schemeClr w14:val="tx1"/>
            </w14:solidFill>
          </w14:textFill>
        </w:rPr>
        <w:t>运行、检修手册及其有关资料；</w:t>
      </w:r>
    </w:p>
    <w:p>
      <w:pPr>
        <w:pStyle w:val="201"/>
        <w:adjustRightInd w:val="0"/>
        <w:snapToGrid w:val="0"/>
        <w:spacing w:line="360" w:lineRule="auto"/>
        <w:rPr>
          <w:rFonts w:ascii="Times New Roman" w:hAnsi="Times New Roman" w:eastAsia="宋体"/>
          <w:color w:val="000000" w:themeColor="text1"/>
          <w:sz w:val="21"/>
          <w:szCs w:val="21"/>
          <w14:textFill>
            <w14:solidFill>
              <w14:schemeClr w14:val="tx1"/>
            </w14:solidFill>
          </w14:textFill>
        </w:rPr>
      </w:pPr>
      <w:r>
        <w:rPr>
          <w:rFonts w:hint="eastAsia" w:ascii="Times New Roman" w:hAnsi="Times New Roman" w:eastAsia="宋体"/>
          <w:color w:val="000000" w:themeColor="text1"/>
          <w:sz w:val="21"/>
          <w:szCs w:val="21"/>
          <w14:textFill>
            <w14:solidFill>
              <w14:schemeClr w14:val="tx1"/>
            </w14:solidFill>
          </w14:textFill>
        </w:rPr>
        <w:t>备品备件等清单；</w:t>
      </w:r>
    </w:p>
    <w:p>
      <w:pPr>
        <w:pStyle w:val="201"/>
        <w:adjustRightInd w:val="0"/>
        <w:snapToGrid w:val="0"/>
        <w:spacing w:line="360" w:lineRule="auto"/>
        <w:rPr>
          <w:rFonts w:ascii="Times New Roman" w:hAnsi="Times New Roman" w:eastAsia="宋体"/>
          <w:color w:val="000000" w:themeColor="text1"/>
          <w:sz w:val="21"/>
          <w:szCs w:val="21"/>
          <w14:textFill>
            <w14:solidFill>
              <w14:schemeClr w14:val="tx1"/>
            </w14:solidFill>
          </w14:textFill>
        </w:rPr>
      </w:pPr>
      <w:r>
        <w:rPr>
          <w:rFonts w:hint="eastAsia" w:ascii="Times New Roman" w:hAnsi="Times New Roman" w:eastAsia="宋体"/>
          <w:color w:val="000000" w:themeColor="text1"/>
          <w:sz w:val="21"/>
          <w:szCs w:val="21"/>
          <w14:textFill>
            <w14:solidFill>
              <w14:schemeClr w14:val="tx1"/>
            </w14:solidFill>
          </w14:textFill>
        </w:rPr>
        <w:t>装箱清单。</w:t>
      </w:r>
    </w:p>
    <w:p>
      <w:pPr>
        <w:pStyle w:val="201"/>
        <w:adjustRightInd w:val="0"/>
        <w:snapToGrid w:val="0"/>
        <w:spacing w:line="360" w:lineRule="auto"/>
        <w:rPr>
          <w:rFonts w:ascii="Times New Roman" w:hAnsi="Times New Roman" w:eastAsia="宋体"/>
          <w:color w:val="000000" w:themeColor="text1"/>
          <w:sz w:val="21"/>
          <w:szCs w:val="21"/>
          <w14:textFill>
            <w14:solidFill>
              <w14:schemeClr w14:val="tx1"/>
            </w14:solidFill>
          </w14:textFill>
        </w:rPr>
      </w:pPr>
      <w:bookmarkStart w:id="144" w:name="_Toc283142582"/>
      <w:bookmarkStart w:id="145" w:name="_Toc283011676"/>
      <w:bookmarkStart w:id="146" w:name="_Toc277686885"/>
      <w:bookmarkStart w:id="147" w:name="_Toc282433724"/>
      <w:bookmarkStart w:id="148" w:name="_Toc282428316"/>
      <w:r>
        <w:rPr>
          <w:rFonts w:hint="eastAsia" w:ascii="Times New Roman" w:hAnsi="Times New Roman" w:eastAsia="宋体"/>
          <w:color w:val="000000" w:themeColor="text1"/>
          <w:sz w:val="21"/>
          <w:szCs w:val="21"/>
          <w14:textFill>
            <w14:solidFill>
              <w14:schemeClr w14:val="tx1"/>
            </w14:solidFill>
          </w14:textFill>
        </w:rPr>
        <w:t>设计联络</w:t>
      </w:r>
      <w:bookmarkEnd w:id="144"/>
      <w:bookmarkEnd w:id="145"/>
      <w:bookmarkEnd w:id="146"/>
      <w:bookmarkEnd w:id="147"/>
      <w:bookmarkEnd w:id="148"/>
    </w:p>
    <w:p>
      <w:pPr>
        <w:pStyle w:val="201"/>
        <w:adjustRightInd w:val="0"/>
        <w:snapToGrid w:val="0"/>
        <w:spacing w:line="360" w:lineRule="auto"/>
        <w:rPr>
          <w:rFonts w:ascii="Times New Roman" w:hAnsi="Times New Roman" w:eastAsia="宋体"/>
          <w:color w:val="000000" w:themeColor="text1"/>
          <w:sz w:val="21"/>
          <w:szCs w:val="21"/>
          <w14:textFill>
            <w14:solidFill>
              <w14:schemeClr w14:val="tx1"/>
            </w14:solidFill>
          </w14:textFill>
        </w:rPr>
      </w:pPr>
      <w:r>
        <w:rPr>
          <w:rFonts w:ascii="Times New Roman" w:hAnsi="Times New Roman" w:eastAsia="宋体"/>
          <w:color w:val="000000" w:themeColor="text1"/>
          <w:sz w:val="21"/>
          <w:szCs w:val="21"/>
          <w14:textFill>
            <w14:solidFill>
              <w14:schemeClr w14:val="tx1"/>
            </w14:solidFill>
          </w14:textFill>
        </w:rPr>
        <w:t>1</w:t>
      </w:r>
      <w:r>
        <w:rPr>
          <w:rFonts w:hint="eastAsia" w:ascii="Times New Roman" w:hAnsi="Times New Roman" w:eastAsia="宋体"/>
          <w:color w:val="000000" w:themeColor="text1"/>
          <w:sz w:val="21"/>
          <w:szCs w:val="21"/>
          <w14:textFill>
            <w14:solidFill>
              <w14:schemeClr w14:val="tx1"/>
            </w14:solidFill>
          </w14:textFill>
        </w:rPr>
        <w:t>）投标方应按设计需要随时开展设计联络工作，提供设计所需的相关资料，以保证招标方工期要求。</w:t>
      </w:r>
    </w:p>
    <w:p>
      <w:pPr>
        <w:pStyle w:val="201"/>
        <w:adjustRightInd w:val="0"/>
        <w:snapToGrid w:val="0"/>
        <w:spacing w:line="360" w:lineRule="auto"/>
        <w:rPr>
          <w:rFonts w:ascii="Times New Roman" w:hAnsi="Times New Roman" w:eastAsia="宋体"/>
          <w:color w:val="000000" w:themeColor="text1"/>
          <w:sz w:val="21"/>
          <w:szCs w:val="21"/>
          <w14:textFill>
            <w14:solidFill>
              <w14:schemeClr w14:val="tx1"/>
            </w14:solidFill>
          </w14:textFill>
        </w:rPr>
      </w:pPr>
      <w:r>
        <w:rPr>
          <w:rFonts w:ascii="Times New Roman" w:hAnsi="Times New Roman" w:eastAsia="宋体"/>
          <w:color w:val="000000" w:themeColor="text1"/>
          <w:sz w:val="21"/>
          <w:szCs w:val="21"/>
          <w14:textFill>
            <w14:solidFill>
              <w14:schemeClr w14:val="tx1"/>
            </w14:solidFill>
          </w14:textFill>
        </w:rPr>
        <w:t>2</w:t>
      </w:r>
      <w:r>
        <w:rPr>
          <w:rFonts w:hint="eastAsia" w:ascii="Times New Roman" w:hAnsi="Times New Roman" w:eastAsia="宋体"/>
          <w:color w:val="000000" w:themeColor="text1"/>
          <w:sz w:val="21"/>
          <w:szCs w:val="21"/>
          <w14:textFill>
            <w14:solidFill>
              <w14:schemeClr w14:val="tx1"/>
            </w14:solidFill>
          </w14:textFill>
        </w:rPr>
        <w:t>）投标方提供的图纸必须经招标方代表确认。</w:t>
      </w:r>
    </w:p>
    <w:p>
      <w:pPr>
        <w:pStyle w:val="2"/>
        <w:numPr>
          <w:ilvl w:val="0"/>
          <w:numId w:val="0"/>
        </w:numPr>
        <w:snapToGrid/>
        <w:spacing w:before="0" w:beforeLines="0" w:line="480" w:lineRule="auto"/>
        <w:rPr>
          <w:rFonts w:ascii="黑体" w:eastAsia="黑体"/>
          <w:color w:val="000000" w:themeColor="text1"/>
          <w14:textFill>
            <w14:solidFill>
              <w14:schemeClr w14:val="tx1"/>
            </w14:solidFill>
          </w14:textFill>
        </w:rPr>
      </w:pPr>
      <w:bookmarkStart w:id="149" w:name="_Toc177995343"/>
      <w:r>
        <w:rPr>
          <w:rFonts w:ascii="黑体" w:eastAsia="黑体"/>
          <w:color w:val="000000" w:themeColor="text1"/>
          <w14:textFill>
            <w14:solidFill>
              <w14:schemeClr w14:val="tx1"/>
            </w14:solidFill>
          </w14:textFill>
        </w:rPr>
        <w:t>9</w:t>
      </w:r>
      <w:r>
        <w:rPr>
          <w:rFonts w:hint="eastAsia" w:ascii="黑体" w:eastAsia="黑体"/>
          <w:color w:val="000000" w:themeColor="text1"/>
          <w14:textFill>
            <w14:solidFill>
              <w14:schemeClr w14:val="tx1"/>
            </w14:solidFill>
          </w14:textFill>
        </w:rPr>
        <w:t xml:space="preserve"> 监造、包装、运输、安装</w:t>
      </w:r>
      <w:bookmarkEnd w:id="137"/>
      <w:bookmarkEnd w:id="138"/>
      <w:bookmarkEnd w:id="139"/>
      <w:r>
        <w:rPr>
          <w:rFonts w:hint="eastAsia" w:ascii="黑体" w:eastAsia="黑体"/>
          <w:color w:val="000000" w:themeColor="text1"/>
          <w14:textFill>
            <w14:solidFill>
              <w14:schemeClr w14:val="tx1"/>
            </w14:solidFill>
          </w14:textFill>
        </w:rPr>
        <w:t>及质量保证</w:t>
      </w:r>
      <w:bookmarkEnd w:id="140"/>
      <w:bookmarkEnd w:id="141"/>
      <w:bookmarkEnd w:id="142"/>
      <w:bookmarkEnd w:id="143"/>
      <w:bookmarkEnd w:id="149"/>
    </w:p>
    <w:p>
      <w:pPr>
        <w:pStyle w:val="3"/>
        <w:numPr>
          <w:ilvl w:val="1"/>
          <w:numId w:val="0"/>
        </w:numPr>
        <w:rPr>
          <w:rFonts w:ascii="黑体" w:hAnsi="黑体" w:eastAsia="黑体"/>
          <w:color w:val="000000" w:themeColor="text1"/>
          <w14:textFill>
            <w14:solidFill>
              <w14:schemeClr w14:val="tx1"/>
            </w14:solidFill>
          </w14:textFill>
        </w:rPr>
      </w:pPr>
      <w:bookmarkStart w:id="150" w:name="_Toc279695208"/>
      <w:bookmarkStart w:id="151" w:name="_Toc293332485"/>
      <w:bookmarkStart w:id="152" w:name="_Toc511891217"/>
      <w:bookmarkStart w:id="153" w:name="_Toc282433759"/>
      <w:bookmarkStart w:id="154" w:name="_Toc177995344"/>
      <w:bookmarkStart w:id="155" w:name="_Toc276490898"/>
      <w:bookmarkStart w:id="156" w:name="_Toc276492370"/>
      <w:bookmarkStart w:id="157" w:name="_Toc282993360"/>
      <w:bookmarkStart w:id="158" w:name="_Toc200531202"/>
      <w:bookmarkStart w:id="159" w:name="_Toc471528253"/>
      <w:bookmarkStart w:id="160" w:name="_Toc472997247"/>
      <w:bookmarkStart w:id="161" w:name="_Toc53672785"/>
      <w:r>
        <w:rPr>
          <w:rFonts w:ascii="黑体" w:hAnsi="黑体" w:eastAsia="黑体"/>
          <w:color w:val="000000" w:themeColor="text1"/>
          <w14:textFill>
            <w14:solidFill>
              <w14:schemeClr w14:val="tx1"/>
            </w14:solidFill>
          </w14:textFill>
        </w:rPr>
        <w:t xml:space="preserve">9.1 </w:t>
      </w:r>
      <w:r>
        <w:rPr>
          <w:rFonts w:hint="eastAsia" w:ascii="黑体" w:hAnsi="黑体" w:eastAsia="黑体"/>
          <w:color w:val="000000" w:themeColor="text1"/>
          <w14:textFill>
            <w14:solidFill>
              <w14:schemeClr w14:val="tx1"/>
            </w14:solidFill>
          </w14:textFill>
        </w:rPr>
        <w:t>监造</w:t>
      </w:r>
      <w:bookmarkEnd w:id="150"/>
      <w:bookmarkEnd w:id="151"/>
      <w:bookmarkEnd w:id="152"/>
      <w:bookmarkEnd w:id="153"/>
      <w:bookmarkEnd w:id="154"/>
      <w:bookmarkEnd w:id="155"/>
      <w:bookmarkEnd w:id="156"/>
      <w:bookmarkEnd w:id="157"/>
    </w:p>
    <w:p>
      <w:pPr>
        <w:adjustRightInd w:val="0"/>
        <w:snapToGrid w:val="0"/>
        <w:spacing w:line="360" w:lineRule="auto"/>
        <w:ind w:firstLine="420" w:firstLineChars="200"/>
        <w:rPr>
          <w:rFonts w:ascii="宋体" w:hAnsi="宋体" w:cs="宋体-18030"/>
          <w:color w:val="000000" w:themeColor="text1"/>
          <w:szCs w:val="21"/>
          <w14:textFill>
            <w14:solidFill>
              <w14:schemeClr w14:val="tx1"/>
            </w14:solidFill>
          </w14:textFill>
        </w:rPr>
      </w:pPr>
      <w:bookmarkStart w:id="162" w:name="_Toc282993361"/>
      <w:r>
        <w:rPr>
          <w:rFonts w:ascii="宋体" w:hAnsi="宋体" w:cs="宋体-18030"/>
          <w:color w:val="000000" w:themeColor="text1"/>
          <w:szCs w:val="21"/>
          <w14:textFill>
            <w14:solidFill>
              <w14:schemeClr w14:val="tx1"/>
            </w14:solidFill>
          </w14:textFill>
        </w:rPr>
        <w:t>1）投标方必须在签订合同后10天之内以书面形式提供</w:t>
      </w:r>
      <w:r>
        <w:rPr>
          <w:rFonts w:hint="eastAsia" w:ascii="宋体" w:hAnsi="宋体" w:cs="宋体-18030"/>
          <w:color w:val="000000" w:themeColor="text1"/>
          <w:szCs w:val="21"/>
          <w14:textFill>
            <w14:solidFill>
              <w14:schemeClr w14:val="tx1"/>
            </w14:solidFill>
          </w14:textFill>
        </w:rPr>
        <w:t>所供设备的</w:t>
      </w:r>
      <w:r>
        <w:rPr>
          <w:rFonts w:ascii="宋体" w:hAnsi="宋体" w:cs="宋体-18030"/>
          <w:color w:val="000000" w:themeColor="text1"/>
          <w:szCs w:val="21"/>
          <w14:textFill>
            <w14:solidFill>
              <w14:schemeClr w14:val="tx1"/>
            </w14:solidFill>
          </w14:textFill>
        </w:rPr>
        <w:t>制造进度表。招标方可随时进厂监造。监造和检验人员有权了解生产过程、查询质量记录和参加各种试验。</w:t>
      </w:r>
      <w:bookmarkEnd w:id="162"/>
    </w:p>
    <w:p>
      <w:pPr>
        <w:adjustRightInd w:val="0"/>
        <w:snapToGrid w:val="0"/>
        <w:spacing w:line="360" w:lineRule="auto"/>
        <w:ind w:firstLine="420" w:firstLineChars="200"/>
        <w:rPr>
          <w:rFonts w:ascii="宋体" w:hAnsi="宋体" w:cs="宋体-18030"/>
          <w:color w:val="000000" w:themeColor="text1"/>
          <w:szCs w:val="21"/>
          <w14:textFill>
            <w14:solidFill>
              <w14:schemeClr w14:val="tx1"/>
            </w14:solidFill>
          </w14:textFill>
        </w:rPr>
      </w:pPr>
      <w:bookmarkStart w:id="163" w:name="_Toc282993362"/>
      <w:r>
        <w:rPr>
          <w:rFonts w:ascii="宋体" w:hAnsi="宋体" w:cs="宋体-18030"/>
          <w:color w:val="000000" w:themeColor="text1"/>
          <w:szCs w:val="21"/>
          <w14:textFill>
            <w14:solidFill>
              <w14:schemeClr w14:val="tx1"/>
            </w14:solidFill>
          </w14:textFill>
        </w:rPr>
        <w:t>2）监造范围包括设备的设计、加工、制造、储运、材料采购、组装和试验等重要过程，关键部件的质量控制，进行见证、检验和审核。</w:t>
      </w:r>
      <w:bookmarkEnd w:id="163"/>
    </w:p>
    <w:p>
      <w:pPr>
        <w:adjustRightInd w:val="0"/>
        <w:snapToGrid w:val="0"/>
        <w:spacing w:line="360" w:lineRule="auto"/>
        <w:ind w:firstLine="420" w:firstLineChars="200"/>
        <w:rPr>
          <w:rFonts w:ascii="宋体" w:hAnsi="宋体" w:cs="宋体-18030"/>
          <w:color w:val="000000" w:themeColor="text1"/>
          <w:szCs w:val="21"/>
          <w14:textFill>
            <w14:solidFill>
              <w14:schemeClr w14:val="tx1"/>
            </w14:solidFill>
          </w14:textFill>
        </w:rPr>
      </w:pPr>
      <w:bookmarkStart w:id="164" w:name="_Toc282993363"/>
      <w:r>
        <w:rPr>
          <w:rFonts w:ascii="宋体" w:hAnsi="宋体" w:cs="宋体-18030"/>
          <w:color w:val="000000" w:themeColor="text1"/>
          <w:szCs w:val="21"/>
          <w14:textFill>
            <w14:solidFill>
              <w14:schemeClr w14:val="tx1"/>
            </w14:solidFill>
          </w14:textFill>
        </w:rPr>
        <w:t>3）运行单位的工厂监造和检验工作，不减少投标方对产品的质量责任，监造和检验人员不签署任何质量证明。</w:t>
      </w:r>
      <w:bookmarkEnd w:id="164"/>
    </w:p>
    <w:p>
      <w:pPr>
        <w:adjustRightInd w:val="0"/>
        <w:snapToGrid w:val="0"/>
        <w:spacing w:line="360" w:lineRule="auto"/>
        <w:ind w:firstLine="420" w:firstLineChars="200"/>
        <w:rPr>
          <w:rFonts w:ascii="宋体" w:hAnsi="宋体" w:cs="宋体-18030"/>
          <w:color w:val="000000" w:themeColor="text1"/>
          <w:szCs w:val="21"/>
          <w14:textFill>
            <w14:solidFill>
              <w14:schemeClr w14:val="tx1"/>
            </w14:solidFill>
          </w14:textFill>
        </w:rPr>
      </w:pPr>
      <w:r>
        <w:rPr>
          <w:rFonts w:ascii="宋体" w:hAnsi="宋体" w:cs="宋体-18030"/>
          <w:color w:val="000000" w:themeColor="text1"/>
          <w:szCs w:val="21"/>
          <w14:textFill>
            <w14:solidFill>
              <w14:schemeClr w14:val="tx1"/>
            </w14:solidFill>
          </w14:textFill>
        </w:rPr>
        <w:t>4）投标方应在出厂前提前至少5个工作日书面通知招标方进行出厂试验监督。</w:t>
      </w:r>
    </w:p>
    <w:p>
      <w:pPr>
        <w:pStyle w:val="3"/>
        <w:numPr>
          <w:ilvl w:val="1"/>
          <w:numId w:val="0"/>
        </w:numPr>
        <w:rPr>
          <w:rFonts w:ascii="黑体" w:hAnsi="黑体" w:eastAsia="黑体"/>
          <w:color w:val="000000" w:themeColor="text1"/>
          <w14:textFill>
            <w14:solidFill>
              <w14:schemeClr w14:val="tx1"/>
            </w14:solidFill>
          </w14:textFill>
        </w:rPr>
      </w:pPr>
      <w:bookmarkStart w:id="165" w:name="_Toc511891218"/>
      <w:bookmarkStart w:id="166" w:name="_Toc282993364"/>
      <w:bookmarkStart w:id="167" w:name="_Toc276490918"/>
      <w:bookmarkStart w:id="168" w:name="_Toc276301528"/>
      <w:bookmarkStart w:id="169" w:name="_Toc282433760"/>
      <w:bookmarkStart w:id="170" w:name="_Toc293332486"/>
      <w:bookmarkStart w:id="171" w:name="_Toc276492436"/>
      <w:bookmarkStart w:id="172" w:name="_Toc279695209"/>
      <w:bookmarkStart w:id="173" w:name="_Toc177995345"/>
      <w:r>
        <w:rPr>
          <w:rFonts w:ascii="黑体" w:hAnsi="黑体" w:eastAsia="黑体"/>
          <w:color w:val="000000" w:themeColor="text1"/>
          <w14:textFill>
            <w14:solidFill>
              <w14:schemeClr w14:val="tx1"/>
            </w14:solidFill>
          </w14:textFill>
        </w:rPr>
        <w:t xml:space="preserve">9.2 </w:t>
      </w:r>
      <w:r>
        <w:rPr>
          <w:rFonts w:hint="eastAsia" w:ascii="黑体" w:hAnsi="黑体" w:eastAsia="黑体"/>
          <w:color w:val="000000" w:themeColor="text1"/>
          <w14:textFill>
            <w14:solidFill>
              <w14:schemeClr w14:val="tx1"/>
            </w14:solidFill>
          </w14:textFill>
        </w:rPr>
        <w:t>包装</w:t>
      </w:r>
      <w:bookmarkEnd w:id="158"/>
      <w:bookmarkEnd w:id="159"/>
      <w:bookmarkEnd w:id="160"/>
      <w:bookmarkEnd w:id="161"/>
      <w:bookmarkEnd w:id="165"/>
      <w:bookmarkEnd w:id="166"/>
      <w:bookmarkEnd w:id="167"/>
      <w:bookmarkEnd w:id="168"/>
      <w:bookmarkEnd w:id="169"/>
      <w:bookmarkEnd w:id="170"/>
      <w:bookmarkEnd w:id="171"/>
      <w:bookmarkEnd w:id="172"/>
      <w:bookmarkEnd w:id="173"/>
    </w:p>
    <w:p>
      <w:pPr>
        <w:adjustRightInd w:val="0"/>
        <w:snapToGrid w:val="0"/>
        <w:spacing w:line="360" w:lineRule="auto"/>
        <w:ind w:firstLine="420" w:firstLineChars="200"/>
        <w:rPr>
          <w:rFonts w:ascii="宋体" w:hAnsi="宋体" w:cs="宋体-18030"/>
          <w:color w:val="000000" w:themeColor="text1"/>
          <w:szCs w:val="21"/>
          <w14:textFill>
            <w14:solidFill>
              <w14:schemeClr w14:val="tx1"/>
            </w14:solidFill>
          </w14:textFill>
        </w:rPr>
      </w:pPr>
      <w:bookmarkStart w:id="174" w:name="_Toc276490919"/>
      <w:bookmarkStart w:id="175" w:name="_Toc276301529"/>
      <w:bookmarkStart w:id="176" w:name="_Toc276492437"/>
      <w:r>
        <w:rPr>
          <w:rFonts w:ascii="宋体" w:hAnsi="宋体" w:cs="宋体-18030"/>
          <w:color w:val="000000" w:themeColor="text1"/>
          <w:szCs w:val="21"/>
          <w14:textFill>
            <w14:solidFill>
              <w14:schemeClr w14:val="tx1"/>
            </w14:solidFill>
          </w14:textFill>
        </w:rPr>
        <w:t>1）要严格按照制造厂给出的说明书对开关设备进行包装、运输和储存。制造厂应在交货前的适当时间提供开关设备的运输和储存说明书。</w:t>
      </w:r>
    </w:p>
    <w:p>
      <w:pPr>
        <w:adjustRightInd w:val="0"/>
        <w:snapToGrid w:val="0"/>
        <w:spacing w:line="360" w:lineRule="auto"/>
        <w:ind w:firstLine="420" w:firstLineChars="200"/>
        <w:rPr>
          <w:rFonts w:ascii="宋体" w:hAnsi="宋体" w:cs="宋体-18030"/>
          <w:color w:val="000000" w:themeColor="text1"/>
          <w:szCs w:val="21"/>
          <w14:textFill>
            <w14:solidFill>
              <w14:schemeClr w14:val="tx1"/>
            </w14:solidFill>
          </w14:textFill>
        </w:rPr>
      </w:pPr>
      <w:r>
        <w:rPr>
          <w:rFonts w:ascii="宋体" w:hAnsi="宋体" w:cs="宋体-18030"/>
          <w:color w:val="000000" w:themeColor="text1"/>
          <w:szCs w:val="21"/>
          <w14:textFill>
            <w14:solidFill>
              <w14:schemeClr w14:val="tx1"/>
            </w14:solidFill>
          </w14:textFill>
        </w:rPr>
        <w:t>2）设备制造完成并通过试验后应及时包装，否则应得到切实的保护。其包装也应符合铁路、公路和海运部门的有关规定。</w:t>
      </w:r>
    </w:p>
    <w:p>
      <w:pPr>
        <w:adjustRightInd w:val="0"/>
        <w:snapToGrid w:val="0"/>
        <w:spacing w:line="360" w:lineRule="auto"/>
        <w:ind w:firstLine="420" w:firstLineChars="200"/>
        <w:rPr>
          <w:rFonts w:ascii="宋体" w:hAnsi="宋体" w:cs="宋体-18030"/>
          <w:color w:val="000000" w:themeColor="text1"/>
          <w:szCs w:val="21"/>
          <w14:textFill>
            <w14:solidFill>
              <w14:schemeClr w14:val="tx1"/>
            </w14:solidFill>
          </w14:textFill>
        </w:rPr>
      </w:pPr>
      <w:r>
        <w:rPr>
          <w:rFonts w:ascii="宋体" w:hAnsi="宋体" w:cs="宋体-18030"/>
          <w:color w:val="000000" w:themeColor="text1"/>
          <w:szCs w:val="21"/>
          <w14:textFill>
            <w14:solidFill>
              <w14:schemeClr w14:val="tx1"/>
            </w14:solidFill>
          </w14:textFill>
        </w:rPr>
        <w:t>3）包装箱上应有明显的包装储运图示标志，并应标明设备的订货号和发货号。</w:t>
      </w:r>
    </w:p>
    <w:p>
      <w:pPr>
        <w:adjustRightInd w:val="0"/>
        <w:snapToGrid w:val="0"/>
        <w:spacing w:line="360" w:lineRule="auto"/>
        <w:ind w:firstLine="420" w:firstLineChars="200"/>
        <w:rPr>
          <w:rFonts w:ascii="宋体" w:hAnsi="宋体" w:cs="宋体-18030"/>
          <w:color w:val="000000" w:themeColor="text1"/>
          <w:szCs w:val="21"/>
          <w14:textFill>
            <w14:solidFill>
              <w14:schemeClr w14:val="tx1"/>
            </w14:solidFill>
          </w14:textFill>
        </w:rPr>
      </w:pPr>
      <w:r>
        <w:rPr>
          <w:rFonts w:ascii="宋体" w:hAnsi="宋体" w:cs="宋体-18030"/>
          <w:color w:val="000000" w:themeColor="text1"/>
          <w:szCs w:val="21"/>
          <w14:textFill>
            <w14:solidFill>
              <w14:schemeClr w14:val="tx1"/>
            </w14:solidFill>
          </w14:textFill>
        </w:rPr>
        <w:t>4）设备</w:t>
      </w:r>
      <w:r>
        <w:rPr>
          <w:rFonts w:hint="eastAsia" w:ascii="宋体" w:hAnsi="宋体" w:cs="宋体-18030"/>
          <w:color w:val="000000" w:themeColor="text1"/>
          <w:szCs w:val="21"/>
          <w14:textFill>
            <w14:solidFill>
              <w14:schemeClr w14:val="tx1"/>
            </w14:solidFill>
          </w14:textFill>
        </w:rPr>
        <w:t>的</w:t>
      </w:r>
      <w:r>
        <w:rPr>
          <w:rFonts w:ascii="宋体" w:hAnsi="宋体" w:cs="宋体-18030"/>
          <w:color w:val="000000" w:themeColor="text1"/>
          <w:szCs w:val="21"/>
          <w14:textFill>
            <w14:solidFill>
              <w14:schemeClr w14:val="tx1"/>
            </w14:solidFill>
          </w14:textFill>
        </w:rPr>
        <w:t>包装应能保证零部件在运输过程中不致遭到脏污、损坏、变形、丢失及受潮。对于外露的接触表面，应有预防腐蚀的措施。所有运输措施均应经过验证。凡有运输损坏，应由制造厂负责赔偿。</w:t>
      </w:r>
    </w:p>
    <w:p>
      <w:pPr>
        <w:pStyle w:val="3"/>
        <w:numPr>
          <w:ilvl w:val="1"/>
          <w:numId w:val="0"/>
        </w:numPr>
        <w:rPr>
          <w:rFonts w:ascii="黑体" w:hAnsi="黑体" w:eastAsia="黑体"/>
          <w:color w:val="000000" w:themeColor="text1"/>
          <w14:textFill>
            <w14:solidFill>
              <w14:schemeClr w14:val="tx1"/>
            </w14:solidFill>
          </w14:textFill>
        </w:rPr>
      </w:pPr>
      <w:bookmarkStart w:id="177" w:name="_Toc279695210"/>
      <w:bookmarkStart w:id="178" w:name="_Toc282993365"/>
      <w:bookmarkStart w:id="179" w:name="_Toc177995346"/>
      <w:bookmarkStart w:id="180" w:name="_Toc293332487"/>
      <w:bookmarkStart w:id="181" w:name="_Toc511891219"/>
      <w:bookmarkStart w:id="182" w:name="_Toc282433761"/>
      <w:r>
        <w:rPr>
          <w:rFonts w:ascii="黑体" w:hAnsi="黑体" w:eastAsia="黑体"/>
          <w:color w:val="000000" w:themeColor="text1"/>
          <w14:textFill>
            <w14:solidFill>
              <w14:schemeClr w14:val="tx1"/>
            </w14:solidFill>
          </w14:textFill>
        </w:rPr>
        <w:t xml:space="preserve">9.3 </w:t>
      </w:r>
      <w:r>
        <w:rPr>
          <w:rFonts w:hint="eastAsia" w:ascii="黑体" w:hAnsi="黑体" w:eastAsia="黑体"/>
          <w:color w:val="000000" w:themeColor="text1"/>
          <w14:textFill>
            <w14:solidFill>
              <w14:schemeClr w14:val="tx1"/>
            </w14:solidFill>
          </w14:textFill>
        </w:rPr>
        <w:t>运输</w:t>
      </w:r>
      <w:bookmarkEnd w:id="174"/>
      <w:bookmarkEnd w:id="175"/>
      <w:bookmarkEnd w:id="176"/>
      <w:bookmarkEnd w:id="177"/>
      <w:bookmarkEnd w:id="178"/>
      <w:bookmarkEnd w:id="179"/>
      <w:bookmarkEnd w:id="180"/>
      <w:bookmarkEnd w:id="181"/>
      <w:bookmarkEnd w:id="182"/>
    </w:p>
    <w:p>
      <w:pPr>
        <w:adjustRightInd w:val="0"/>
        <w:snapToGrid w:val="0"/>
        <w:spacing w:line="360" w:lineRule="auto"/>
        <w:ind w:firstLine="420" w:firstLineChars="200"/>
        <w:rPr>
          <w:rFonts w:ascii="宋体" w:hAnsi="宋体" w:cs="宋体-18030"/>
          <w:color w:val="000000" w:themeColor="text1"/>
          <w:szCs w:val="21"/>
          <w14:textFill>
            <w14:solidFill>
              <w14:schemeClr w14:val="tx1"/>
            </w14:solidFill>
          </w14:textFill>
        </w:rPr>
      </w:pPr>
      <w:r>
        <w:rPr>
          <w:rFonts w:ascii="宋体" w:hAnsi="宋体" w:cs="宋体-18030"/>
          <w:color w:val="000000" w:themeColor="text1"/>
          <w:szCs w:val="21"/>
          <w14:textFill>
            <w14:solidFill>
              <w14:schemeClr w14:val="tx1"/>
            </w14:solidFill>
          </w14:textFill>
        </w:rPr>
        <w:t>1）开关设备在运输时，应将可动部分和触头保持在一定的固定位置。</w:t>
      </w:r>
    </w:p>
    <w:p>
      <w:pPr>
        <w:adjustRightInd w:val="0"/>
        <w:snapToGrid w:val="0"/>
        <w:spacing w:line="360" w:lineRule="auto"/>
        <w:ind w:firstLine="420" w:firstLineChars="200"/>
        <w:rPr>
          <w:rFonts w:ascii="宋体" w:hAnsi="宋体" w:cs="宋体-18030"/>
          <w:color w:val="000000" w:themeColor="text1"/>
          <w:szCs w:val="21"/>
          <w14:textFill>
            <w14:solidFill>
              <w14:schemeClr w14:val="tx1"/>
            </w14:solidFill>
          </w14:textFill>
        </w:rPr>
      </w:pPr>
      <w:r>
        <w:rPr>
          <w:rFonts w:ascii="宋体" w:hAnsi="宋体" w:cs="宋体-18030"/>
          <w:color w:val="000000" w:themeColor="text1"/>
          <w:szCs w:val="21"/>
          <w14:textFill>
            <w14:solidFill>
              <w14:schemeClr w14:val="tx1"/>
            </w14:solidFill>
          </w14:textFill>
        </w:rPr>
        <w:t>2）开关设备单独运输的零部件应有标志，便于用户安装装配。</w:t>
      </w:r>
    </w:p>
    <w:p>
      <w:pPr>
        <w:adjustRightInd w:val="0"/>
        <w:snapToGrid w:val="0"/>
        <w:spacing w:line="360" w:lineRule="auto"/>
        <w:ind w:firstLine="420" w:firstLineChars="200"/>
        <w:rPr>
          <w:rFonts w:ascii="宋体" w:hAnsi="宋体" w:cs="宋体-18030"/>
          <w:color w:val="000000" w:themeColor="text1"/>
          <w:szCs w:val="21"/>
          <w14:textFill>
            <w14:solidFill>
              <w14:schemeClr w14:val="tx1"/>
            </w14:solidFill>
          </w14:textFill>
        </w:rPr>
      </w:pPr>
      <w:r>
        <w:rPr>
          <w:rFonts w:ascii="宋体" w:hAnsi="宋体" w:cs="宋体-18030"/>
          <w:color w:val="000000" w:themeColor="text1"/>
          <w:szCs w:val="21"/>
          <w14:textFill>
            <w14:solidFill>
              <w14:schemeClr w14:val="tx1"/>
            </w14:solidFill>
          </w14:textFill>
        </w:rPr>
        <w:t>3）开关设备整体产品或分别运输的部件，都要适合于运输及装卸的要求。</w:t>
      </w:r>
    </w:p>
    <w:p>
      <w:pPr>
        <w:adjustRightInd w:val="0"/>
        <w:snapToGrid w:val="0"/>
        <w:spacing w:line="360" w:lineRule="auto"/>
        <w:ind w:firstLine="420" w:firstLineChars="200"/>
        <w:rPr>
          <w:rFonts w:ascii="宋体" w:hAnsi="宋体" w:cs="宋体-18030"/>
          <w:color w:val="000000" w:themeColor="text1"/>
          <w:szCs w:val="21"/>
          <w14:textFill>
            <w14:solidFill>
              <w14:schemeClr w14:val="tx1"/>
            </w14:solidFill>
          </w14:textFill>
        </w:rPr>
      </w:pPr>
      <w:r>
        <w:rPr>
          <w:rFonts w:ascii="宋体" w:hAnsi="宋体" w:cs="宋体-18030"/>
          <w:color w:val="000000" w:themeColor="text1"/>
          <w:szCs w:val="21"/>
          <w14:textFill>
            <w14:solidFill>
              <w14:schemeClr w14:val="tx1"/>
            </w14:solidFill>
          </w14:textFill>
        </w:rPr>
        <w:t>4）制造厂应提供按全部解体检修用的备品备件和装用机具，随同产品发运。</w:t>
      </w:r>
    </w:p>
    <w:p>
      <w:pPr>
        <w:adjustRightInd w:val="0"/>
        <w:snapToGrid w:val="0"/>
        <w:spacing w:line="360" w:lineRule="auto"/>
        <w:ind w:firstLine="420" w:firstLineChars="200"/>
        <w:rPr>
          <w:rFonts w:ascii="宋体" w:hAnsi="宋体" w:cs="宋体-18030"/>
          <w:color w:val="000000" w:themeColor="text1"/>
          <w:szCs w:val="21"/>
          <w14:textFill>
            <w14:solidFill>
              <w14:schemeClr w14:val="tx1"/>
            </w14:solidFill>
          </w14:textFill>
        </w:rPr>
      </w:pPr>
      <w:r>
        <w:rPr>
          <w:rFonts w:ascii="宋体" w:hAnsi="宋体" w:cs="宋体-18030"/>
          <w:color w:val="000000" w:themeColor="text1"/>
          <w:szCs w:val="21"/>
          <w14:textFill>
            <w14:solidFill>
              <w14:schemeClr w14:val="tx1"/>
            </w14:solidFill>
          </w14:textFill>
        </w:rPr>
        <w:t>随同运输的产品应附有装箱清单，产品所需提供的技术资料应完整无缺。</w:t>
      </w:r>
    </w:p>
    <w:p>
      <w:pPr>
        <w:pStyle w:val="3"/>
        <w:numPr>
          <w:ilvl w:val="1"/>
          <w:numId w:val="0"/>
        </w:numPr>
        <w:rPr>
          <w:rFonts w:ascii="黑体" w:hAnsi="黑体" w:eastAsia="黑体"/>
          <w:color w:val="000000" w:themeColor="text1"/>
          <w14:textFill>
            <w14:solidFill>
              <w14:schemeClr w14:val="tx1"/>
            </w14:solidFill>
          </w14:textFill>
        </w:rPr>
      </w:pPr>
      <w:bookmarkStart w:id="183" w:name="_Toc276301530"/>
      <w:bookmarkStart w:id="184" w:name="_Toc276490920"/>
      <w:bookmarkStart w:id="185" w:name="_Toc276492438"/>
      <w:bookmarkStart w:id="186" w:name="_Toc511891220"/>
      <w:bookmarkStart w:id="187" w:name="_Toc282433762"/>
      <w:bookmarkStart w:id="188" w:name="_Toc279695211"/>
      <w:bookmarkStart w:id="189" w:name="_Toc177995347"/>
      <w:bookmarkStart w:id="190" w:name="_Toc293332488"/>
      <w:bookmarkStart w:id="191" w:name="_Toc282993366"/>
      <w:r>
        <w:rPr>
          <w:rFonts w:ascii="黑体" w:hAnsi="黑体" w:eastAsia="黑体"/>
          <w:color w:val="000000" w:themeColor="text1"/>
          <w14:textFill>
            <w14:solidFill>
              <w14:schemeClr w14:val="tx1"/>
            </w14:solidFill>
          </w14:textFill>
        </w:rPr>
        <w:t xml:space="preserve">9.4 </w:t>
      </w:r>
      <w:r>
        <w:rPr>
          <w:rFonts w:hint="eastAsia" w:ascii="黑体" w:hAnsi="黑体" w:eastAsia="黑体"/>
          <w:color w:val="000000" w:themeColor="text1"/>
          <w14:textFill>
            <w14:solidFill>
              <w14:schemeClr w14:val="tx1"/>
            </w14:solidFill>
          </w14:textFill>
        </w:rPr>
        <w:t>安装</w:t>
      </w:r>
      <w:bookmarkEnd w:id="183"/>
      <w:bookmarkEnd w:id="184"/>
      <w:bookmarkEnd w:id="185"/>
      <w:r>
        <w:rPr>
          <w:rFonts w:hint="eastAsia" w:ascii="黑体" w:hAnsi="黑体" w:eastAsia="黑体"/>
          <w:color w:val="000000" w:themeColor="text1"/>
          <w14:textFill>
            <w14:solidFill>
              <w14:schemeClr w14:val="tx1"/>
            </w14:solidFill>
          </w14:textFill>
        </w:rPr>
        <w:t>指导</w:t>
      </w:r>
      <w:bookmarkEnd w:id="186"/>
      <w:bookmarkEnd w:id="187"/>
      <w:bookmarkEnd w:id="188"/>
      <w:bookmarkEnd w:id="189"/>
      <w:bookmarkEnd w:id="190"/>
      <w:bookmarkEnd w:id="191"/>
    </w:p>
    <w:p>
      <w:pPr>
        <w:adjustRightInd w:val="0"/>
        <w:snapToGrid w:val="0"/>
        <w:spacing w:line="360" w:lineRule="auto"/>
        <w:ind w:firstLine="420" w:firstLineChars="200"/>
        <w:rPr>
          <w:rFonts w:ascii="宋体" w:hAnsi="宋体" w:cs="宋体-18030"/>
          <w:color w:val="000000" w:themeColor="text1"/>
          <w:szCs w:val="21"/>
          <w14:textFill>
            <w14:solidFill>
              <w14:schemeClr w14:val="tx1"/>
            </w14:solidFill>
          </w14:textFill>
        </w:rPr>
      </w:pPr>
      <w:r>
        <w:rPr>
          <w:rFonts w:hint="eastAsia" w:ascii="宋体" w:hAnsi="宋体" w:cs="宋体-18030"/>
          <w:color w:val="000000" w:themeColor="text1"/>
          <w:szCs w:val="21"/>
          <w14:textFill>
            <w14:solidFill>
              <w14:schemeClr w14:val="tx1"/>
            </w14:solidFill>
          </w14:textFill>
        </w:rPr>
        <w:t>制造厂在安装和启动时应安排技术人员提供现场安装指导服务，提出技术建议，并有对运行人员提供相关培训的义务。</w:t>
      </w:r>
    </w:p>
    <w:p>
      <w:pPr>
        <w:pStyle w:val="3"/>
        <w:numPr>
          <w:ilvl w:val="1"/>
          <w:numId w:val="0"/>
        </w:numPr>
        <w:rPr>
          <w:rFonts w:ascii="黑体" w:hAnsi="黑体" w:eastAsia="黑体"/>
          <w:color w:val="000000" w:themeColor="text1"/>
          <w14:textFill>
            <w14:solidFill>
              <w14:schemeClr w14:val="tx1"/>
            </w14:solidFill>
          </w14:textFill>
        </w:rPr>
      </w:pPr>
      <w:bookmarkStart w:id="192" w:name="_Toc282433763"/>
      <w:bookmarkStart w:id="193" w:name="_Toc282993367"/>
      <w:bookmarkStart w:id="194" w:name="_Toc293332489"/>
      <w:bookmarkStart w:id="195" w:name="_Toc177995348"/>
      <w:bookmarkStart w:id="196" w:name="_Toc511891221"/>
      <w:r>
        <w:rPr>
          <w:rFonts w:ascii="黑体" w:hAnsi="黑体" w:eastAsia="黑体"/>
          <w:color w:val="000000" w:themeColor="text1"/>
          <w14:textFill>
            <w14:solidFill>
              <w14:schemeClr w14:val="tx1"/>
            </w14:solidFill>
          </w14:textFill>
        </w:rPr>
        <w:t xml:space="preserve">9.5 </w:t>
      </w:r>
      <w:r>
        <w:rPr>
          <w:rFonts w:hint="eastAsia" w:ascii="黑体" w:hAnsi="黑体" w:eastAsia="黑体"/>
          <w:color w:val="000000" w:themeColor="text1"/>
          <w14:textFill>
            <w14:solidFill>
              <w14:schemeClr w14:val="tx1"/>
            </w14:solidFill>
          </w14:textFill>
        </w:rPr>
        <w:t>质量保证</w:t>
      </w:r>
      <w:bookmarkEnd w:id="192"/>
      <w:bookmarkEnd w:id="193"/>
      <w:bookmarkEnd w:id="194"/>
      <w:bookmarkEnd w:id="195"/>
      <w:bookmarkEnd w:id="196"/>
    </w:p>
    <w:p>
      <w:pPr>
        <w:adjustRightInd w:val="0"/>
        <w:snapToGrid w:val="0"/>
        <w:spacing w:line="360" w:lineRule="auto"/>
        <w:ind w:firstLine="420" w:firstLineChars="200"/>
        <w:rPr>
          <w:rFonts w:ascii="宋体" w:hAnsi="宋体" w:cs="宋体-18030"/>
          <w:color w:val="000000" w:themeColor="text1"/>
          <w:szCs w:val="21"/>
          <w14:textFill>
            <w14:solidFill>
              <w14:schemeClr w14:val="tx1"/>
            </w14:solidFill>
          </w14:textFill>
        </w:rPr>
      </w:pPr>
      <w:r>
        <w:rPr>
          <w:rFonts w:ascii="宋体" w:hAnsi="宋体" w:cs="宋体-18030"/>
          <w:color w:val="000000" w:themeColor="text1"/>
          <w:szCs w:val="21"/>
          <w14:textFill>
            <w14:solidFill>
              <w14:schemeClr w14:val="tx1"/>
            </w14:solidFill>
          </w14:textFill>
        </w:rPr>
        <w:t xml:space="preserve">1）全部设备必须是全新的, </w:t>
      </w:r>
      <w:r>
        <w:rPr>
          <w:rFonts w:hint="eastAsia" w:ascii="宋体" w:hAnsi="宋体" w:cs="宋体-18030"/>
          <w:color w:val="000000" w:themeColor="text1"/>
          <w:szCs w:val="21"/>
          <w14:textFill>
            <w14:solidFill>
              <w14:schemeClr w14:val="tx1"/>
            </w14:solidFill>
          </w14:textFill>
        </w:rPr>
        <w:t>持久耐用的</w:t>
      </w:r>
      <w:r>
        <w:rPr>
          <w:rFonts w:ascii="宋体" w:hAnsi="宋体" w:cs="宋体-18030"/>
          <w:color w:val="000000" w:themeColor="text1"/>
          <w:szCs w:val="21"/>
          <w14:textFill>
            <w14:solidFill>
              <w14:schemeClr w14:val="tx1"/>
            </w14:solidFill>
          </w14:textFill>
        </w:rPr>
        <w:t>,应满足作为一个完整产品所能满足的全部要求。投标方应保证设备在规定的使用条件下运行、并按使用说明书进行安装和维护、预期寿命应不少于30年。</w:t>
      </w:r>
    </w:p>
    <w:p>
      <w:pPr>
        <w:adjustRightInd w:val="0"/>
        <w:snapToGrid w:val="0"/>
        <w:spacing w:line="360" w:lineRule="auto"/>
        <w:ind w:firstLine="420" w:firstLineChars="200"/>
        <w:rPr>
          <w:rFonts w:ascii="宋体" w:hAnsi="宋体" w:cs="宋体-18030"/>
          <w:color w:val="000000" w:themeColor="text1"/>
          <w:szCs w:val="21"/>
          <w14:textFill>
            <w14:solidFill>
              <w14:schemeClr w14:val="tx1"/>
            </w14:solidFill>
          </w14:textFill>
        </w:rPr>
      </w:pPr>
      <w:r>
        <w:rPr>
          <w:rFonts w:ascii="宋体" w:hAnsi="宋体" w:cs="宋体-18030"/>
          <w:color w:val="000000" w:themeColor="text1"/>
          <w:szCs w:val="21"/>
          <w14:textFill>
            <w14:solidFill>
              <w14:schemeClr w14:val="tx1"/>
            </w14:solidFill>
          </w14:textFill>
        </w:rPr>
        <w:t>2）投标方应对其整组设备在到货后提供不少于三年的“三包”质量保证。之后如发生产品损坏，投标方应及时为本组装置提供维修部件，并按最近的投标价提供。</w:t>
      </w:r>
    </w:p>
    <w:p>
      <w:pPr>
        <w:adjustRightInd w:val="0"/>
        <w:snapToGrid w:val="0"/>
        <w:spacing w:line="360" w:lineRule="auto"/>
        <w:ind w:firstLine="420" w:firstLineChars="200"/>
        <w:rPr>
          <w:rFonts w:ascii="宋体" w:hAnsi="宋体" w:cs="宋体-18030"/>
          <w:color w:val="000000" w:themeColor="text1"/>
          <w:szCs w:val="21"/>
          <w14:textFill>
            <w14:solidFill>
              <w14:schemeClr w14:val="tx1"/>
            </w14:solidFill>
          </w14:textFill>
        </w:rPr>
      </w:pPr>
      <w:r>
        <w:rPr>
          <w:rFonts w:ascii="宋体" w:hAnsi="宋体" w:cs="宋体-18030"/>
          <w:color w:val="000000" w:themeColor="text1"/>
          <w:szCs w:val="21"/>
          <w14:textFill>
            <w14:solidFill>
              <w14:schemeClr w14:val="tx1"/>
            </w14:solidFill>
          </w14:textFill>
        </w:rPr>
        <w:t xml:space="preserve">3）订购的新型产品除应满足本标准外, </w:t>
      </w:r>
      <w:r>
        <w:rPr>
          <w:rFonts w:hint="eastAsia" w:ascii="宋体" w:hAnsi="宋体" w:cs="宋体-18030"/>
          <w:color w:val="000000" w:themeColor="text1"/>
          <w:szCs w:val="21"/>
          <w14:textFill>
            <w14:solidFill>
              <w14:schemeClr w14:val="tx1"/>
            </w14:solidFill>
          </w14:textFill>
        </w:rPr>
        <w:t>投标方还应提供该产品的鉴定证书。</w:t>
      </w:r>
    </w:p>
    <w:p>
      <w:pPr>
        <w:adjustRightInd w:val="0"/>
        <w:snapToGrid w:val="0"/>
        <w:spacing w:line="360" w:lineRule="auto"/>
        <w:ind w:firstLine="420" w:firstLineChars="200"/>
        <w:rPr>
          <w:rFonts w:ascii="宋体" w:hAnsi="宋体" w:cs="宋体-18030"/>
          <w:color w:val="000000" w:themeColor="text1"/>
          <w:szCs w:val="21"/>
          <w14:textFill>
            <w14:solidFill>
              <w14:schemeClr w14:val="tx1"/>
            </w14:solidFill>
          </w14:textFill>
        </w:rPr>
      </w:pPr>
      <w:r>
        <w:rPr>
          <w:rFonts w:ascii="宋体" w:hAnsi="宋体" w:cs="宋体-18030"/>
          <w:color w:val="000000" w:themeColor="text1"/>
          <w:szCs w:val="21"/>
          <w14:textFill>
            <w14:solidFill>
              <w14:schemeClr w14:val="tx1"/>
            </w14:solidFill>
          </w14:textFill>
        </w:rPr>
        <w:t>4）投标方应保证制造过程中的所有工艺、材料试验等(</w:t>
      </w:r>
      <w:r>
        <w:rPr>
          <w:rFonts w:hint="eastAsia" w:ascii="宋体" w:hAnsi="宋体" w:cs="宋体-18030"/>
          <w:color w:val="000000" w:themeColor="text1"/>
          <w:szCs w:val="21"/>
          <w14:textFill>
            <w14:solidFill>
              <w14:schemeClr w14:val="tx1"/>
            </w14:solidFill>
          </w14:textFill>
        </w:rPr>
        <w:t>包括投标方的外购件在内</w:t>
      </w:r>
      <w:r>
        <w:rPr>
          <w:rFonts w:ascii="宋体" w:hAnsi="宋体" w:cs="宋体-18030"/>
          <w:color w:val="000000" w:themeColor="text1"/>
          <w:szCs w:val="21"/>
          <w14:textFill>
            <w14:solidFill>
              <w14:schemeClr w14:val="tx1"/>
            </w14:solidFill>
          </w14:textFill>
        </w:rPr>
        <w:t>)</w:t>
      </w:r>
      <w:r>
        <w:rPr>
          <w:rFonts w:hint="eastAsia" w:ascii="宋体" w:hAnsi="宋体" w:cs="宋体-18030"/>
          <w:color w:val="000000" w:themeColor="text1"/>
          <w:szCs w:val="21"/>
          <w14:textFill>
            <w14:solidFill>
              <w14:schemeClr w14:val="tx1"/>
            </w14:solidFill>
          </w14:textFill>
        </w:rPr>
        <w:t>均应符合本标准的规定。若招标方根据运行经验指定投标方提供某种外购零部件</w:t>
      </w:r>
      <w:r>
        <w:rPr>
          <w:rFonts w:ascii="宋体" w:hAnsi="宋体" w:cs="宋体-18030"/>
          <w:color w:val="000000" w:themeColor="text1"/>
          <w:szCs w:val="21"/>
          <w14:textFill>
            <w14:solidFill>
              <w14:schemeClr w14:val="tx1"/>
            </w14:solidFill>
          </w14:textFill>
        </w:rPr>
        <w:t xml:space="preserve">, </w:t>
      </w:r>
      <w:r>
        <w:rPr>
          <w:rFonts w:hint="eastAsia" w:ascii="宋体" w:hAnsi="宋体" w:cs="宋体-18030"/>
          <w:color w:val="000000" w:themeColor="text1"/>
          <w:szCs w:val="21"/>
          <w14:textFill>
            <w14:solidFill>
              <w14:schemeClr w14:val="tx1"/>
            </w14:solidFill>
          </w14:textFill>
        </w:rPr>
        <w:t>投标方应积极配合。</w:t>
      </w:r>
    </w:p>
    <w:p>
      <w:pPr>
        <w:adjustRightInd w:val="0"/>
        <w:snapToGrid w:val="0"/>
        <w:spacing w:line="360" w:lineRule="auto"/>
        <w:ind w:firstLine="420" w:firstLineChars="200"/>
        <w:rPr>
          <w:rFonts w:ascii="宋体" w:hAnsi="宋体" w:cs="宋体-18030"/>
          <w:color w:val="000000" w:themeColor="text1"/>
          <w:szCs w:val="21"/>
          <w14:textFill>
            <w14:solidFill>
              <w14:schemeClr w14:val="tx1"/>
            </w14:solidFill>
          </w14:textFill>
        </w:rPr>
      </w:pPr>
      <w:r>
        <w:rPr>
          <w:rFonts w:ascii="宋体" w:hAnsi="宋体" w:cs="宋体-18030"/>
          <w:color w:val="000000" w:themeColor="text1"/>
          <w:szCs w:val="21"/>
          <w14:textFill>
            <w14:solidFill>
              <w14:schemeClr w14:val="tx1"/>
            </w14:solidFill>
          </w14:textFill>
        </w:rPr>
        <w:t xml:space="preserve">5）附属及配套设备必须满足有关行业标准的要求, </w:t>
      </w:r>
      <w:r>
        <w:rPr>
          <w:rFonts w:hint="eastAsia" w:ascii="宋体" w:hAnsi="宋体" w:cs="宋体-18030"/>
          <w:color w:val="000000" w:themeColor="text1"/>
          <w:szCs w:val="21"/>
          <w14:textFill>
            <w14:solidFill>
              <w14:schemeClr w14:val="tx1"/>
            </w14:solidFill>
          </w14:textFill>
        </w:rPr>
        <w:t>并提供试验报告和产品合格证。</w:t>
      </w:r>
    </w:p>
    <w:p>
      <w:pPr>
        <w:adjustRightInd w:val="0"/>
        <w:snapToGrid w:val="0"/>
        <w:spacing w:line="360" w:lineRule="auto"/>
        <w:ind w:firstLine="420" w:firstLineChars="200"/>
        <w:rPr>
          <w:rFonts w:ascii="宋体" w:hAnsi="宋体" w:cs="宋体-18030"/>
          <w:color w:val="000000" w:themeColor="text1"/>
          <w:szCs w:val="21"/>
          <w14:textFill>
            <w14:solidFill>
              <w14:schemeClr w14:val="tx1"/>
            </w14:solidFill>
          </w14:textFill>
        </w:rPr>
      </w:pPr>
      <w:r>
        <w:rPr>
          <w:rFonts w:ascii="宋体" w:hAnsi="宋体" w:cs="宋体-18030"/>
          <w:color w:val="000000" w:themeColor="text1"/>
          <w:szCs w:val="21"/>
          <w14:textFill>
            <w14:solidFill>
              <w14:schemeClr w14:val="tx1"/>
            </w14:solidFill>
          </w14:textFill>
        </w:rPr>
        <w:t xml:space="preserve">6）投标方应有遵守本标准中各条款和工作项目的ISO9000-GB/T19000质量保证体系, </w:t>
      </w:r>
      <w:r>
        <w:rPr>
          <w:rFonts w:hint="eastAsia" w:ascii="宋体" w:hAnsi="宋体" w:cs="宋体-18030"/>
          <w:color w:val="000000" w:themeColor="text1"/>
          <w:szCs w:val="21"/>
          <w14:textFill>
            <w14:solidFill>
              <w14:schemeClr w14:val="tx1"/>
            </w14:solidFill>
          </w14:textFill>
        </w:rPr>
        <w:t>该质量保证体系已经通过国家认证并在正常运转。</w:t>
      </w:r>
    </w:p>
    <w:p>
      <w:pPr>
        <w:adjustRightInd w:val="0"/>
        <w:snapToGrid w:val="0"/>
        <w:spacing w:line="360" w:lineRule="auto"/>
        <w:ind w:firstLine="420" w:firstLineChars="200"/>
        <w:rPr>
          <w:rFonts w:ascii="宋体" w:hAnsi="宋体" w:cs="宋体-18030"/>
          <w:color w:val="000000" w:themeColor="text1"/>
          <w:szCs w:val="21"/>
          <w14:textFill>
            <w14:solidFill>
              <w14:schemeClr w14:val="tx1"/>
            </w14:solidFill>
          </w14:textFill>
        </w:rPr>
      </w:pPr>
      <w:r>
        <w:rPr>
          <w:rFonts w:ascii="宋体" w:hAnsi="宋体" w:cs="宋体-18030"/>
          <w:color w:val="000000" w:themeColor="text1"/>
          <w:szCs w:val="21"/>
          <w14:textFill>
            <w14:solidFill>
              <w14:schemeClr w14:val="tx1"/>
            </w14:solidFill>
          </w14:textFill>
        </w:rPr>
        <w:t>7）</w:t>
      </w:r>
      <w:r>
        <w:rPr>
          <w:rFonts w:hint="eastAsia" w:ascii="宋体" w:hAnsi="宋体" w:cs="宋体-18030"/>
          <w:color w:val="000000" w:themeColor="text1"/>
          <w:szCs w:val="21"/>
          <w14:textFill>
            <w14:solidFill>
              <w14:schemeClr w14:val="tx1"/>
            </w14:solidFill>
          </w14:textFill>
        </w:rPr>
        <w:t>对于在线动作计数及泄漏电流二合一的监测器，要求</w:t>
      </w:r>
      <w:r>
        <w:rPr>
          <w:rFonts w:ascii="宋体" w:hAnsi="宋体" w:cs="宋体-18030"/>
          <w:color w:val="000000" w:themeColor="text1"/>
          <w:szCs w:val="21"/>
          <w14:textFill>
            <w14:solidFill>
              <w14:schemeClr w14:val="tx1"/>
            </w14:solidFill>
          </w14:textFill>
        </w:rPr>
        <w:t>在质保期内，由于投标方设计、材料或工艺的原因所造成的缺陷或故障，投标方应免费负责修理或更换有缺陷的零部件或整机。在质保期外5年内，由于投标方设计、材料或工艺的原因所造成的缺陷或故障率超过1%的部分，投标方应免费负责修理或更换有缺陷的零部件或整机</w:t>
      </w:r>
      <w:r>
        <w:rPr>
          <w:rFonts w:hint="eastAsia" w:ascii="宋体" w:hAnsi="宋体" w:cs="宋体-18030"/>
          <w:color w:val="000000" w:themeColor="text1"/>
          <w:szCs w:val="21"/>
          <w14:textFill>
            <w14:solidFill>
              <w14:schemeClr w14:val="tx1"/>
            </w14:solidFill>
          </w14:textFill>
        </w:rPr>
        <w:t>。</w:t>
      </w:r>
    </w:p>
    <w:p>
      <w:pPr>
        <w:pStyle w:val="2"/>
        <w:numPr>
          <w:ilvl w:val="0"/>
          <w:numId w:val="0"/>
        </w:numPr>
        <w:snapToGrid/>
        <w:spacing w:before="0" w:beforeLines="0" w:line="480" w:lineRule="auto"/>
        <w:rPr>
          <w:rFonts w:ascii="黑体" w:eastAsia="黑体"/>
          <w:color w:val="000000" w:themeColor="text1"/>
          <w14:textFill>
            <w14:solidFill>
              <w14:schemeClr w14:val="tx1"/>
            </w14:solidFill>
          </w14:textFill>
        </w:rPr>
      </w:pPr>
      <w:bookmarkStart w:id="197" w:name="_Toc283011668"/>
      <w:bookmarkStart w:id="198" w:name="_Toc283142590"/>
      <w:bookmarkStart w:id="199" w:name="_Toc293332490"/>
      <w:bookmarkStart w:id="200" w:name="_Toc511891222"/>
      <w:bookmarkStart w:id="201" w:name="_Toc177995349"/>
      <w:bookmarkStart w:id="202" w:name="_Toc282433716"/>
      <w:r>
        <w:rPr>
          <w:rFonts w:ascii="黑体" w:eastAsia="黑体"/>
          <w:color w:val="000000" w:themeColor="text1"/>
          <w14:textFill>
            <w14:solidFill>
              <w14:schemeClr w14:val="tx1"/>
            </w14:solidFill>
          </w14:textFill>
        </w:rPr>
        <w:t>10</w:t>
      </w:r>
      <w:r>
        <w:rPr>
          <w:rFonts w:hint="eastAsia" w:ascii="黑体" w:eastAsia="黑体"/>
          <w:color w:val="000000" w:themeColor="text1"/>
          <w14:textFill>
            <w14:solidFill>
              <w14:schemeClr w14:val="tx1"/>
            </w14:solidFill>
          </w14:textFill>
        </w:rPr>
        <w:t xml:space="preserve"> 设备技术参数和性能要求响应表</w:t>
      </w:r>
      <w:bookmarkEnd w:id="197"/>
      <w:bookmarkEnd w:id="198"/>
      <w:bookmarkEnd w:id="199"/>
      <w:bookmarkEnd w:id="200"/>
      <w:bookmarkEnd w:id="201"/>
      <w:bookmarkEnd w:id="202"/>
    </w:p>
    <w:p>
      <w:pPr>
        <w:adjustRightInd w:val="0"/>
        <w:snapToGrid w:val="0"/>
        <w:spacing w:line="360" w:lineRule="auto"/>
        <w:ind w:firstLine="420" w:firstLineChars="200"/>
        <w:rPr>
          <w:rFonts w:ascii="宋体" w:hAnsi="宋体" w:cs="宋体-18030"/>
          <w:color w:val="000000" w:themeColor="text1"/>
          <w:szCs w:val="21"/>
          <w14:textFill>
            <w14:solidFill>
              <w14:schemeClr w14:val="tx1"/>
            </w14:solidFill>
          </w14:textFill>
        </w:rPr>
      </w:pPr>
      <w:r>
        <w:rPr>
          <w:rFonts w:hint="eastAsia" w:ascii="宋体" w:hAnsi="宋体" w:cs="宋体-18030"/>
          <w:color w:val="000000" w:themeColor="text1"/>
          <w:szCs w:val="21"/>
          <w14:textFill>
            <w14:solidFill>
              <w14:schemeClr w14:val="tx1"/>
            </w14:solidFill>
          </w14:textFill>
        </w:rPr>
        <w:t>投标方应认真逐项填写所供设备技术参数和性能要求响应表中“投标方保证值”栏，不能空格，也不能以“响应”两字代替，不允许改动本表内</w:t>
      </w:r>
      <w:r>
        <w:rPr>
          <w:rFonts w:ascii="宋体" w:hAnsi="宋体" w:cs="宋体-18030"/>
          <w:color w:val="000000" w:themeColor="text1"/>
          <w:szCs w:val="21"/>
          <w14:textFill>
            <w14:solidFill>
              <w14:schemeClr w14:val="tx1"/>
            </w14:solidFill>
          </w14:textFill>
        </w:rPr>
        <w:t xml:space="preserve"> </w:t>
      </w:r>
      <w:r>
        <w:rPr>
          <w:rFonts w:hint="eastAsia" w:ascii="宋体" w:hAnsi="宋体" w:cs="宋体-18030"/>
          <w:color w:val="000000" w:themeColor="text1"/>
          <w:szCs w:val="21"/>
          <w14:textFill>
            <w14:solidFill>
              <w14:schemeClr w14:val="tx1"/>
            </w14:solidFill>
          </w14:textFill>
        </w:rPr>
        <w:t>“投标方保证值”栏之外的数值。如有差异，请填写表</w:t>
      </w:r>
      <w:r>
        <w:rPr>
          <w:rFonts w:ascii="宋体" w:hAnsi="宋体" w:cs="宋体-18030"/>
          <w:color w:val="000000" w:themeColor="text1"/>
          <w:szCs w:val="21"/>
          <w14:textFill>
            <w14:solidFill>
              <w14:schemeClr w14:val="tx1"/>
            </w14:solidFill>
          </w14:textFill>
        </w:rPr>
        <w:t>10.1-1</w:t>
      </w:r>
      <w:r>
        <w:rPr>
          <w:rFonts w:hint="eastAsia" w:ascii="宋体" w:hAnsi="宋体" w:cs="宋体-18030"/>
          <w:color w:val="000000" w:themeColor="text1"/>
          <w:szCs w:val="21"/>
          <w14:textFill>
            <w14:solidFill>
              <w14:schemeClr w14:val="tx1"/>
            </w14:solidFill>
          </w14:textFill>
        </w:rPr>
        <w:t>：技术差异表。</w:t>
      </w:r>
    </w:p>
    <w:p>
      <w:pPr>
        <w:spacing w:line="360" w:lineRule="auto"/>
        <w:jc w:val="center"/>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表</w:t>
      </w:r>
      <w:r>
        <w:rPr>
          <w:rFonts w:ascii="宋体" w:hAnsi="宋体"/>
          <w:color w:val="000000" w:themeColor="text1"/>
          <w:szCs w:val="21"/>
          <w14:textFill>
            <w14:solidFill>
              <w14:schemeClr w14:val="tx1"/>
            </w14:solidFill>
          </w14:textFill>
        </w:rPr>
        <w:t xml:space="preserve">10.1-1   </w:t>
      </w:r>
      <w:r>
        <w:rPr>
          <w:rFonts w:hint="eastAsia" w:ascii="宋体" w:hAnsi="宋体"/>
          <w:color w:val="000000" w:themeColor="text1"/>
          <w:szCs w:val="21"/>
          <w14:textFill>
            <w14:solidFill>
              <w14:schemeClr w14:val="tx1"/>
            </w14:solidFill>
          </w14:textFill>
        </w:rPr>
        <w:t>预制舱</w:t>
      </w:r>
      <w:r>
        <w:rPr>
          <w:rFonts w:ascii="宋体" w:hAnsi="宋体"/>
          <w:color w:val="000000" w:themeColor="text1"/>
          <w:szCs w:val="21"/>
          <w14:textFill>
            <w14:solidFill>
              <w14:schemeClr w14:val="tx1"/>
            </w14:solidFill>
          </w14:textFill>
        </w:rPr>
        <w:t>主要参数</w:t>
      </w:r>
    </w:p>
    <w:tbl>
      <w:tblPr>
        <w:tblStyle w:val="84"/>
        <w:tblW w:w="10632" w:type="dxa"/>
        <w:jc w:val="center"/>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28" w:type="dxa"/>
          <w:bottom w:w="0" w:type="dxa"/>
          <w:right w:w="28" w:type="dxa"/>
        </w:tblCellMar>
      </w:tblPr>
      <w:tblGrid>
        <w:gridCol w:w="632"/>
        <w:gridCol w:w="2326"/>
        <w:gridCol w:w="614"/>
        <w:gridCol w:w="2975"/>
        <w:gridCol w:w="1592"/>
        <w:gridCol w:w="1653"/>
        <w:gridCol w:w="840"/>
      </w:tblGrid>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493" w:hRule="atLeast"/>
          <w:tblHeader/>
          <w:jc w:val="center"/>
        </w:trPr>
        <w:tc>
          <w:tcPr>
            <w:tcW w:w="632" w:type="dxa"/>
            <w:vMerge w:val="restart"/>
            <w:vAlign w:val="center"/>
          </w:tcPr>
          <w:p>
            <w:pPr>
              <w:jc w:val="center"/>
              <w:rPr>
                <w:rFonts w:ascii="宋体" w:hAnsi="宋体"/>
                <w:color w:val="000000" w:themeColor="text1"/>
                <w14:textFill>
                  <w14:solidFill>
                    <w14:schemeClr w14:val="tx1"/>
                  </w14:solidFill>
                </w14:textFill>
              </w:rPr>
            </w:pPr>
            <w:r>
              <w:rPr>
                <w:rFonts w:hint="eastAsia" w:ascii="宋体" w:hAnsi="宋体"/>
                <w:color w:val="000000" w:themeColor="text1"/>
                <w14:textFill>
                  <w14:solidFill>
                    <w14:schemeClr w14:val="tx1"/>
                  </w14:solidFill>
                </w14:textFill>
              </w:rPr>
              <w:t>序号</w:t>
            </w:r>
          </w:p>
        </w:tc>
        <w:tc>
          <w:tcPr>
            <w:tcW w:w="2326" w:type="dxa"/>
            <w:vMerge w:val="restart"/>
            <w:vAlign w:val="center"/>
          </w:tcPr>
          <w:p>
            <w:pPr>
              <w:jc w:val="center"/>
              <w:rPr>
                <w:rFonts w:ascii="宋体" w:hAnsi="宋体"/>
                <w:color w:val="000000" w:themeColor="text1"/>
                <w14:textFill>
                  <w14:solidFill>
                    <w14:schemeClr w14:val="tx1"/>
                  </w14:solidFill>
                </w14:textFill>
              </w:rPr>
            </w:pPr>
            <w:r>
              <w:rPr>
                <w:rFonts w:hint="eastAsia" w:ascii="宋体" w:hAnsi="宋体"/>
                <w:color w:val="000000" w:themeColor="text1"/>
                <w14:textFill>
                  <w14:solidFill>
                    <w14:schemeClr w14:val="tx1"/>
                  </w14:solidFill>
                </w14:textFill>
              </w:rPr>
              <w:t>名</w:t>
            </w:r>
            <w:r>
              <w:rPr>
                <w:rFonts w:ascii="宋体" w:hAnsi="宋体"/>
                <w:color w:val="000000" w:themeColor="text1"/>
                <w14:textFill>
                  <w14:solidFill>
                    <w14:schemeClr w14:val="tx1"/>
                  </w14:solidFill>
                </w14:textFill>
              </w:rPr>
              <w:t xml:space="preserve">  </w:t>
            </w:r>
            <w:r>
              <w:rPr>
                <w:rFonts w:hint="eastAsia" w:ascii="宋体" w:hAnsi="宋体"/>
                <w:color w:val="000000" w:themeColor="text1"/>
                <w14:textFill>
                  <w14:solidFill>
                    <w14:schemeClr w14:val="tx1"/>
                  </w14:solidFill>
                </w14:textFill>
              </w:rPr>
              <w:t>称</w:t>
            </w:r>
          </w:p>
        </w:tc>
        <w:tc>
          <w:tcPr>
            <w:tcW w:w="614" w:type="dxa"/>
            <w:vMerge w:val="restart"/>
            <w:tcBorders>
              <w:right w:val="single" w:color="auto" w:sz="4" w:space="0"/>
            </w:tcBorders>
            <w:vAlign w:val="center"/>
          </w:tcPr>
          <w:p>
            <w:pPr>
              <w:jc w:val="center"/>
              <w:rPr>
                <w:rFonts w:ascii="宋体" w:hAnsi="宋体"/>
                <w:color w:val="000000" w:themeColor="text1"/>
                <w14:textFill>
                  <w14:solidFill>
                    <w14:schemeClr w14:val="tx1"/>
                  </w14:solidFill>
                </w14:textFill>
              </w:rPr>
            </w:pPr>
            <w:r>
              <w:rPr>
                <w:rFonts w:hint="eastAsia" w:ascii="宋体" w:hAnsi="宋体"/>
                <w:color w:val="000000" w:themeColor="text1"/>
                <w14:textFill>
                  <w14:solidFill>
                    <w14:schemeClr w14:val="tx1"/>
                  </w14:solidFill>
                </w14:textFill>
              </w:rPr>
              <w:t>单位</w:t>
            </w:r>
          </w:p>
        </w:tc>
        <w:tc>
          <w:tcPr>
            <w:tcW w:w="4567" w:type="dxa"/>
            <w:gridSpan w:val="2"/>
            <w:tcBorders>
              <w:left w:val="single" w:color="auto" w:sz="4" w:space="0"/>
              <w:bottom w:val="single" w:color="auto" w:sz="4" w:space="0"/>
            </w:tcBorders>
            <w:vAlign w:val="center"/>
          </w:tcPr>
          <w:p>
            <w:pPr>
              <w:jc w:val="center"/>
              <w:rPr>
                <w:rFonts w:ascii="宋体" w:hAnsi="宋体"/>
                <w:color w:val="000000" w:themeColor="text1"/>
                <w14:textFill>
                  <w14:solidFill>
                    <w14:schemeClr w14:val="tx1"/>
                  </w14:solidFill>
                </w14:textFill>
              </w:rPr>
            </w:pPr>
            <w:r>
              <w:rPr>
                <w:rFonts w:hint="eastAsia" w:ascii="宋体" w:hAnsi="宋体"/>
                <w:color w:val="000000" w:themeColor="text1"/>
                <w14:textFill>
                  <w14:solidFill>
                    <w14:schemeClr w14:val="tx1"/>
                  </w14:solidFill>
                </w14:textFill>
              </w:rPr>
              <w:t>项目要求</w:t>
            </w:r>
          </w:p>
        </w:tc>
        <w:tc>
          <w:tcPr>
            <w:tcW w:w="2493" w:type="dxa"/>
            <w:gridSpan w:val="2"/>
            <w:tcBorders>
              <w:bottom w:val="single" w:color="auto" w:sz="4" w:space="0"/>
            </w:tcBorders>
            <w:vAlign w:val="center"/>
          </w:tcPr>
          <w:p>
            <w:pPr>
              <w:jc w:val="center"/>
              <w:rPr>
                <w:rFonts w:ascii="宋体" w:hAnsi="宋体"/>
                <w:color w:val="000000" w:themeColor="text1"/>
                <w14:textFill>
                  <w14:solidFill>
                    <w14:schemeClr w14:val="tx1"/>
                  </w14:solidFill>
                </w14:textFill>
              </w:rPr>
            </w:pPr>
            <w:r>
              <w:rPr>
                <w:rFonts w:hint="eastAsia" w:ascii="宋体" w:hAnsi="宋体"/>
                <w:color w:val="000000" w:themeColor="text1"/>
                <w14:textFill>
                  <w14:solidFill>
                    <w14:schemeClr w14:val="tx1"/>
                  </w14:solidFill>
                </w14:textFill>
              </w:rPr>
              <w:t>投标方保证</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435" w:hRule="atLeast"/>
          <w:tblHeader/>
          <w:jc w:val="center"/>
        </w:trPr>
        <w:tc>
          <w:tcPr>
            <w:tcW w:w="632" w:type="dxa"/>
            <w:vMerge w:val="continue"/>
            <w:vAlign w:val="center"/>
          </w:tcPr>
          <w:p>
            <w:pPr>
              <w:jc w:val="center"/>
              <w:rPr>
                <w:rFonts w:ascii="宋体" w:hAnsi="宋体"/>
                <w:color w:val="000000" w:themeColor="text1"/>
                <w14:textFill>
                  <w14:solidFill>
                    <w14:schemeClr w14:val="tx1"/>
                  </w14:solidFill>
                </w14:textFill>
              </w:rPr>
            </w:pPr>
          </w:p>
        </w:tc>
        <w:tc>
          <w:tcPr>
            <w:tcW w:w="2326" w:type="dxa"/>
            <w:vMerge w:val="continue"/>
            <w:vAlign w:val="center"/>
          </w:tcPr>
          <w:p>
            <w:pPr>
              <w:jc w:val="center"/>
              <w:rPr>
                <w:rFonts w:ascii="宋体" w:hAnsi="宋体"/>
                <w:color w:val="000000" w:themeColor="text1"/>
                <w14:textFill>
                  <w14:solidFill>
                    <w14:schemeClr w14:val="tx1"/>
                  </w14:solidFill>
                </w14:textFill>
              </w:rPr>
            </w:pPr>
          </w:p>
        </w:tc>
        <w:tc>
          <w:tcPr>
            <w:tcW w:w="614" w:type="dxa"/>
            <w:vMerge w:val="continue"/>
            <w:tcBorders>
              <w:right w:val="single" w:color="auto" w:sz="4" w:space="0"/>
            </w:tcBorders>
            <w:vAlign w:val="center"/>
          </w:tcPr>
          <w:p>
            <w:pPr>
              <w:jc w:val="center"/>
              <w:rPr>
                <w:rFonts w:ascii="宋体" w:hAnsi="宋体"/>
                <w:color w:val="000000" w:themeColor="text1"/>
                <w14:textFill>
                  <w14:solidFill>
                    <w14:schemeClr w14:val="tx1"/>
                  </w14:solidFill>
                </w14:textFill>
              </w:rPr>
            </w:pPr>
          </w:p>
        </w:tc>
        <w:tc>
          <w:tcPr>
            <w:tcW w:w="2975" w:type="dxa"/>
            <w:tcBorders>
              <w:top w:val="single" w:color="auto" w:sz="4" w:space="0"/>
              <w:left w:val="single" w:color="auto" w:sz="4" w:space="0"/>
              <w:right w:val="single" w:color="auto" w:sz="4" w:space="0"/>
            </w:tcBorders>
            <w:vAlign w:val="center"/>
          </w:tcPr>
          <w:p>
            <w:pPr>
              <w:jc w:val="center"/>
              <w:rPr>
                <w:rFonts w:ascii="宋体" w:hAnsi="宋体"/>
                <w:color w:val="000000" w:themeColor="text1"/>
                <w14:textFill>
                  <w14:solidFill>
                    <w14:schemeClr w14:val="tx1"/>
                  </w14:solidFill>
                </w14:textFill>
              </w:rPr>
            </w:pPr>
            <w:r>
              <w:rPr>
                <w:rFonts w:hint="eastAsia" w:ascii="宋体" w:hAnsi="宋体"/>
                <w:color w:val="000000" w:themeColor="text1"/>
                <w14:textFill>
                  <w14:solidFill>
                    <w14:schemeClr w14:val="tx1"/>
                  </w14:solidFill>
                </w14:textFill>
              </w:rPr>
              <w:t>型式、规格</w:t>
            </w:r>
          </w:p>
        </w:tc>
        <w:tc>
          <w:tcPr>
            <w:tcW w:w="1592" w:type="dxa"/>
            <w:tcBorders>
              <w:top w:val="single" w:color="auto" w:sz="4" w:space="0"/>
              <w:left w:val="single" w:color="auto" w:sz="4" w:space="0"/>
            </w:tcBorders>
            <w:vAlign w:val="center"/>
          </w:tcPr>
          <w:p>
            <w:pPr>
              <w:jc w:val="center"/>
              <w:rPr>
                <w:rFonts w:ascii="宋体" w:hAnsi="宋体"/>
                <w:color w:val="000000" w:themeColor="text1"/>
                <w14:textFill>
                  <w14:solidFill>
                    <w14:schemeClr w14:val="tx1"/>
                  </w14:solidFill>
                </w14:textFill>
              </w:rPr>
            </w:pPr>
            <w:r>
              <w:rPr>
                <w:rFonts w:hint="eastAsia" w:ascii="宋体" w:hAnsi="宋体"/>
                <w:color w:val="000000" w:themeColor="text1"/>
                <w14:textFill>
                  <w14:solidFill>
                    <w14:schemeClr w14:val="tx1"/>
                  </w14:solidFill>
                </w14:textFill>
              </w:rPr>
              <w:t>数量（投标方或项目单位填写）</w:t>
            </w:r>
          </w:p>
        </w:tc>
        <w:tc>
          <w:tcPr>
            <w:tcW w:w="1653" w:type="dxa"/>
            <w:tcBorders>
              <w:top w:val="single" w:color="auto" w:sz="4" w:space="0"/>
              <w:right w:val="single" w:color="auto" w:sz="4" w:space="0"/>
            </w:tcBorders>
            <w:vAlign w:val="center"/>
          </w:tcPr>
          <w:p>
            <w:pPr>
              <w:jc w:val="center"/>
              <w:rPr>
                <w:rFonts w:ascii="宋体" w:hAnsi="宋体"/>
                <w:color w:val="000000" w:themeColor="text1"/>
                <w14:textFill>
                  <w14:solidFill>
                    <w14:schemeClr w14:val="tx1"/>
                  </w14:solidFill>
                </w14:textFill>
              </w:rPr>
            </w:pPr>
            <w:r>
              <w:rPr>
                <w:rFonts w:hint="eastAsia" w:ascii="宋体" w:hAnsi="宋体"/>
                <w:color w:val="000000" w:themeColor="text1"/>
                <w14:textFill>
                  <w14:solidFill>
                    <w14:schemeClr w14:val="tx1"/>
                  </w14:solidFill>
                </w14:textFill>
              </w:rPr>
              <w:t>型式、规格</w:t>
            </w:r>
          </w:p>
        </w:tc>
        <w:tc>
          <w:tcPr>
            <w:tcW w:w="840" w:type="dxa"/>
            <w:tcBorders>
              <w:top w:val="single" w:color="auto" w:sz="4" w:space="0"/>
              <w:left w:val="single" w:color="auto" w:sz="4" w:space="0"/>
            </w:tcBorders>
            <w:vAlign w:val="center"/>
          </w:tcPr>
          <w:p>
            <w:pPr>
              <w:jc w:val="center"/>
              <w:rPr>
                <w:rFonts w:ascii="宋体" w:hAnsi="宋体"/>
                <w:color w:val="000000" w:themeColor="text1"/>
                <w14:textFill>
                  <w14:solidFill>
                    <w14:schemeClr w14:val="tx1"/>
                  </w14:solidFill>
                </w14:textFill>
              </w:rPr>
            </w:pPr>
            <w:r>
              <w:rPr>
                <w:rFonts w:hint="eastAsia" w:ascii="宋体" w:hAnsi="宋体"/>
                <w:color w:val="000000" w:themeColor="text1"/>
                <w14:textFill>
                  <w14:solidFill>
                    <w14:schemeClr w14:val="tx1"/>
                  </w14:solidFill>
                </w14:textFill>
              </w:rPr>
              <w:t>数量</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cantSplit/>
          <w:trHeight w:val="450" w:hRule="atLeast"/>
          <w:jc w:val="center"/>
        </w:trPr>
        <w:tc>
          <w:tcPr>
            <w:tcW w:w="632" w:type="dxa"/>
            <w:vAlign w:val="center"/>
          </w:tcPr>
          <w:p>
            <w:pPr>
              <w:jc w:val="center"/>
              <w:rPr>
                <w:rFonts w:ascii="宋体" w:hAnsi="宋体"/>
                <w:color w:val="000000" w:themeColor="text1"/>
                <w:szCs w:val="21"/>
                <w14:textFill>
                  <w14:solidFill>
                    <w14:schemeClr w14:val="tx1"/>
                  </w14:solidFill>
                </w14:textFill>
              </w:rPr>
            </w:pPr>
            <w:r>
              <w:rPr>
                <w:color w:val="000000" w:themeColor="text1"/>
                <w:kern w:val="0"/>
                <w:szCs w:val="21"/>
                <w14:textFill>
                  <w14:solidFill>
                    <w14:schemeClr w14:val="tx1"/>
                  </w14:solidFill>
                </w14:textFill>
              </w:rPr>
              <w:t>1</w:t>
            </w:r>
          </w:p>
        </w:tc>
        <w:tc>
          <w:tcPr>
            <w:tcW w:w="2326" w:type="dxa"/>
            <w:vAlign w:val="center"/>
          </w:tcPr>
          <w:p>
            <w:pPr>
              <w:rPr>
                <w:rFonts w:ascii="宋体" w:hAnsi="宋体"/>
                <w:color w:val="000000" w:themeColor="text1"/>
                <w:szCs w:val="21"/>
                <w14:textFill>
                  <w14:solidFill>
                    <w14:schemeClr w14:val="tx1"/>
                  </w14:solidFill>
                </w14:textFill>
              </w:rPr>
            </w:pPr>
            <w:r>
              <w:rPr>
                <w:rFonts w:hint="eastAsia"/>
                <w:color w:val="000000" w:themeColor="text1"/>
                <w:kern w:val="0"/>
                <w:szCs w:val="21"/>
                <w14:textFill>
                  <w14:solidFill>
                    <w14:schemeClr w14:val="tx1"/>
                  </w14:solidFill>
                </w14:textFill>
              </w:rPr>
              <w:t>配电装置组合预制舱</w:t>
            </w:r>
          </w:p>
        </w:tc>
        <w:tc>
          <w:tcPr>
            <w:tcW w:w="614" w:type="dxa"/>
            <w:tcBorders>
              <w:right w:val="single" w:color="auto" w:sz="4" w:space="0"/>
            </w:tcBorders>
            <w:vAlign w:val="center"/>
          </w:tcPr>
          <w:p>
            <w:pPr>
              <w:rPr>
                <w:rFonts w:ascii="宋体" w:hAnsi="宋体"/>
                <w:color w:val="000000" w:themeColor="text1"/>
                <w:szCs w:val="21"/>
                <w14:textFill>
                  <w14:solidFill>
                    <w14:schemeClr w14:val="tx1"/>
                  </w14:solidFill>
                </w14:textFill>
              </w:rPr>
            </w:pPr>
            <w:r>
              <w:rPr>
                <w:rFonts w:hint="eastAsia"/>
                <w:color w:val="000000" w:themeColor="text1"/>
                <w:kern w:val="0"/>
                <w:szCs w:val="21"/>
                <w14:textFill>
                  <w14:solidFill>
                    <w14:schemeClr w14:val="tx1"/>
                  </w14:solidFill>
                </w14:textFill>
              </w:rPr>
              <w:t>套</w:t>
            </w:r>
          </w:p>
        </w:tc>
        <w:tc>
          <w:tcPr>
            <w:tcW w:w="2975" w:type="dxa"/>
            <w:tcBorders>
              <w:left w:val="single" w:color="auto" w:sz="4" w:space="0"/>
              <w:right w:val="single" w:color="auto" w:sz="4" w:space="0"/>
            </w:tcBorders>
            <w:vAlign w:val="center"/>
          </w:tcPr>
          <w:p>
            <w:pPr>
              <w:rPr>
                <w:rFonts w:ascii="宋体" w:hAnsi="宋体"/>
                <w:color w:val="000000" w:themeColor="text1"/>
                <w:szCs w:val="21"/>
                <w14:textFill>
                  <w14:solidFill>
                    <w14:schemeClr w14:val="tx1"/>
                  </w14:solidFill>
                </w14:textFill>
              </w:rPr>
            </w:pPr>
            <w:r>
              <w:rPr>
                <w:rFonts w:hint="eastAsia"/>
                <w:color w:val="000000" w:themeColor="text1"/>
                <w:kern w:val="0"/>
                <w:szCs w:val="21"/>
                <w14:textFill>
                  <w14:solidFill>
                    <w14:schemeClr w14:val="tx1"/>
                  </w14:solidFill>
                </w14:textFill>
              </w:rPr>
              <w:t>内尺寸不小于图</w:t>
            </w:r>
            <w:r>
              <w:rPr>
                <w:color w:val="000000" w:themeColor="text1"/>
                <w:kern w:val="0"/>
                <w:szCs w:val="21"/>
                <w14:textFill>
                  <w14:solidFill>
                    <w14:schemeClr w14:val="tx1"/>
                  </w14:solidFill>
                </w14:textFill>
              </w:rPr>
              <w:t>2.3-1</w:t>
            </w:r>
            <w:r>
              <w:rPr>
                <w:rFonts w:hint="eastAsia"/>
                <w:color w:val="000000" w:themeColor="text1"/>
                <w:kern w:val="0"/>
                <w:szCs w:val="21"/>
                <w14:textFill>
                  <w14:solidFill>
                    <w14:schemeClr w14:val="tx1"/>
                  </w14:solidFill>
                </w14:textFill>
              </w:rPr>
              <w:t>所标识尺寸，含照明、动力、消防、通风、空调、检修、接地、检修爬梯及附属围栏、扶手等辅助设施，具备</w:t>
            </w:r>
            <w:r>
              <w:rPr>
                <w:rFonts w:hint="eastAsia"/>
                <w:color w:val="000000" w:themeColor="text1"/>
                <w14:textFill>
                  <w14:solidFill>
                    <w14:schemeClr w14:val="tx1"/>
                  </w14:solidFill>
                </w14:textFill>
              </w:rPr>
              <w:t>出入检测、火灾报警及联动控制（含火灾报警内部联动控制及与外部监视设备的联动控制）、可燃气体监测、声光告警、就地人为手动报警、</w:t>
            </w:r>
            <w:r>
              <w:rPr>
                <w:rFonts w:hint="eastAsia" w:ascii="宋体" w:hAnsi="宋体" w:cs="宋体"/>
                <w:color w:val="000000"/>
                <w:szCs w:val="21"/>
                <w:lang w:bidi="ar"/>
              </w:rPr>
              <w:t>烟雾</w:t>
            </w:r>
            <w:r>
              <w:rPr>
                <w:color w:val="000000"/>
                <w:szCs w:val="21"/>
                <w:lang w:bidi="ar"/>
              </w:rPr>
              <w:t>/</w:t>
            </w:r>
            <w:r>
              <w:rPr>
                <w:rFonts w:hint="eastAsia"/>
                <w:color w:val="000000" w:themeColor="text1"/>
                <w14:textFill>
                  <w14:solidFill>
                    <w14:schemeClr w14:val="tx1"/>
                  </w14:solidFill>
                </w14:textFill>
              </w:rPr>
              <w:t>温度</w:t>
            </w:r>
            <w:r>
              <w:rPr>
                <w:color w:val="000000" w:themeColor="text1"/>
                <w14:textFill>
                  <w14:solidFill>
                    <w14:schemeClr w14:val="tx1"/>
                  </w14:solidFill>
                </w14:textFill>
              </w:rPr>
              <w:t>/</w:t>
            </w:r>
            <w:r>
              <w:rPr>
                <w:rFonts w:hint="eastAsia"/>
                <w:color w:val="000000" w:themeColor="text1"/>
                <w14:textFill>
                  <w14:solidFill>
                    <w14:schemeClr w14:val="tx1"/>
                  </w14:solidFill>
                </w14:textFill>
              </w:rPr>
              <w:t>湿度</w:t>
            </w:r>
            <w:r>
              <w:rPr>
                <w:color w:val="000000" w:themeColor="text1"/>
                <w14:textFill>
                  <w14:solidFill>
                    <w14:schemeClr w14:val="tx1"/>
                  </w14:solidFill>
                </w14:textFill>
              </w:rPr>
              <w:t>/</w:t>
            </w:r>
            <w:r>
              <w:rPr>
                <w:rFonts w:hint="eastAsia"/>
                <w:color w:val="000000" w:themeColor="text1"/>
                <w14:textFill>
                  <w14:solidFill>
                    <w14:schemeClr w14:val="tx1"/>
                  </w14:solidFill>
                </w14:textFill>
              </w:rPr>
              <w:t>风速监测、出入权限管理、高压侧通道两侧可见光及红外监测、电缆层高温预警、电缆层水位高度预警、储能站区边界安保监测、主机集成等功能</w:t>
            </w:r>
          </w:p>
        </w:tc>
        <w:tc>
          <w:tcPr>
            <w:tcW w:w="1592" w:type="dxa"/>
            <w:tcBorders>
              <w:left w:val="single" w:color="auto" w:sz="4" w:space="0"/>
            </w:tcBorders>
            <w:vAlign w:val="center"/>
          </w:tcPr>
          <w:p>
            <w:pPr>
              <w:jc w:val="left"/>
              <w:rPr>
                <w:rFonts w:ascii="宋体" w:hAnsi="宋体"/>
                <w:color w:val="000000" w:themeColor="text1"/>
                <w:szCs w:val="21"/>
                <w14:textFill>
                  <w14:solidFill>
                    <w14:schemeClr w14:val="tx1"/>
                  </w14:solidFill>
                </w14:textFill>
              </w:rPr>
            </w:pPr>
            <w:r>
              <w:rPr>
                <w:color w:val="000000" w:themeColor="text1"/>
                <w:kern w:val="0"/>
                <w:szCs w:val="21"/>
                <w14:textFill>
                  <w14:solidFill>
                    <w14:schemeClr w14:val="tx1"/>
                  </w14:solidFill>
                </w14:textFill>
              </w:rPr>
              <w:t>1</w:t>
            </w:r>
          </w:p>
        </w:tc>
        <w:tc>
          <w:tcPr>
            <w:tcW w:w="1653" w:type="dxa"/>
            <w:tcBorders>
              <w:right w:val="single" w:color="auto" w:sz="4" w:space="0"/>
            </w:tcBorders>
            <w:vAlign w:val="center"/>
          </w:tcPr>
          <w:p>
            <w:pPr>
              <w:rPr>
                <w:rFonts w:ascii="宋体" w:hAnsi="宋体"/>
                <w:color w:val="000000" w:themeColor="text1"/>
                <w:szCs w:val="21"/>
                <w14:textFill>
                  <w14:solidFill>
                    <w14:schemeClr w14:val="tx1"/>
                  </w14:solidFill>
                </w14:textFill>
              </w:rPr>
            </w:pPr>
          </w:p>
        </w:tc>
        <w:tc>
          <w:tcPr>
            <w:tcW w:w="840" w:type="dxa"/>
            <w:tcBorders>
              <w:left w:val="single" w:color="auto" w:sz="4" w:space="0"/>
            </w:tcBorders>
          </w:tcPr>
          <w:p>
            <w:pPr>
              <w:rPr>
                <w:rFonts w:ascii="宋体" w:hAnsi="宋体"/>
                <w:color w:val="000000" w:themeColor="text1"/>
                <w14:textFill>
                  <w14:solidFill>
                    <w14:schemeClr w14:val="tx1"/>
                  </w14:solidFill>
                </w14:textFill>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cantSplit/>
          <w:trHeight w:val="450" w:hRule="atLeast"/>
          <w:jc w:val="center"/>
        </w:trPr>
        <w:tc>
          <w:tcPr>
            <w:tcW w:w="632" w:type="dxa"/>
            <w:vAlign w:val="center"/>
          </w:tcPr>
          <w:p>
            <w:pPr>
              <w:jc w:val="center"/>
              <w:rPr>
                <w:color w:val="000000" w:themeColor="text1"/>
                <w:kern w:val="0"/>
                <w:szCs w:val="21"/>
                <w14:textFill>
                  <w14:solidFill>
                    <w14:schemeClr w14:val="tx1"/>
                  </w14:solidFill>
                </w14:textFill>
              </w:rPr>
            </w:pPr>
            <w:r>
              <w:rPr>
                <w:color w:val="000000" w:themeColor="text1"/>
                <w:kern w:val="0"/>
                <w:szCs w:val="21"/>
                <w14:textFill>
                  <w14:solidFill>
                    <w14:schemeClr w14:val="tx1"/>
                  </w14:solidFill>
                </w14:textFill>
              </w:rPr>
              <w:t>2</w:t>
            </w:r>
          </w:p>
        </w:tc>
        <w:tc>
          <w:tcPr>
            <w:tcW w:w="2326" w:type="dxa"/>
            <w:vAlign w:val="center"/>
          </w:tcPr>
          <w:p>
            <w:pPr>
              <w:rPr>
                <w:color w:val="000000" w:themeColor="text1"/>
                <w:kern w:val="0"/>
                <w:szCs w:val="21"/>
                <w14:textFill>
                  <w14:solidFill>
                    <w14:schemeClr w14:val="tx1"/>
                  </w14:solidFill>
                </w14:textFill>
              </w:rPr>
            </w:pPr>
            <w:r>
              <w:rPr>
                <w:color w:val="000000" w:themeColor="text1"/>
                <w:kern w:val="0"/>
                <w:szCs w:val="21"/>
                <w14:textFill>
                  <w14:solidFill>
                    <w14:schemeClr w14:val="tx1"/>
                  </w14:solidFill>
                </w14:textFill>
              </w:rPr>
              <w:t>SMES</w:t>
            </w:r>
            <w:r>
              <w:rPr>
                <w:rFonts w:hint="eastAsia"/>
                <w:color w:val="000000" w:themeColor="text1"/>
                <w:kern w:val="0"/>
                <w:szCs w:val="21"/>
                <w14:textFill>
                  <w14:solidFill>
                    <w14:schemeClr w14:val="tx1"/>
                  </w14:solidFill>
                </w14:textFill>
              </w:rPr>
              <w:t>及升压变流系统组合预制舱</w:t>
            </w:r>
          </w:p>
        </w:tc>
        <w:tc>
          <w:tcPr>
            <w:tcW w:w="614" w:type="dxa"/>
            <w:tcBorders>
              <w:right w:val="single" w:color="auto" w:sz="4" w:space="0"/>
            </w:tcBorders>
            <w:vAlign w:val="center"/>
          </w:tcPr>
          <w:p>
            <w:pPr>
              <w:rPr>
                <w:color w:val="000000" w:themeColor="text1"/>
                <w:kern w:val="0"/>
                <w:szCs w:val="21"/>
                <w14:textFill>
                  <w14:solidFill>
                    <w14:schemeClr w14:val="tx1"/>
                  </w14:solidFill>
                </w14:textFill>
              </w:rPr>
            </w:pPr>
            <w:r>
              <w:rPr>
                <w:rFonts w:hint="eastAsia"/>
                <w:color w:val="000000" w:themeColor="text1"/>
                <w:kern w:val="0"/>
                <w:szCs w:val="21"/>
                <w14:textFill>
                  <w14:solidFill>
                    <w14:schemeClr w14:val="tx1"/>
                  </w14:solidFill>
                </w14:textFill>
              </w:rPr>
              <w:t>套</w:t>
            </w:r>
          </w:p>
        </w:tc>
        <w:tc>
          <w:tcPr>
            <w:tcW w:w="2975" w:type="dxa"/>
            <w:tcBorders>
              <w:left w:val="single" w:color="auto" w:sz="4" w:space="0"/>
              <w:right w:val="single" w:color="auto" w:sz="4" w:space="0"/>
            </w:tcBorders>
            <w:vAlign w:val="center"/>
          </w:tcPr>
          <w:p>
            <w:pPr>
              <w:rPr>
                <w:rFonts w:ascii="宋体" w:hAnsi="宋体"/>
                <w:color w:val="000000" w:themeColor="text1"/>
                <w:szCs w:val="21"/>
                <w14:textFill>
                  <w14:solidFill>
                    <w14:schemeClr w14:val="tx1"/>
                  </w14:solidFill>
                </w14:textFill>
              </w:rPr>
            </w:pPr>
            <w:r>
              <w:rPr>
                <w:rFonts w:hint="eastAsia"/>
                <w:color w:val="000000" w:themeColor="text1"/>
                <w:kern w:val="0"/>
                <w:szCs w:val="21"/>
                <w14:textFill>
                  <w14:solidFill>
                    <w14:schemeClr w14:val="tx1"/>
                  </w14:solidFill>
                </w14:textFill>
              </w:rPr>
              <w:t>内尺寸不小于图</w:t>
            </w:r>
            <w:r>
              <w:rPr>
                <w:color w:val="000000" w:themeColor="text1"/>
                <w:kern w:val="0"/>
                <w:szCs w:val="21"/>
                <w14:textFill>
                  <w14:solidFill>
                    <w14:schemeClr w14:val="tx1"/>
                  </w14:solidFill>
                </w14:textFill>
              </w:rPr>
              <w:t>2.3-2</w:t>
            </w:r>
            <w:r>
              <w:rPr>
                <w:rFonts w:hint="eastAsia"/>
                <w:color w:val="000000" w:themeColor="text1"/>
                <w:kern w:val="0"/>
                <w:szCs w:val="21"/>
                <w14:textFill>
                  <w14:solidFill>
                    <w14:schemeClr w14:val="tx1"/>
                  </w14:solidFill>
                </w14:textFill>
              </w:rPr>
              <w:t>所标识尺寸，含照明、动力、消防、通风、空调、检修、接地、检修爬梯及附属围栏、扶手等辅助设施，具备</w:t>
            </w:r>
            <w:r>
              <w:rPr>
                <w:rFonts w:hint="eastAsia"/>
                <w:color w:val="000000" w:themeColor="text1"/>
                <w14:textFill>
                  <w14:solidFill>
                    <w14:schemeClr w14:val="tx1"/>
                  </w14:solidFill>
                </w14:textFill>
              </w:rPr>
              <w:t>出入检测、火灾报警及联动控制</w:t>
            </w:r>
            <w:r>
              <w:rPr>
                <w:rFonts w:hint="eastAsia" w:ascii="宋体" w:hAnsi="宋体" w:cs="宋体"/>
                <w:color w:val="000000"/>
                <w:szCs w:val="21"/>
                <w:lang w:bidi="ar"/>
              </w:rPr>
              <w:t>（含火灾报警内部联动控制及与外部监视设备的联动控制）</w:t>
            </w:r>
            <w:r>
              <w:rPr>
                <w:rFonts w:hint="eastAsia"/>
                <w:color w:val="000000" w:themeColor="text1"/>
                <w14:textFill>
                  <w14:solidFill>
                    <w14:schemeClr w14:val="tx1"/>
                  </w14:solidFill>
                </w14:textFill>
              </w:rPr>
              <w:t>、可燃气体监测、声光告警、就地人为手动报警、</w:t>
            </w:r>
            <w:r>
              <w:rPr>
                <w:rFonts w:hint="eastAsia" w:ascii="宋体" w:hAnsi="宋体" w:cs="宋体"/>
                <w:color w:val="000000"/>
                <w:szCs w:val="21"/>
                <w:lang w:bidi="ar"/>
              </w:rPr>
              <w:t>烟雾</w:t>
            </w:r>
            <w:r>
              <w:rPr>
                <w:color w:val="000000"/>
                <w:szCs w:val="21"/>
                <w:lang w:bidi="ar"/>
              </w:rPr>
              <w:t>/</w:t>
            </w:r>
            <w:r>
              <w:rPr>
                <w:rFonts w:hint="eastAsia"/>
                <w:color w:val="000000" w:themeColor="text1"/>
                <w14:textFill>
                  <w14:solidFill>
                    <w14:schemeClr w14:val="tx1"/>
                  </w14:solidFill>
                </w14:textFill>
              </w:rPr>
              <w:t>温度</w:t>
            </w:r>
            <w:r>
              <w:rPr>
                <w:color w:val="000000" w:themeColor="text1"/>
                <w14:textFill>
                  <w14:solidFill>
                    <w14:schemeClr w14:val="tx1"/>
                  </w14:solidFill>
                </w14:textFill>
              </w:rPr>
              <w:t>/</w:t>
            </w:r>
            <w:r>
              <w:rPr>
                <w:rFonts w:hint="eastAsia"/>
                <w:color w:val="000000" w:themeColor="text1"/>
                <w14:textFill>
                  <w14:solidFill>
                    <w14:schemeClr w14:val="tx1"/>
                  </w14:solidFill>
                </w14:textFill>
              </w:rPr>
              <w:t>湿度</w:t>
            </w:r>
            <w:r>
              <w:rPr>
                <w:color w:val="000000" w:themeColor="text1"/>
                <w14:textFill>
                  <w14:solidFill>
                    <w14:schemeClr w14:val="tx1"/>
                  </w14:solidFill>
                </w14:textFill>
              </w:rPr>
              <w:t>/</w:t>
            </w:r>
            <w:r>
              <w:rPr>
                <w:rFonts w:hint="eastAsia"/>
                <w:color w:val="000000" w:themeColor="text1"/>
                <w14:textFill>
                  <w14:solidFill>
                    <w14:schemeClr w14:val="tx1"/>
                  </w14:solidFill>
                </w14:textFill>
              </w:rPr>
              <w:t>风速监测、出入权限管理、升压变流区域通道两侧可见光及红外监测、变压器红外监测、电缆层高温预警、电缆层水位高度预警、超导磁体区域告警等功能</w:t>
            </w:r>
          </w:p>
        </w:tc>
        <w:tc>
          <w:tcPr>
            <w:tcW w:w="1592" w:type="dxa"/>
            <w:tcBorders>
              <w:left w:val="single" w:color="auto" w:sz="4" w:space="0"/>
            </w:tcBorders>
            <w:vAlign w:val="center"/>
          </w:tcPr>
          <w:p>
            <w:pPr>
              <w:jc w:val="left"/>
              <w:rPr>
                <w:color w:val="000000" w:themeColor="text1"/>
                <w:kern w:val="0"/>
                <w:szCs w:val="21"/>
                <w14:textFill>
                  <w14:solidFill>
                    <w14:schemeClr w14:val="tx1"/>
                  </w14:solidFill>
                </w14:textFill>
              </w:rPr>
            </w:pPr>
            <w:r>
              <w:rPr>
                <w:color w:val="000000" w:themeColor="text1"/>
                <w:kern w:val="0"/>
                <w:szCs w:val="21"/>
                <w14:textFill>
                  <w14:solidFill>
                    <w14:schemeClr w14:val="tx1"/>
                  </w14:solidFill>
                </w14:textFill>
              </w:rPr>
              <w:t>1</w:t>
            </w:r>
          </w:p>
        </w:tc>
        <w:tc>
          <w:tcPr>
            <w:tcW w:w="1653" w:type="dxa"/>
            <w:tcBorders>
              <w:right w:val="single" w:color="auto" w:sz="4" w:space="0"/>
            </w:tcBorders>
            <w:vAlign w:val="center"/>
          </w:tcPr>
          <w:p>
            <w:pPr>
              <w:ind w:right="-107" w:rightChars="-51"/>
              <w:rPr>
                <w:rFonts w:ascii="宋体" w:hAnsi="宋体"/>
                <w:color w:val="000000" w:themeColor="text1"/>
                <w:szCs w:val="21"/>
                <w14:textFill>
                  <w14:solidFill>
                    <w14:schemeClr w14:val="tx1"/>
                  </w14:solidFill>
                </w14:textFill>
              </w:rPr>
            </w:pPr>
          </w:p>
        </w:tc>
        <w:tc>
          <w:tcPr>
            <w:tcW w:w="840" w:type="dxa"/>
            <w:tcBorders>
              <w:left w:val="single" w:color="auto" w:sz="4" w:space="0"/>
            </w:tcBorders>
          </w:tcPr>
          <w:p>
            <w:pPr>
              <w:rPr>
                <w:rFonts w:ascii="宋体" w:hAnsi="宋体"/>
                <w:color w:val="000000" w:themeColor="text1"/>
                <w14:textFill>
                  <w14:solidFill>
                    <w14:schemeClr w14:val="tx1"/>
                  </w14:solidFill>
                </w14:textFill>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cantSplit/>
          <w:trHeight w:val="450" w:hRule="atLeast"/>
          <w:jc w:val="center"/>
        </w:trPr>
        <w:tc>
          <w:tcPr>
            <w:tcW w:w="632" w:type="dxa"/>
            <w:vAlign w:val="center"/>
          </w:tcPr>
          <w:p>
            <w:pPr>
              <w:jc w:val="center"/>
              <w:rPr>
                <w:color w:val="000000" w:themeColor="text1"/>
                <w:kern w:val="0"/>
                <w:szCs w:val="21"/>
                <w14:textFill>
                  <w14:solidFill>
                    <w14:schemeClr w14:val="tx1"/>
                  </w14:solidFill>
                </w14:textFill>
              </w:rPr>
            </w:pPr>
            <w:r>
              <w:rPr>
                <w:color w:val="000000" w:themeColor="text1"/>
                <w:kern w:val="0"/>
                <w:szCs w:val="21"/>
                <w14:textFill>
                  <w14:solidFill>
                    <w14:schemeClr w14:val="tx1"/>
                  </w14:solidFill>
                </w14:textFill>
              </w:rPr>
              <w:t>3</w:t>
            </w:r>
          </w:p>
        </w:tc>
        <w:tc>
          <w:tcPr>
            <w:tcW w:w="2326" w:type="dxa"/>
            <w:vAlign w:val="center"/>
          </w:tcPr>
          <w:p>
            <w:pPr>
              <w:rPr>
                <w:color w:val="000000" w:themeColor="text1"/>
                <w:kern w:val="0"/>
                <w:szCs w:val="21"/>
                <w14:textFill>
                  <w14:solidFill>
                    <w14:schemeClr w14:val="tx1"/>
                  </w14:solidFill>
                </w14:textFill>
              </w:rPr>
            </w:pPr>
            <w:r>
              <w:rPr>
                <w:rFonts w:hint="eastAsia"/>
                <w:color w:val="000000" w:themeColor="text1"/>
                <w:kern w:val="0"/>
                <w:szCs w:val="21"/>
                <w14:textFill>
                  <w14:solidFill>
                    <w14:schemeClr w14:val="tx1"/>
                  </w14:solidFill>
                </w14:textFill>
              </w:rPr>
              <w:t>展厅舱</w:t>
            </w:r>
          </w:p>
        </w:tc>
        <w:tc>
          <w:tcPr>
            <w:tcW w:w="614" w:type="dxa"/>
            <w:tcBorders>
              <w:right w:val="single" w:color="auto" w:sz="4" w:space="0"/>
            </w:tcBorders>
            <w:vAlign w:val="center"/>
          </w:tcPr>
          <w:p>
            <w:pPr>
              <w:rPr>
                <w:color w:val="000000" w:themeColor="text1"/>
                <w:kern w:val="0"/>
                <w:szCs w:val="21"/>
                <w14:textFill>
                  <w14:solidFill>
                    <w14:schemeClr w14:val="tx1"/>
                  </w14:solidFill>
                </w14:textFill>
              </w:rPr>
            </w:pPr>
            <w:r>
              <w:rPr>
                <w:rFonts w:hint="eastAsia"/>
                <w:color w:val="000000" w:themeColor="text1"/>
                <w:kern w:val="0"/>
                <w:szCs w:val="21"/>
                <w14:textFill>
                  <w14:solidFill>
                    <w14:schemeClr w14:val="tx1"/>
                  </w14:solidFill>
                </w14:textFill>
              </w:rPr>
              <w:t>套</w:t>
            </w:r>
          </w:p>
        </w:tc>
        <w:tc>
          <w:tcPr>
            <w:tcW w:w="2975" w:type="dxa"/>
            <w:tcBorders>
              <w:left w:val="single" w:color="auto" w:sz="4" w:space="0"/>
              <w:right w:val="single" w:color="auto" w:sz="4" w:space="0"/>
            </w:tcBorders>
            <w:vAlign w:val="center"/>
          </w:tcPr>
          <w:p>
            <w:pPr>
              <w:rPr>
                <w:color w:val="000000" w:themeColor="text1"/>
                <w:kern w:val="0"/>
                <w:szCs w:val="21"/>
                <w14:textFill>
                  <w14:solidFill>
                    <w14:schemeClr w14:val="tx1"/>
                  </w14:solidFill>
                </w14:textFill>
              </w:rPr>
            </w:pPr>
            <w:r>
              <w:rPr>
                <w:rFonts w:hint="eastAsia"/>
                <w:color w:val="000000" w:themeColor="text1"/>
                <w:kern w:val="0"/>
                <w:szCs w:val="21"/>
                <w14:textFill>
                  <w14:solidFill>
                    <w14:schemeClr w14:val="tx1"/>
                  </w14:solidFill>
                </w14:textFill>
              </w:rPr>
              <w:t>内尺寸不小于图</w:t>
            </w:r>
            <w:r>
              <w:rPr>
                <w:color w:val="000000" w:themeColor="text1"/>
                <w:kern w:val="0"/>
                <w:szCs w:val="21"/>
                <w14:textFill>
                  <w14:solidFill>
                    <w14:schemeClr w14:val="tx1"/>
                  </w14:solidFill>
                </w14:textFill>
              </w:rPr>
              <w:t>2.3-3</w:t>
            </w:r>
            <w:r>
              <w:rPr>
                <w:rFonts w:hint="eastAsia"/>
                <w:color w:val="000000" w:themeColor="text1"/>
                <w:kern w:val="0"/>
                <w:szCs w:val="21"/>
                <w14:textFill>
                  <w14:solidFill>
                    <w14:schemeClr w14:val="tx1"/>
                  </w14:solidFill>
                </w14:textFill>
              </w:rPr>
              <w:t>所标识尺寸，含照明、动力、消防、通风、空调、检修、接地、检修爬梯及附属围栏、扶手等辅助设施，具备</w:t>
            </w:r>
            <w:r>
              <w:rPr>
                <w:rFonts w:hint="eastAsia"/>
                <w:color w:val="000000" w:themeColor="text1"/>
                <w14:textFill>
                  <w14:solidFill>
                    <w14:schemeClr w14:val="tx1"/>
                  </w14:solidFill>
                </w14:textFill>
              </w:rPr>
              <w:t>出入检测、火灾报警及联动控制</w:t>
            </w:r>
            <w:r>
              <w:rPr>
                <w:rFonts w:hint="eastAsia" w:ascii="宋体" w:hAnsi="宋体" w:cs="宋体"/>
                <w:color w:val="000000"/>
                <w:szCs w:val="21"/>
                <w:lang w:bidi="ar"/>
              </w:rPr>
              <w:t>（含火灾报警内部联动控制及与外部监视设备的联动控制）</w:t>
            </w:r>
            <w:r>
              <w:rPr>
                <w:rFonts w:hint="eastAsia"/>
                <w:color w:val="000000" w:themeColor="text1"/>
                <w14:textFill>
                  <w14:solidFill>
                    <w14:schemeClr w14:val="tx1"/>
                  </w14:solidFill>
                </w14:textFill>
              </w:rPr>
              <w:t>、可燃气体监测、声光告警、就地人为手动报警、</w:t>
            </w:r>
            <w:r>
              <w:rPr>
                <w:rFonts w:hint="eastAsia" w:ascii="宋体" w:hAnsi="宋体" w:cs="宋体"/>
                <w:color w:val="000000"/>
                <w:szCs w:val="21"/>
                <w:lang w:bidi="ar"/>
              </w:rPr>
              <w:t>烟雾</w:t>
            </w:r>
            <w:r>
              <w:rPr>
                <w:color w:val="000000"/>
                <w:szCs w:val="21"/>
                <w:lang w:bidi="ar"/>
              </w:rPr>
              <w:t>/</w:t>
            </w:r>
            <w:r>
              <w:rPr>
                <w:rFonts w:hint="eastAsia"/>
                <w:color w:val="000000" w:themeColor="text1"/>
                <w14:textFill>
                  <w14:solidFill>
                    <w14:schemeClr w14:val="tx1"/>
                  </w14:solidFill>
                </w14:textFill>
              </w:rPr>
              <w:t>温度</w:t>
            </w:r>
            <w:r>
              <w:rPr>
                <w:color w:val="000000" w:themeColor="text1"/>
                <w14:textFill>
                  <w14:solidFill>
                    <w14:schemeClr w14:val="tx1"/>
                  </w14:solidFill>
                </w14:textFill>
              </w:rPr>
              <w:t>/</w:t>
            </w:r>
            <w:r>
              <w:rPr>
                <w:rFonts w:hint="eastAsia"/>
                <w:color w:val="000000" w:themeColor="text1"/>
                <w14:textFill>
                  <w14:solidFill>
                    <w14:schemeClr w14:val="tx1"/>
                  </w14:solidFill>
                </w14:textFill>
              </w:rPr>
              <w:t>湿度</w:t>
            </w:r>
            <w:r>
              <w:rPr>
                <w:color w:val="000000" w:themeColor="text1"/>
                <w14:textFill>
                  <w14:solidFill>
                    <w14:schemeClr w14:val="tx1"/>
                  </w14:solidFill>
                </w14:textFill>
              </w:rPr>
              <w:t>/</w:t>
            </w:r>
            <w:r>
              <w:rPr>
                <w:rFonts w:hint="eastAsia"/>
                <w:color w:val="000000" w:themeColor="text1"/>
                <w14:textFill>
                  <w14:solidFill>
                    <w14:schemeClr w14:val="tx1"/>
                  </w14:solidFill>
                </w14:textFill>
              </w:rPr>
              <w:t>风速监测、出入权限管理、电缆层高温预警、电缆层水位高度预警等功能</w:t>
            </w:r>
          </w:p>
        </w:tc>
        <w:tc>
          <w:tcPr>
            <w:tcW w:w="1592" w:type="dxa"/>
            <w:tcBorders>
              <w:left w:val="single" w:color="auto" w:sz="4" w:space="0"/>
            </w:tcBorders>
            <w:vAlign w:val="center"/>
          </w:tcPr>
          <w:p>
            <w:pPr>
              <w:jc w:val="left"/>
              <w:rPr>
                <w:color w:val="000000" w:themeColor="text1"/>
                <w:kern w:val="0"/>
                <w:szCs w:val="21"/>
                <w14:textFill>
                  <w14:solidFill>
                    <w14:schemeClr w14:val="tx1"/>
                  </w14:solidFill>
                </w14:textFill>
              </w:rPr>
            </w:pPr>
            <w:r>
              <w:rPr>
                <w:color w:val="000000" w:themeColor="text1"/>
                <w:kern w:val="0"/>
                <w:szCs w:val="21"/>
                <w14:textFill>
                  <w14:solidFill>
                    <w14:schemeClr w14:val="tx1"/>
                  </w14:solidFill>
                </w14:textFill>
              </w:rPr>
              <w:t>1</w:t>
            </w:r>
          </w:p>
        </w:tc>
        <w:tc>
          <w:tcPr>
            <w:tcW w:w="1653" w:type="dxa"/>
            <w:tcBorders>
              <w:right w:val="single" w:color="auto" w:sz="4" w:space="0"/>
            </w:tcBorders>
          </w:tcPr>
          <w:p>
            <w:pPr>
              <w:rPr>
                <w:rFonts w:ascii="宋体" w:hAnsi="宋体"/>
                <w:color w:val="000000" w:themeColor="text1"/>
                <w14:textFill>
                  <w14:solidFill>
                    <w14:schemeClr w14:val="tx1"/>
                  </w14:solidFill>
                </w14:textFill>
              </w:rPr>
            </w:pPr>
          </w:p>
        </w:tc>
        <w:tc>
          <w:tcPr>
            <w:tcW w:w="840" w:type="dxa"/>
            <w:tcBorders>
              <w:left w:val="single" w:color="auto" w:sz="4" w:space="0"/>
            </w:tcBorders>
          </w:tcPr>
          <w:p>
            <w:pPr>
              <w:rPr>
                <w:rFonts w:ascii="宋体" w:hAnsi="宋体"/>
                <w:color w:val="000000" w:themeColor="text1"/>
                <w14:textFill>
                  <w14:solidFill>
                    <w14:schemeClr w14:val="tx1"/>
                  </w14:solidFill>
                </w14:textFill>
              </w:rPr>
            </w:pPr>
          </w:p>
        </w:tc>
      </w:tr>
    </w:tbl>
    <w:p>
      <w:pPr>
        <w:rPr>
          <w:rFonts w:ascii="宋体" w:hAnsi="宋体"/>
          <w:color w:val="000000" w:themeColor="text1"/>
          <w:szCs w:val="21"/>
          <w14:textFill>
            <w14:solidFill>
              <w14:schemeClr w14:val="tx1"/>
            </w14:solidFill>
          </w14:textFill>
        </w:rPr>
      </w:pPr>
    </w:p>
    <w:p>
      <w:pPr>
        <w:pStyle w:val="2"/>
        <w:numPr>
          <w:ilvl w:val="0"/>
          <w:numId w:val="0"/>
        </w:numPr>
        <w:snapToGrid/>
        <w:spacing w:before="0" w:beforeLines="0" w:line="480" w:lineRule="auto"/>
        <w:rPr>
          <w:rFonts w:ascii="黑体" w:eastAsia="黑体"/>
          <w:color w:val="000000" w:themeColor="text1"/>
          <w14:textFill>
            <w14:solidFill>
              <w14:schemeClr w14:val="tx1"/>
            </w14:solidFill>
          </w14:textFill>
        </w:rPr>
      </w:pPr>
      <w:bookmarkStart w:id="203" w:name="_Toc283011669"/>
      <w:bookmarkStart w:id="204" w:name="_Toc283142592"/>
      <w:bookmarkStart w:id="205" w:name="_Toc177995350"/>
      <w:bookmarkStart w:id="206" w:name="_Toc293332491"/>
      <w:bookmarkStart w:id="207" w:name="_Toc292019790"/>
      <w:bookmarkStart w:id="208" w:name="_Toc282433717"/>
      <w:bookmarkStart w:id="209" w:name="_Toc246821928"/>
      <w:r>
        <w:rPr>
          <w:rFonts w:ascii="黑体" w:eastAsia="黑体"/>
          <w:color w:val="000000" w:themeColor="text1"/>
          <w14:textFill>
            <w14:solidFill>
              <w14:schemeClr w14:val="tx1"/>
            </w14:solidFill>
          </w14:textFill>
        </w:rPr>
        <w:t xml:space="preserve">11 </w:t>
      </w:r>
      <w:r>
        <w:rPr>
          <w:rFonts w:hint="eastAsia" w:ascii="黑体" w:eastAsia="黑体"/>
          <w:color w:val="000000" w:themeColor="text1"/>
          <w14:textFill>
            <w14:solidFill>
              <w14:schemeClr w14:val="tx1"/>
            </w14:solidFill>
          </w14:textFill>
        </w:rPr>
        <w:t>备品备件及专用工具</w:t>
      </w:r>
      <w:bookmarkEnd w:id="203"/>
      <w:bookmarkEnd w:id="204"/>
      <w:bookmarkEnd w:id="205"/>
      <w:bookmarkEnd w:id="206"/>
      <w:bookmarkEnd w:id="207"/>
      <w:bookmarkEnd w:id="208"/>
    </w:p>
    <w:p>
      <w:pPr>
        <w:pStyle w:val="3"/>
        <w:numPr>
          <w:ilvl w:val="1"/>
          <w:numId w:val="0"/>
        </w:numPr>
        <w:rPr>
          <w:rFonts w:ascii="黑体" w:hAnsi="黑体" w:eastAsia="黑体"/>
          <w:color w:val="000000" w:themeColor="text1"/>
          <w14:textFill>
            <w14:solidFill>
              <w14:schemeClr w14:val="tx1"/>
            </w14:solidFill>
          </w14:textFill>
        </w:rPr>
      </w:pPr>
      <w:bookmarkStart w:id="210" w:name="_Toc283011670"/>
      <w:bookmarkStart w:id="211" w:name="_Toc511891223"/>
      <w:bookmarkStart w:id="212" w:name="_Toc177995351"/>
      <w:bookmarkStart w:id="213" w:name="_Toc282433718"/>
      <w:bookmarkStart w:id="214" w:name="_Toc283142593"/>
      <w:bookmarkStart w:id="215" w:name="_Toc292019791"/>
      <w:bookmarkStart w:id="216" w:name="_Toc293332492"/>
      <w:r>
        <w:rPr>
          <w:rFonts w:ascii="黑体" w:hAnsi="黑体" w:eastAsia="黑体"/>
          <w:color w:val="000000" w:themeColor="text1"/>
          <w14:textFill>
            <w14:solidFill>
              <w14:schemeClr w14:val="tx1"/>
            </w14:solidFill>
          </w14:textFill>
        </w:rPr>
        <w:t xml:space="preserve">11.1 </w:t>
      </w:r>
      <w:r>
        <w:rPr>
          <w:rFonts w:hint="eastAsia" w:ascii="黑体" w:hAnsi="黑体" w:eastAsia="黑体"/>
          <w:color w:val="000000" w:themeColor="text1"/>
          <w14:textFill>
            <w14:solidFill>
              <w14:schemeClr w14:val="tx1"/>
            </w14:solidFill>
          </w14:textFill>
        </w:rPr>
        <w:t>必备的备品备件、专用工具和仪器仪表</w:t>
      </w:r>
      <w:bookmarkEnd w:id="210"/>
      <w:bookmarkEnd w:id="211"/>
      <w:bookmarkEnd w:id="212"/>
      <w:bookmarkEnd w:id="213"/>
      <w:bookmarkEnd w:id="214"/>
      <w:bookmarkEnd w:id="215"/>
      <w:bookmarkEnd w:id="216"/>
    </w:p>
    <w:p>
      <w:pPr>
        <w:adjustRightInd w:val="0"/>
        <w:snapToGrid w:val="0"/>
        <w:spacing w:line="360" w:lineRule="auto"/>
        <w:ind w:firstLine="420" w:firstLineChars="200"/>
        <w:rPr>
          <w:rFonts w:ascii="宋体" w:hAnsi="宋体" w:cs="宋体-18030"/>
          <w:color w:val="000000" w:themeColor="text1"/>
          <w:szCs w:val="21"/>
          <w14:textFill>
            <w14:solidFill>
              <w14:schemeClr w14:val="tx1"/>
            </w14:solidFill>
          </w14:textFill>
        </w:rPr>
      </w:pPr>
      <w:r>
        <w:rPr>
          <w:rFonts w:hint="eastAsia" w:ascii="宋体" w:hAnsi="宋体" w:cs="宋体-18030"/>
          <w:color w:val="000000" w:themeColor="text1"/>
          <w:szCs w:val="21"/>
          <w14:textFill>
            <w14:solidFill>
              <w14:schemeClr w14:val="tx1"/>
            </w14:solidFill>
          </w14:textFill>
        </w:rPr>
        <w:t>投标方应向招标方提供必备的备品备件、专用工具和仪器仪表清单见表</w:t>
      </w:r>
      <w:r>
        <w:rPr>
          <w:rFonts w:ascii="宋体" w:hAnsi="宋体" w:cs="宋体-18030"/>
          <w:color w:val="000000" w:themeColor="text1"/>
          <w:szCs w:val="21"/>
          <w14:textFill>
            <w14:solidFill>
              <w14:schemeClr w14:val="tx1"/>
            </w14:solidFill>
          </w14:textFill>
        </w:rPr>
        <w:t xml:space="preserve">11.1-1, </w:t>
      </w:r>
      <w:r>
        <w:rPr>
          <w:rFonts w:hint="eastAsia" w:ascii="宋体" w:hAnsi="宋体" w:cs="宋体-18030"/>
          <w:color w:val="000000" w:themeColor="text1"/>
          <w:szCs w:val="21"/>
          <w14:textFill>
            <w14:solidFill>
              <w14:schemeClr w14:val="tx1"/>
            </w14:solidFill>
          </w14:textFill>
        </w:rPr>
        <w:t>要求提供的备品备件专用工具和仪器仪表应是新品</w:t>
      </w:r>
      <w:r>
        <w:rPr>
          <w:rFonts w:ascii="宋体" w:hAnsi="宋体" w:cs="宋体-18030"/>
          <w:color w:val="000000" w:themeColor="text1"/>
          <w:szCs w:val="21"/>
          <w14:textFill>
            <w14:solidFill>
              <w14:schemeClr w14:val="tx1"/>
            </w14:solidFill>
          </w14:textFill>
        </w:rPr>
        <w:t xml:space="preserve">, </w:t>
      </w:r>
      <w:r>
        <w:rPr>
          <w:rFonts w:hint="eastAsia" w:ascii="宋体" w:hAnsi="宋体" w:cs="宋体-18030"/>
          <w:color w:val="000000" w:themeColor="text1"/>
          <w:szCs w:val="21"/>
          <w14:textFill>
            <w14:solidFill>
              <w14:schemeClr w14:val="tx1"/>
            </w14:solidFill>
          </w14:textFill>
        </w:rPr>
        <w:t>与设备同型号、同工艺。</w:t>
      </w:r>
    </w:p>
    <w:p>
      <w:pPr>
        <w:spacing w:line="360" w:lineRule="auto"/>
        <w:jc w:val="center"/>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表</w:t>
      </w:r>
      <w:r>
        <w:rPr>
          <w:rFonts w:ascii="宋体" w:hAnsi="宋体"/>
          <w:color w:val="000000" w:themeColor="text1"/>
          <w:szCs w:val="21"/>
          <w14:textFill>
            <w14:solidFill>
              <w14:schemeClr w14:val="tx1"/>
            </w14:solidFill>
          </w14:textFill>
        </w:rPr>
        <w:t>11.1-1</w:t>
      </w:r>
      <w:r>
        <w:rPr>
          <w:rFonts w:hint="eastAsia" w:ascii="宋体" w:hAnsi="宋体"/>
          <w:color w:val="000000" w:themeColor="text1"/>
          <w:szCs w:val="21"/>
          <w14:textFill>
            <w14:solidFill>
              <w14:schemeClr w14:val="tx1"/>
            </w14:solidFill>
          </w14:textFill>
        </w:rPr>
        <w:t>必备的备品备件、专用工具和仪器仪表清单</w:t>
      </w:r>
      <w:r>
        <w:rPr>
          <w:rFonts w:ascii="宋体" w:hAnsi="宋体"/>
          <w:color w:val="000000" w:themeColor="text1"/>
          <w:szCs w:val="21"/>
          <w14:textFill>
            <w14:solidFill>
              <w14:schemeClr w14:val="tx1"/>
            </w14:solidFill>
          </w14:textFill>
        </w:rPr>
        <w:t xml:space="preserve"> </w:t>
      </w:r>
      <w:r>
        <w:rPr>
          <w:rFonts w:hint="eastAsia" w:ascii="宋体" w:hAnsi="宋体"/>
          <w:color w:val="000000" w:themeColor="text1"/>
          <w:szCs w:val="21"/>
          <w14:textFill>
            <w14:solidFill>
              <w14:schemeClr w14:val="tx1"/>
            </w14:solidFill>
          </w14:textFill>
        </w:rPr>
        <w:t>（招标方填写）</w:t>
      </w:r>
    </w:p>
    <w:tbl>
      <w:tblPr>
        <w:tblStyle w:val="84"/>
        <w:tblW w:w="8388" w:type="dxa"/>
        <w:jc w:val="center"/>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108" w:type="dxa"/>
          <w:bottom w:w="0" w:type="dxa"/>
          <w:right w:w="108" w:type="dxa"/>
        </w:tblCellMar>
      </w:tblPr>
      <w:tblGrid>
        <w:gridCol w:w="484"/>
        <w:gridCol w:w="2106"/>
        <w:gridCol w:w="2551"/>
        <w:gridCol w:w="709"/>
        <w:gridCol w:w="851"/>
        <w:gridCol w:w="1229"/>
        <w:gridCol w:w="458"/>
      </w:tblGrid>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blHeader/>
          <w:jc w:val="center"/>
        </w:trPr>
        <w:tc>
          <w:tcPr>
            <w:tcW w:w="484" w:type="dxa"/>
            <w:vAlign w:val="center"/>
          </w:tcPr>
          <w:p>
            <w:pPr>
              <w:jc w:val="center"/>
              <w:rPr>
                <w:color w:val="000000" w:themeColor="text1"/>
                <w:kern w:val="0"/>
                <w:szCs w:val="21"/>
                <w14:textFill>
                  <w14:solidFill>
                    <w14:schemeClr w14:val="tx1"/>
                  </w14:solidFill>
                </w14:textFill>
              </w:rPr>
            </w:pPr>
            <w:r>
              <w:rPr>
                <w:rFonts w:hint="eastAsia"/>
                <w:color w:val="000000" w:themeColor="text1"/>
                <w:kern w:val="0"/>
                <w:szCs w:val="21"/>
                <w14:textFill>
                  <w14:solidFill>
                    <w14:schemeClr w14:val="tx1"/>
                  </w14:solidFill>
                </w14:textFill>
              </w:rPr>
              <w:t>序号</w:t>
            </w:r>
          </w:p>
        </w:tc>
        <w:tc>
          <w:tcPr>
            <w:tcW w:w="2106" w:type="dxa"/>
            <w:vAlign w:val="center"/>
          </w:tcPr>
          <w:p>
            <w:pPr>
              <w:jc w:val="center"/>
              <w:rPr>
                <w:color w:val="000000" w:themeColor="text1"/>
                <w:kern w:val="0"/>
                <w:szCs w:val="21"/>
                <w14:textFill>
                  <w14:solidFill>
                    <w14:schemeClr w14:val="tx1"/>
                  </w14:solidFill>
                </w14:textFill>
              </w:rPr>
            </w:pPr>
            <w:r>
              <w:rPr>
                <w:rFonts w:hint="eastAsia"/>
                <w:color w:val="000000" w:themeColor="text1"/>
                <w:kern w:val="0"/>
                <w:szCs w:val="21"/>
                <w14:textFill>
                  <w14:solidFill>
                    <w14:schemeClr w14:val="tx1"/>
                  </w14:solidFill>
                </w14:textFill>
              </w:rPr>
              <w:t>名称</w:t>
            </w:r>
          </w:p>
        </w:tc>
        <w:tc>
          <w:tcPr>
            <w:tcW w:w="2551" w:type="dxa"/>
            <w:vAlign w:val="center"/>
          </w:tcPr>
          <w:p>
            <w:pPr>
              <w:jc w:val="center"/>
              <w:rPr>
                <w:color w:val="000000" w:themeColor="text1"/>
                <w:kern w:val="0"/>
                <w:szCs w:val="21"/>
                <w14:textFill>
                  <w14:solidFill>
                    <w14:schemeClr w14:val="tx1"/>
                  </w14:solidFill>
                </w14:textFill>
              </w:rPr>
            </w:pPr>
            <w:r>
              <w:rPr>
                <w:rFonts w:hint="eastAsia"/>
                <w:color w:val="000000" w:themeColor="text1"/>
                <w:kern w:val="0"/>
                <w:szCs w:val="21"/>
                <w14:textFill>
                  <w14:solidFill>
                    <w14:schemeClr w14:val="tx1"/>
                  </w14:solidFill>
                </w14:textFill>
              </w:rPr>
              <w:t>型号及规格</w:t>
            </w:r>
          </w:p>
        </w:tc>
        <w:tc>
          <w:tcPr>
            <w:tcW w:w="709" w:type="dxa"/>
            <w:vAlign w:val="center"/>
          </w:tcPr>
          <w:p>
            <w:pPr>
              <w:jc w:val="center"/>
              <w:rPr>
                <w:color w:val="000000" w:themeColor="text1"/>
                <w:kern w:val="0"/>
                <w:szCs w:val="21"/>
                <w14:textFill>
                  <w14:solidFill>
                    <w14:schemeClr w14:val="tx1"/>
                  </w14:solidFill>
                </w14:textFill>
              </w:rPr>
            </w:pPr>
            <w:r>
              <w:rPr>
                <w:rFonts w:hint="eastAsia"/>
                <w:color w:val="000000" w:themeColor="text1"/>
                <w:kern w:val="0"/>
                <w:szCs w:val="21"/>
                <w14:textFill>
                  <w14:solidFill>
                    <w14:schemeClr w14:val="tx1"/>
                  </w14:solidFill>
                </w14:textFill>
              </w:rPr>
              <w:t>单位</w:t>
            </w:r>
          </w:p>
        </w:tc>
        <w:tc>
          <w:tcPr>
            <w:tcW w:w="851" w:type="dxa"/>
            <w:vAlign w:val="center"/>
          </w:tcPr>
          <w:p>
            <w:pPr>
              <w:jc w:val="center"/>
              <w:rPr>
                <w:color w:val="000000" w:themeColor="text1"/>
                <w:kern w:val="0"/>
                <w:szCs w:val="21"/>
                <w14:textFill>
                  <w14:solidFill>
                    <w14:schemeClr w14:val="tx1"/>
                  </w14:solidFill>
                </w14:textFill>
              </w:rPr>
            </w:pPr>
            <w:r>
              <w:rPr>
                <w:rFonts w:hint="eastAsia"/>
                <w:color w:val="000000" w:themeColor="text1"/>
                <w:kern w:val="0"/>
                <w:szCs w:val="21"/>
                <w14:textFill>
                  <w14:solidFill>
                    <w14:schemeClr w14:val="tx1"/>
                  </w14:solidFill>
                </w14:textFill>
              </w:rPr>
              <w:t>数量</w:t>
            </w:r>
          </w:p>
        </w:tc>
        <w:tc>
          <w:tcPr>
            <w:tcW w:w="1229" w:type="dxa"/>
            <w:vAlign w:val="center"/>
          </w:tcPr>
          <w:p>
            <w:pPr>
              <w:jc w:val="center"/>
              <w:rPr>
                <w:color w:val="000000" w:themeColor="text1"/>
                <w:kern w:val="0"/>
                <w:szCs w:val="21"/>
                <w14:textFill>
                  <w14:solidFill>
                    <w14:schemeClr w14:val="tx1"/>
                  </w14:solidFill>
                </w14:textFill>
              </w:rPr>
            </w:pPr>
            <w:r>
              <w:rPr>
                <w:rFonts w:hint="eastAsia"/>
                <w:color w:val="000000" w:themeColor="text1"/>
                <w:kern w:val="0"/>
                <w:szCs w:val="21"/>
                <w14:textFill>
                  <w14:solidFill>
                    <w14:schemeClr w14:val="tx1"/>
                  </w14:solidFill>
                </w14:textFill>
              </w:rPr>
              <w:t>使用处</w:t>
            </w:r>
          </w:p>
        </w:tc>
        <w:tc>
          <w:tcPr>
            <w:tcW w:w="458" w:type="dxa"/>
            <w:vAlign w:val="center"/>
          </w:tcPr>
          <w:p>
            <w:pPr>
              <w:jc w:val="center"/>
              <w:rPr>
                <w:color w:val="000000" w:themeColor="text1"/>
                <w:kern w:val="0"/>
                <w:szCs w:val="21"/>
                <w14:textFill>
                  <w14:solidFill>
                    <w14:schemeClr w14:val="tx1"/>
                  </w14:solidFill>
                </w14:textFill>
              </w:rPr>
            </w:pPr>
            <w:r>
              <w:rPr>
                <w:rFonts w:hint="eastAsia"/>
                <w:color w:val="000000" w:themeColor="text1"/>
                <w:kern w:val="0"/>
                <w:szCs w:val="21"/>
                <w14:textFill>
                  <w14:solidFill>
                    <w14:schemeClr w14:val="tx1"/>
                  </w14:solidFill>
                </w14:textFill>
              </w:rPr>
              <w:t>备</w:t>
            </w:r>
            <w:r>
              <w:rPr>
                <w:color w:val="000000" w:themeColor="text1"/>
                <w:kern w:val="0"/>
                <w:szCs w:val="21"/>
                <w14:textFill>
                  <w14:solidFill>
                    <w14:schemeClr w14:val="tx1"/>
                  </w14:solidFill>
                </w14:textFill>
              </w:rPr>
              <w:t xml:space="preserve">  </w:t>
            </w:r>
            <w:r>
              <w:rPr>
                <w:rFonts w:hint="eastAsia"/>
                <w:color w:val="000000" w:themeColor="text1"/>
                <w:kern w:val="0"/>
                <w:szCs w:val="21"/>
                <w14:textFill>
                  <w14:solidFill>
                    <w14:schemeClr w14:val="tx1"/>
                  </w14:solidFill>
                </w14:textFill>
              </w:rPr>
              <w:t>注</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jc w:val="center"/>
        </w:trPr>
        <w:tc>
          <w:tcPr>
            <w:tcW w:w="484" w:type="dxa"/>
          </w:tcPr>
          <w:p>
            <w:pPr>
              <w:pStyle w:val="42"/>
              <w:jc w:val="center"/>
              <w:rPr>
                <w:rFonts w:hAnsi="宋体"/>
                <w:color w:val="000000" w:themeColor="text1"/>
                <w:szCs w:val="21"/>
                <w14:textFill>
                  <w14:solidFill>
                    <w14:schemeClr w14:val="tx1"/>
                  </w14:solidFill>
                </w14:textFill>
              </w:rPr>
            </w:pPr>
            <w:r>
              <w:rPr>
                <w:rFonts w:hAnsi="宋体"/>
                <w:color w:val="000000" w:themeColor="text1"/>
                <w:szCs w:val="21"/>
                <w14:textFill>
                  <w14:solidFill>
                    <w14:schemeClr w14:val="tx1"/>
                  </w14:solidFill>
                </w14:textFill>
              </w:rPr>
              <w:t>1</w:t>
            </w:r>
          </w:p>
        </w:tc>
        <w:tc>
          <w:tcPr>
            <w:tcW w:w="2106" w:type="dxa"/>
          </w:tcPr>
          <w:p>
            <w:pPr>
              <w:pStyle w:val="42"/>
              <w:jc w:val="center"/>
              <w:rPr>
                <w:rFonts w:hAnsi="宋体"/>
                <w:color w:val="000000" w:themeColor="text1"/>
                <w:szCs w:val="21"/>
                <w14:textFill>
                  <w14:solidFill>
                    <w14:schemeClr w14:val="tx1"/>
                  </w14:solidFill>
                </w14:textFill>
              </w:rPr>
            </w:pPr>
            <w:r>
              <w:rPr>
                <w:rFonts w:hint="eastAsia" w:hAnsi="宋体"/>
                <w:color w:val="000000"/>
                <w:szCs w:val="21"/>
              </w:rPr>
              <w:t>户外按钮</w:t>
            </w:r>
          </w:p>
        </w:tc>
        <w:tc>
          <w:tcPr>
            <w:tcW w:w="2551" w:type="dxa"/>
          </w:tcPr>
          <w:p>
            <w:pPr>
              <w:pStyle w:val="42"/>
              <w:jc w:val="center"/>
              <w:rPr>
                <w:rFonts w:hAnsi="宋体"/>
                <w:color w:val="000000" w:themeColor="text1"/>
                <w:szCs w:val="21"/>
                <w14:textFill>
                  <w14:solidFill>
                    <w14:schemeClr w14:val="tx1"/>
                  </w14:solidFill>
                </w14:textFill>
              </w:rPr>
            </w:pPr>
            <w:r>
              <w:rPr>
                <w:rFonts w:hAnsi="宋体"/>
                <w:color w:val="000000"/>
                <w:szCs w:val="21"/>
              </w:rPr>
              <w:t>PB1S-11T/R</w:t>
            </w:r>
          </w:p>
        </w:tc>
        <w:tc>
          <w:tcPr>
            <w:tcW w:w="709" w:type="dxa"/>
          </w:tcPr>
          <w:p>
            <w:pPr>
              <w:pStyle w:val="42"/>
              <w:jc w:val="center"/>
              <w:rPr>
                <w:rFonts w:hAnsi="宋体"/>
                <w:color w:val="000000" w:themeColor="text1"/>
                <w:szCs w:val="21"/>
                <w14:textFill>
                  <w14:solidFill>
                    <w14:schemeClr w14:val="tx1"/>
                  </w14:solidFill>
                </w14:textFill>
              </w:rPr>
            </w:pPr>
            <w:r>
              <w:rPr>
                <w:rFonts w:hint="eastAsia" w:hAnsi="宋体"/>
                <w:color w:val="000000"/>
                <w:szCs w:val="21"/>
              </w:rPr>
              <w:t>个</w:t>
            </w:r>
          </w:p>
        </w:tc>
        <w:tc>
          <w:tcPr>
            <w:tcW w:w="851" w:type="dxa"/>
          </w:tcPr>
          <w:p>
            <w:pPr>
              <w:pStyle w:val="42"/>
              <w:jc w:val="center"/>
              <w:rPr>
                <w:rFonts w:hAnsi="宋体"/>
                <w:color w:val="000000" w:themeColor="text1"/>
                <w:szCs w:val="21"/>
                <w14:textFill>
                  <w14:solidFill>
                    <w14:schemeClr w14:val="tx1"/>
                  </w14:solidFill>
                </w14:textFill>
              </w:rPr>
            </w:pPr>
            <w:r>
              <w:rPr>
                <w:rFonts w:hint="eastAsia" w:hAnsi="宋体"/>
                <w:color w:val="000000"/>
                <w:szCs w:val="21"/>
              </w:rPr>
              <w:t>3</w:t>
            </w:r>
          </w:p>
        </w:tc>
        <w:tc>
          <w:tcPr>
            <w:tcW w:w="1229" w:type="dxa"/>
          </w:tcPr>
          <w:p>
            <w:pPr>
              <w:pStyle w:val="42"/>
              <w:jc w:val="center"/>
              <w:rPr>
                <w:rFonts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备品备件</w:t>
            </w:r>
          </w:p>
        </w:tc>
        <w:tc>
          <w:tcPr>
            <w:tcW w:w="458" w:type="dxa"/>
          </w:tcPr>
          <w:p>
            <w:pPr>
              <w:pStyle w:val="42"/>
              <w:jc w:val="center"/>
              <w:rPr>
                <w:rFonts w:hAnsi="宋体"/>
                <w:color w:val="000000" w:themeColor="text1"/>
                <w:szCs w:val="21"/>
                <w14:textFill>
                  <w14:solidFill>
                    <w14:schemeClr w14:val="tx1"/>
                  </w14:solidFill>
                </w14:textFill>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jc w:val="center"/>
        </w:trPr>
        <w:tc>
          <w:tcPr>
            <w:tcW w:w="484" w:type="dxa"/>
          </w:tcPr>
          <w:p>
            <w:pPr>
              <w:pStyle w:val="42"/>
              <w:jc w:val="center"/>
              <w:rPr>
                <w:rFonts w:hAnsi="宋体"/>
                <w:color w:val="000000" w:themeColor="text1"/>
                <w:szCs w:val="21"/>
                <w14:textFill>
                  <w14:solidFill>
                    <w14:schemeClr w14:val="tx1"/>
                  </w14:solidFill>
                </w14:textFill>
              </w:rPr>
            </w:pPr>
            <w:r>
              <w:rPr>
                <w:rFonts w:hAnsi="宋体"/>
                <w:color w:val="000000" w:themeColor="text1"/>
                <w:szCs w:val="21"/>
                <w14:textFill>
                  <w14:solidFill>
                    <w14:schemeClr w14:val="tx1"/>
                  </w14:solidFill>
                </w14:textFill>
              </w:rPr>
              <w:t>2</w:t>
            </w:r>
          </w:p>
        </w:tc>
        <w:tc>
          <w:tcPr>
            <w:tcW w:w="2106" w:type="dxa"/>
          </w:tcPr>
          <w:p>
            <w:pPr>
              <w:pStyle w:val="42"/>
              <w:jc w:val="center"/>
              <w:rPr>
                <w:rFonts w:hAnsi="宋体"/>
                <w:color w:val="000000" w:themeColor="text1"/>
                <w:szCs w:val="21"/>
                <w14:textFill>
                  <w14:solidFill>
                    <w14:schemeClr w14:val="tx1"/>
                  </w14:solidFill>
                </w14:textFill>
              </w:rPr>
            </w:pPr>
            <w:r>
              <w:rPr>
                <w:rFonts w:hint="eastAsia" w:hAnsi="宋体"/>
                <w:color w:val="000000"/>
                <w:szCs w:val="21"/>
              </w:rPr>
              <w:t>照明灯具</w:t>
            </w:r>
          </w:p>
        </w:tc>
        <w:tc>
          <w:tcPr>
            <w:tcW w:w="2551" w:type="dxa"/>
          </w:tcPr>
          <w:p>
            <w:pPr>
              <w:pStyle w:val="42"/>
              <w:jc w:val="center"/>
              <w:rPr>
                <w:rFonts w:hAnsi="宋体"/>
                <w:color w:val="000000" w:themeColor="text1"/>
                <w:szCs w:val="21"/>
                <w14:textFill>
                  <w14:solidFill>
                    <w14:schemeClr w14:val="tx1"/>
                  </w14:solidFill>
                </w14:textFill>
              </w:rPr>
            </w:pPr>
            <w:r>
              <w:rPr>
                <w:rFonts w:hAnsi="宋体"/>
                <w:color w:val="000000"/>
                <w:szCs w:val="21"/>
              </w:rPr>
              <w:t xml:space="preserve"> LED BH50 16W</w:t>
            </w:r>
          </w:p>
        </w:tc>
        <w:tc>
          <w:tcPr>
            <w:tcW w:w="709" w:type="dxa"/>
          </w:tcPr>
          <w:p>
            <w:pPr>
              <w:pStyle w:val="42"/>
              <w:jc w:val="center"/>
              <w:rPr>
                <w:rFonts w:hAnsi="宋体"/>
                <w:color w:val="000000" w:themeColor="text1"/>
                <w:szCs w:val="21"/>
                <w14:textFill>
                  <w14:solidFill>
                    <w14:schemeClr w14:val="tx1"/>
                  </w14:solidFill>
                </w14:textFill>
              </w:rPr>
            </w:pPr>
            <w:r>
              <w:rPr>
                <w:rFonts w:hint="eastAsia" w:hAnsi="宋体"/>
                <w:color w:val="000000"/>
                <w:szCs w:val="21"/>
              </w:rPr>
              <w:t>只</w:t>
            </w:r>
          </w:p>
        </w:tc>
        <w:tc>
          <w:tcPr>
            <w:tcW w:w="851" w:type="dxa"/>
          </w:tcPr>
          <w:p>
            <w:pPr>
              <w:pStyle w:val="42"/>
              <w:jc w:val="center"/>
              <w:rPr>
                <w:rFonts w:hAnsi="宋体"/>
                <w:color w:val="000000" w:themeColor="text1"/>
                <w:szCs w:val="21"/>
                <w14:textFill>
                  <w14:solidFill>
                    <w14:schemeClr w14:val="tx1"/>
                  </w14:solidFill>
                </w14:textFill>
              </w:rPr>
            </w:pPr>
            <w:r>
              <w:rPr>
                <w:rFonts w:hint="eastAsia" w:hAnsi="宋体"/>
                <w:color w:val="000000"/>
                <w:szCs w:val="21"/>
              </w:rPr>
              <w:t>5</w:t>
            </w:r>
          </w:p>
        </w:tc>
        <w:tc>
          <w:tcPr>
            <w:tcW w:w="1229" w:type="dxa"/>
          </w:tcPr>
          <w:p>
            <w:pPr>
              <w:pStyle w:val="42"/>
              <w:jc w:val="center"/>
              <w:rPr>
                <w:rFonts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备品备件</w:t>
            </w:r>
          </w:p>
        </w:tc>
        <w:tc>
          <w:tcPr>
            <w:tcW w:w="458" w:type="dxa"/>
          </w:tcPr>
          <w:p>
            <w:pPr>
              <w:pStyle w:val="42"/>
              <w:jc w:val="center"/>
              <w:rPr>
                <w:rFonts w:hAnsi="宋体"/>
                <w:color w:val="000000" w:themeColor="text1"/>
                <w:szCs w:val="21"/>
                <w14:textFill>
                  <w14:solidFill>
                    <w14:schemeClr w14:val="tx1"/>
                  </w14:solidFill>
                </w14:textFill>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jc w:val="center"/>
        </w:trPr>
        <w:tc>
          <w:tcPr>
            <w:tcW w:w="484" w:type="dxa"/>
          </w:tcPr>
          <w:p>
            <w:pPr>
              <w:pStyle w:val="42"/>
              <w:jc w:val="center"/>
              <w:rPr>
                <w:rFonts w:hAnsi="宋体"/>
                <w:color w:val="000000" w:themeColor="text1"/>
                <w:szCs w:val="21"/>
                <w14:textFill>
                  <w14:solidFill>
                    <w14:schemeClr w14:val="tx1"/>
                  </w14:solidFill>
                </w14:textFill>
              </w:rPr>
            </w:pPr>
            <w:r>
              <w:rPr>
                <w:rFonts w:hAnsi="宋体"/>
                <w:color w:val="000000" w:themeColor="text1"/>
                <w:szCs w:val="21"/>
                <w14:textFill>
                  <w14:solidFill>
                    <w14:schemeClr w14:val="tx1"/>
                  </w14:solidFill>
                </w14:textFill>
              </w:rPr>
              <w:t>3</w:t>
            </w:r>
          </w:p>
        </w:tc>
        <w:tc>
          <w:tcPr>
            <w:tcW w:w="2106" w:type="dxa"/>
          </w:tcPr>
          <w:p>
            <w:pPr>
              <w:pStyle w:val="42"/>
              <w:jc w:val="center"/>
              <w:rPr>
                <w:rFonts w:hAnsi="宋体"/>
                <w:color w:val="000000" w:themeColor="text1"/>
                <w:szCs w:val="21"/>
                <w14:textFill>
                  <w14:solidFill>
                    <w14:schemeClr w14:val="tx1"/>
                  </w14:solidFill>
                </w14:textFill>
              </w:rPr>
            </w:pPr>
            <w:r>
              <w:rPr>
                <w:rFonts w:hint="eastAsia" w:hAnsi="宋体"/>
                <w:color w:val="000000"/>
                <w:szCs w:val="21"/>
              </w:rPr>
              <w:t>照明灯具</w:t>
            </w:r>
          </w:p>
        </w:tc>
        <w:tc>
          <w:tcPr>
            <w:tcW w:w="2551" w:type="dxa"/>
          </w:tcPr>
          <w:p>
            <w:pPr>
              <w:pStyle w:val="42"/>
              <w:jc w:val="center"/>
              <w:rPr>
                <w:rFonts w:hAnsi="宋体"/>
                <w:color w:val="000000" w:themeColor="text1"/>
                <w:szCs w:val="21"/>
                <w14:textFill>
                  <w14:solidFill>
                    <w14:schemeClr w14:val="tx1"/>
                  </w14:solidFill>
                </w14:textFill>
              </w:rPr>
            </w:pPr>
            <w:r>
              <w:rPr>
                <w:rFonts w:hAnsi="宋体"/>
                <w:color w:val="000000"/>
                <w:szCs w:val="21"/>
              </w:rPr>
              <w:t xml:space="preserve"> LED BH50 32W</w:t>
            </w:r>
          </w:p>
        </w:tc>
        <w:tc>
          <w:tcPr>
            <w:tcW w:w="709" w:type="dxa"/>
          </w:tcPr>
          <w:p>
            <w:pPr>
              <w:pStyle w:val="42"/>
              <w:jc w:val="center"/>
              <w:rPr>
                <w:rFonts w:hAnsi="宋体"/>
                <w:color w:val="000000" w:themeColor="text1"/>
                <w:szCs w:val="21"/>
                <w14:textFill>
                  <w14:solidFill>
                    <w14:schemeClr w14:val="tx1"/>
                  </w14:solidFill>
                </w14:textFill>
              </w:rPr>
            </w:pPr>
            <w:r>
              <w:rPr>
                <w:rFonts w:hint="eastAsia" w:hAnsi="宋体"/>
                <w:color w:val="000000"/>
                <w:szCs w:val="21"/>
              </w:rPr>
              <w:t>只</w:t>
            </w:r>
          </w:p>
        </w:tc>
        <w:tc>
          <w:tcPr>
            <w:tcW w:w="851" w:type="dxa"/>
          </w:tcPr>
          <w:p>
            <w:pPr>
              <w:pStyle w:val="42"/>
              <w:jc w:val="center"/>
              <w:rPr>
                <w:rFonts w:hAnsi="宋体"/>
                <w:color w:val="000000" w:themeColor="text1"/>
                <w:szCs w:val="21"/>
                <w14:textFill>
                  <w14:solidFill>
                    <w14:schemeClr w14:val="tx1"/>
                  </w14:solidFill>
                </w14:textFill>
              </w:rPr>
            </w:pPr>
            <w:r>
              <w:rPr>
                <w:rFonts w:hint="eastAsia" w:hAnsi="宋体"/>
                <w:color w:val="000000"/>
                <w:szCs w:val="21"/>
              </w:rPr>
              <w:t>5</w:t>
            </w:r>
          </w:p>
        </w:tc>
        <w:tc>
          <w:tcPr>
            <w:tcW w:w="1229" w:type="dxa"/>
          </w:tcPr>
          <w:p>
            <w:pPr>
              <w:pStyle w:val="42"/>
              <w:jc w:val="center"/>
              <w:rPr>
                <w:rFonts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备品备件</w:t>
            </w:r>
          </w:p>
        </w:tc>
        <w:tc>
          <w:tcPr>
            <w:tcW w:w="458" w:type="dxa"/>
          </w:tcPr>
          <w:p>
            <w:pPr>
              <w:pStyle w:val="42"/>
              <w:jc w:val="center"/>
              <w:rPr>
                <w:rFonts w:hAnsi="宋体"/>
                <w:color w:val="000000" w:themeColor="text1"/>
                <w:szCs w:val="21"/>
                <w14:textFill>
                  <w14:solidFill>
                    <w14:schemeClr w14:val="tx1"/>
                  </w14:solidFill>
                </w14:textFill>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jc w:val="center"/>
        </w:trPr>
        <w:tc>
          <w:tcPr>
            <w:tcW w:w="484" w:type="dxa"/>
          </w:tcPr>
          <w:p>
            <w:pPr>
              <w:pStyle w:val="42"/>
              <w:jc w:val="center"/>
              <w:rPr>
                <w:rFonts w:hAnsi="宋体"/>
                <w:color w:val="000000" w:themeColor="text1"/>
                <w:szCs w:val="21"/>
                <w14:textFill>
                  <w14:solidFill>
                    <w14:schemeClr w14:val="tx1"/>
                  </w14:solidFill>
                </w14:textFill>
              </w:rPr>
            </w:pPr>
            <w:r>
              <w:rPr>
                <w:rFonts w:hAnsi="宋体"/>
                <w:color w:val="000000" w:themeColor="text1"/>
                <w:szCs w:val="21"/>
                <w14:textFill>
                  <w14:solidFill>
                    <w14:schemeClr w14:val="tx1"/>
                  </w14:solidFill>
                </w14:textFill>
              </w:rPr>
              <w:t>4</w:t>
            </w:r>
          </w:p>
        </w:tc>
        <w:tc>
          <w:tcPr>
            <w:tcW w:w="2106" w:type="dxa"/>
            <w:vAlign w:val="center"/>
          </w:tcPr>
          <w:p>
            <w:pPr>
              <w:pStyle w:val="42"/>
              <w:jc w:val="center"/>
              <w:rPr>
                <w:rFonts w:hAnsi="宋体"/>
                <w:color w:val="000000" w:themeColor="text1"/>
                <w:szCs w:val="21"/>
                <w14:textFill>
                  <w14:solidFill>
                    <w14:schemeClr w14:val="tx1"/>
                  </w14:solidFill>
                </w14:textFill>
              </w:rPr>
            </w:pPr>
            <w:r>
              <w:rPr>
                <w:rFonts w:hint="eastAsia" w:hAnsi="宋体"/>
                <w:color w:val="000000"/>
                <w:szCs w:val="21"/>
              </w:rPr>
              <w:t>应急灯</w:t>
            </w:r>
          </w:p>
        </w:tc>
        <w:tc>
          <w:tcPr>
            <w:tcW w:w="2551" w:type="dxa"/>
          </w:tcPr>
          <w:p>
            <w:pPr>
              <w:pStyle w:val="42"/>
              <w:jc w:val="center"/>
              <w:rPr>
                <w:rFonts w:hAnsi="宋体"/>
                <w:color w:val="000000" w:themeColor="text1"/>
                <w:szCs w:val="21"/>
                <w14:textFill>
                  <w14:solidFill>
                    <w14:schemeClr w14:val="tx1"/>
                  </w14:solidFill>
                </w14:textFill>
              </w:rPr>
            </w:pPr>
            <w:r>
              <w:rPr>
                <w:rFonts w:hint="eastAsia" w:hAnsi="宋体"/>
                <w:color w:val="000000"/>
                <w:szCs w:val="21"/>
              </w:rPr>
              <w:t>12W;带出口指示</w:t>
            </w:r>
          </w:p>
        </w:tc>
        <w:tc>
          <w:tcPr>
            <w:tcW w:w="709" w:type="dxa"/>
          </w:tcPr>
          <w:p>
            <w:pPr>
              <w:pStyle w:val="42"/>
              <w:jc w:val="center"/>
              <w:rPr>
                <w:rFonts w:hAnsi="宋体"/>
                <w:color w:val="000000" w:themeColor="text1"/>
                <w:szCs w:val="21"/>
                <w14:textFill>
                  <w14:solidFill>
                    <w14:schemeClr w14:val="tx1"/>
                  </w14:solidFill>
                </w14:textFill>
              </w:rPr>
            </w:pPr>
            <w:r>
              <w:rPr>
                <w:rFonts w:hint="eastAsia" w:hAnsi="宋体"/>
                <w:color w:val="000000"/>
                <w:szCs w:val="21"/>
              </w:rPr>
              <w:t>只</w:t>
            </w:r>
          </w:p>
        </w:tc>
        <w:tc>
          <w:tcPr>
            <w:tcW w:w="851" w:type="dxa"/>
          </w:tcPr>
          <w:p>
            <w:pPr>
              <w:pStyle w:val="42"/>
              <w:jc w:val="center"/>
              <w:rPr>
                <w:rFonts w:hAnsi="宋体"/>
                <w:color w:val="000000" w:themeColor="text1"/>
                <w:szCs w:val="21"/>
                <w14:textFill>
                  <w14:solidFill>
                    <w14:schemeClr w14:val="tx1"/>
                  </w14:solidFill>
                </w14:textFill>
              </w:rPr>
            </w:pPr>
            <w:r>
              <w:rPr>
                <w:rFonts w:hAnsi="宋体"/>
                <w:color w:val="000000"/>
                <w:szCs w:val="21"/>
              </w:rPr>
              <w:t>4</w:t>
            </w:r>
          </w:p>
        </w:tc>
        <w:tc>
          <w:tcPr>
            <w:tcW w:w="1229" w:type="dxa"/>
          </w:tcPr>
          <w:p>
            <w:pPr>
              <w:pStyle w:val="42"/>
              <w:jc w:val="center"/>
              <w:rPr>
                <w:rFonts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备品备件</w:t>
            </w:r>
          </w:p>
        </w:tc>
        <w:tc>
          <w:tcPr>
            <w:tcW w:w="458" w:type="dxa"/>
          </w:tcPr>
          <w:p>
            <w:pPr>
              <w:pStyle w:val="42"/>
              <w:jc w:val="center"/>
              <w:rPr>
                <w:rFonts w:hAnsi="宋体"/>
                <w:color w:val="000000" w:themeColor="text1"/>
                <w:szCs w:val="21"/>
                <w14:textFill>
                  <w14:solidFill>
                    <w14:schemeClr w14:val="tx1"/>
                  </w14:solidFill>
                </w14:textFill>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jc w:val="center"/>
        </w:trPr>
        <w:tc>
          <w:tcPr>
            <w:tcW w:w="484" w:type="dxa"/>
          </w:tcPr>
          <w:p>
            <w:pPr>
              <w:pStyle w:val="42"/>
              <w:jc w:val="center"/>
              <w:rPr>
                <w:rFonts w:hAnsi="宋体"/>
                <w:color w:val="000000" w:themeColor="text1"/>
                <w:szCs w:val="21"/>
                <w14:textFill>
                  <w14:solidFill>
                    <w14:schemeClr w14:val="tx1"/>
                  </w14:solidFill>
                </w14:textFill>
              </w:rPr>
            </w:pPr>
            <w:r>
              <w:rPr>
                <w:rFonts w:hAnsi="宋体"/>
                <w:color w:val="000000" w:themeColor="text1"/>
                <w:szCs w:val="21"/>
                <w14:textFill>
                  <w14:solidFill>
                    <w14:schemeClr w14:val="tx1"/>
                  </w14:solidFill>
                </w14:textFill>
              </w:rPr>
              <w:t>5</w:t>
            </w:r>
          </w:p>
        </w:tc>
        <w:tc>
          <w:tcPr>
            <w:tcW w:w="2106" w:type="dxa"/>
          </w:tcPr>
          <w:p>
            <w:pPr>
              <w:pStyle w:val="42"/>
              <w:jc w:val="center"/>
              <w:rPr>
                <w:rFonts w:hAnsi="宋体"/>
                <w:color w:val="000000" w:themeColor="text1"/>
                <w:szCs w:val="21"/>
                <w14:textFill>
                  <w14:solidFill>
                    <w14:schemeClr w14:val="tx1"/>
                  </w14:solidFill>
                </w14:textFill>
              </w:rPr>
            </w:pPr>
            <w:r>
              <w:rPr>
                <w:rFonts w:hint="eastAsia" w:hAnsi="宋体"/>
                <w:color w:val="000000"/>
                <w:szCs w:val="21"/>
              </w:rPr>
              <w:t>电暖气</w:t>
            </w:r>
          </w:p>
        </w:tc>
        <w:tc>
          <w:tcPr>
            <w:tcW w:w="2551" w:type="dxa"/>
          </w:tcPr>
          <w:p>
            <w:pPr>
              <w:pStyle w:val="42"/>
              <w:jc w:val="center"/>
              <w:rPr>
                <w:rFonts w:hAnsi="宋体"/>
                <w:color w:val="000000" w:themeColor="text1"/>
                <w:szCs w:val="21"/>
                <w14:textFill>
                  <w14:solidFill>
                    <w14:schemeClr w14:val="tx1"/>
                  </w14:solidFill>
                </w14:textFill>
              </w:rPr>
            </w:pPr>
            <w:r>
              <w:rPr>
                <w:rFonts w:hint="eastAsia" w:hAnsi="宋体"/>
                <w:color w:val="000000"/>
                <w:szCs w:val="21"/>
              </w:rPr>
              <w:t>KSRD-1000</w:t>
            </w:r>
          </w:p>
        </w:tc>
        <w:tc>
          <w:tcPr>
            <w:tcW w:w="709" w:type="dxa"/>
          </w:tcPr>
          <w:p>
            <w:pPr>
              <w:pStyle w:val="42"/>
              <w:jc w:val="center"/>
              <w:rPr>
                <w:rFonts w:hAnsi="宋体"/>
                <w:color w:val="000000" w:themeColor="text1"/>
                <w:szCs w:val="21"/>
                <w14:textFill>
                  <w14:solidFill>
                    <w14:schemeClr w14:val="tx1"/>
                  </w14:solidFill>
                </w14:textFill>
              </w:rPr>
            </w:pPr>
            <w:r>
              <w:rPr>
                <w:rFonts w:hint="eastAsia" w:hAnsi="宋体"/>
                <w:color w:val="000000"/>
                <w:szCs w:val="21"/>
              </w:rPr>
              <w:t>台</w:t>
            </w:r>
          </w:p>
        </w:tc>
        <w:tc>
          <w:tcPr>
            <w:tcW w:w="851" w:type="dxa"/>
          </w:tcPr>
          <w:p>
            <w:pPr>
              <w:pStyle w:val="42"/>
              <w:jc w:val="center"/>
              <w:rPr>
                <w:rFonts w:hAnsi="宋体"/>
                <w:color w:val="000000" w:themeColor="text1"/>
                <w:szCs w:val="21"/>
                <w14:textFill>
                  <w14:solidFill>
                    <w14:schemeClr w14:val="tx1"/>
                  </w14:solidFill>
                </w14:textFill>
              </w:rPr>
            </w:pPr>
            <w:r>
              <w:rPr>
                <w:rFonts w:hint="eastAsia" w:hAnsi="宋体"/>
                <w:color w:val="000000"/>
                <w:szCs w:val="21"/>
              </w:rPr>
              <w:t>3</w:t>
            </w:r>
          </w:p>
        </w:tc>
        <w:tc>
          <w:tcPr>
            <w:tcW w:w="1229" w:type="dxa"/>
          </w:tcPr>
          <w:p>
            <w:pPr>
              <w:pStyle w:val="42"/>
              <w:jc w:val="center"/>
              <w:rPr>
                <w:rFonts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备品备件</w:t>
            </w:r>
          </w:p>
        </w:tc>
        <w:tc>
          <w:tcPr>
            <w:tcW w:w="458" w:type="dxa"/>
          </w:tcPr>
          <w:p>
            <w:pPr>
              <w:pStyle w:val="42"/>
              <w:jc w:val="center"/>
              <w:rPr>
                <w:rFonts w:hAnsi="宋体"/>
                <w:color w:val="000000" w:themeColor="text1"/>
                <w:szCs w:val="21"/>
                <w14:textFill>
                  <w14:solidFill>
                    <w14:schemeClr w14:val="tx1"/>
                  </w14:solidFill>
                </w14:textFill>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jc w:val="center"/>
        </w:trPr>
        <w:tc>
          <w:tcPr>
            <w:tcW w:w="484" w:type="dxa"/>
          </w:tcPr>
          <w:p>
            <w:pPr>
              <w:pStyle w:val="42"/>
              <w:jc w:val="center"/>
              <w:rPr>
                <w:rFonts w:hAnsi="宋体"/>
                <w:color w:val="000000" w:themeColor="text1"/>
                <w:szCs w:val="21"/>
                <w14:textFill>
                  <w14:solidFill>
                    <w14:schemeClr w14:val="tx1"/>
                  </w14:solidFill>
                </w14:textFill>
              </w:rPr>
            </w:pPr>
            <w:r>
              <w:rPr>
                <w:rFonts w:hAnsi="宋体"/>
                <w:color w:val="000000" w:themeColor="text1"/>
                <w:szCs w:val="21"/>
                <w14:textFill>
                  <w14:solidFill>
                    <w14:schemeClr w14:val="tx1"/>
                  </w14:solidFill>
                </w14:textFill>
              </w:rPr>
              <w:t>6</w:t>
            </w:r>
          </w:p>
        </w:tc>
        <w:tc>
          <w:tcPr>
            <w:tcW w:w="2106" w:type="dxa"/>
            <w:vAlign w:val="top"/>
          </w:tcPr>
          <w:p>
            <w:pPr>
              <w:pStyle w:val="42"/>
              <w:jc w:val="center"/>
              <w:rPr>
                <w:rFonts w:hint="default" w:ascii="宋体" w:hAnsi="宋体" w:eastAsia="宋体" w:cs="Times New Roman"/>
                <w:color w:val="000000"/>
                <w:kern w:val="0"/>
                <w:sz w:val="20"/>
                <w:szCs w:val="21"/>
                <w:highlight w:val="none"/>
                <w:lang w:val="en-US" w:eastAsia="zh-CN" w:bidi="ar-SA"/>
              </w:rPr>
            </w:pPr>
            <w:r>
              <w:rPr>
                <w:rFonts w:hint="eastAsia" w:hAnsi="宋体"/>
                <w:color w:val="000000"/>
                <w:szCs w:val="21"/>
                <w:highlight w:val="none"/>
                <w:lang w:val="en-US" w:eastAsia="zh-CN"/>
              </w:rPr>
              <w:t>套筒套装工具</w:t>
            </w:r>
          </w:p>
        </w:tc>
        <w:tc>
          <w:tcPr>
            <w:tcW w:w="2551" w:type="dxa"/>
            <w:vAlign w:val="top"/>
          </w:tcPr>
          <w:p>
            <w:pPr>
              <w:pStyle w:val="42"/>
              <w:jc w:val="center"/>
              <w:rPr>
                <w:rFonts w:hint="default" w:ascii="宋体" w:hAnsi="宋体" w:eastAsia="宋体" w:cs="Times New Roman"/>
                <w:color w:val="000000"/>
                <w:kern w:val="0"/>
                <w:sz w:val="20"/>
                <w:szCs w:val="21"/>
                <w:highlight w:val="none"/>
                <w:lang w:val="en-US" w:eastAsia="zh-CN" w:bidi="ar-SA"/>
              </w:rPr>
            </w:pPr>
            <w:r>
              <w:rPr>
                <w:rFonts w:hint="eastAsia" w:hAnsi="宋体"/>
                <w:color w:val="000000"/>
                <w:szCs w:val="21"/>
                <w:highlight w:val="none"/>
                <w:lang w:val="en-US" w:eastAsia="zh-CN"/>
              </w:rPr>
              <w:t>72齿，8-24套筒，中飞安装头</w:t>
            </w:r>
          </w:p>
        </w:tc>
        <w:tc>
          <w:tcPr>
            <w:tcW w:w="709" w:type="dxa"/>
            <w:vAlign w:val="top"/>
          </w:tcPr>
          <w:p>
            <w:pPr>
              <w:pStyle w:val="42"/>
              <w:jc w:val="center"/>
              <w:rPr>
                <w:rFonts w:hint="default" w:ascii="宋体" w:hAnsi="宋体" w:eastAsia="宋体" w:cs="Times New Roman"/>
                <w:color w:val="000000"/>
                <w:kern w:val="0"/>
                <w:sz w:val="20"/>
                <w:szCs w:val="21"/>
                <w:highlight w:val="none"/>
                <w:lang w:val="en-US" w:eastAsia="zh-CN" w:bidi="ar-SA"/>
              </w:rPr>
            </w:pPr>
            <w:r>
              <w:rPr>
                <w:rFonts w:hint="eastAsia" w:hAnsi="宋体"/>
                <w:color w:val="000000"/>
                <w:szCs w:val="21"/>
                <w:highlight w:val="none"/>
                <w:lang w:val="en-US" w:eastAsia="zh-CN"/>
              </w:rPr>
              <w:t>套</w:t>
            </w:r>
          </w:p>
        </w:tc>
        <w:tc>
          <w:tcPr>
            <w:tcW w:w="851" w:type="dxa"/>
            <w:vAlign w:val="top"/>
          </w:tcPr>
          <w:p>
            <w:pPr>
              <w:pStyle w:val="42"/>
              <w:jc w:val="center"/>
              <w:rPr>
                <w:rFonts w:hint="eastAsia" w:ascii="宋体" w:hAnsi="宋体" w:eastAsia="宋体" w:cs="Times New Roman"/>
                <w:color w:val="000000"/>
                <w:kern w:val="0"/>
                <w:sz w:val="20"/>
                <w:szCs w:val="21"/>
                <w:highlight w:val="none"/>
                <w:lang w:val="en-US" w:eastAsia="zh-CN" w:bidi="ar-SA"/>
              </w:rPr>
            </w:pPr>
            <w:r>
              <w:rPr>
                <w:rFonts w:hint="eastAsia" w:hAnsi="宋体"/>
                <w:color w:val="000000"/>
                <w:szCs w:val="21"/>
                <w:highlight w:val="none"/>
                <w:lang w:val="en-US" w:eastAsia="zh-CN"/>
              </w:rPr>
              <w:t>3</w:t>
            </w:r>
          </w:p>
        </w:tc>
        <w:tc>
          <w:tcPr>
            <w:tcW w:w="1229" w:type="dxa"/>
            <w:vAlign w:val="top"/>
          </w:tcPr>
          <w:p>
            <w:pPr>
              <w:pStyle w:val="42"/>
              <w:jc w:val="center"/>
              <w:rPr>
                <w:rFonts w:hint="eastAsia" w:ascii="宋体" w:hAnsi="宋体" w:eastAsia="宋体" w:cs="Times New Roman"/>
                <w:color w:val="000000"/>
                <w:kern w:val="0"/>
                <w:sz w:val="20"/>
                <w:szCs w:val="21"/>
                <w:highlight w:val="none"/>
                <w:lang w:val="en-US" w:eastAsia="zh-CN" w:bidi="ar-SA"/>
              </w:rPr>
            </w:pPr>
            <w:r>
              <w:rPr>
                <w:rFonts w:hint="eastAsia" w:hAnsi="宋体"/>
                <w:color w:val="000000"/>
                <w:szCs w:val="21"/>
                <w:highlight w:val="none"/>
                <w:lang w:val="en-US" w:eastAsia="zh-CN"/>
              </w:rPr>
              <w:t>维护工具</w:t>
            </w:r>
          </w:p>
        </w:tc>
        <w:tc>
          <w:tcPr>
            <w:tcW w:w="458" w:type="dxa"/>
          </w:tcPr>
          <w:p>
            <w:pPr>
              <w:pStyle w:val="42"/>
              <w:jc w:val="center"/>
              <w:rPr>
                <w:rFonts w:hAnsi="宋体"/>
                <w:color w:val="000000" w:themeColor="text1"/>
                <w:szCs w:val="21"/>
                <w14:textFill>
                  <w14:solidFill>
                    <w14:schemeClr w14:val="tx1"/>
                  </w14:solidFill>
                </w14:textFill>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jc w:val="center"/>
        </w:trPr>
        <w:tc>
          <w:tcPr>
            <w:tcW w:w="484" w:type="dxa"/>
          </w:tcPr>
          <w:p>
            <w:pPr>
              <w:pStyle w:val="42"/>
              <w:jc w:val="center"/>
              <w:rPr>
                <w:rFonts w:hAnsi="宋体"/>
                <w:color w:val="000000" w:themeColor="text1"/>
                <w:szCs w:val="21"/>
                <w14:textFill>
                  <w14:solidFill>
                    <w14:schemeClr w14:val="tx1"/>
                  </w14:solidFill>
                </w14:textFill>
              </w:rPr>
            </w:pPr>
            <w:r>
              <w:rPr>
                <w:rFonts w:hAnsi="宋体"/>
                <w:color w:val="000000" w:themeColor="text1"/>
                <w:szCs w:val="21"/>
                <w14:textFill>
                  <w14:solidFill>
                    <w14:schemeClr w14:val="tx1"/>
                  </w14:solidFill>
                </w14:textFill>
              </w:rPr>
              <w:t>7</w:t>
            </w:r>
          </w:p>
        </w:tc>
        <w:tc>
          <w:tcPr>
            <w:tcW w:w="2106" w:type="dxa"/>
            <w:vAlign w:val="top"/>
          </w:tcPr>
          <w:p>
            <w:pPr>
              <w:pStyle w:val="42"/>
              <w:jc w:val="center"/>
              <w:rPr>
                <w:rFonts w:hint="default" w:ascii="宋体" w:hAnsi="宋体" w:eastAsia="宋体" w:cs="Times New Roman"/>
                <w:color w:val="000000"/>
                <w:kern w:val="0"/>
                <w:sz w:val="20"/>
                <w:szCs w:val="21"/>
                <w:highlight w:val="none"/>
                <w:lang w:val="en-US" w:eastAsia="zh-CN" w:bidi="ar-SA"/>
              </w:rPr>
            </w:pPr>
            <w:r>
              <w:rPr>
                <w:rFonts w:hint="eastAsia" w:hAnsi="宋体"/>
                <w:color w:val="000000"/>
                <w:szCs w:val="21"/>
                <w:highlight w:val="none"/>
                <w:lang w:val="en-US" w:eastAsia="zh-CN"/>
              </w:rPr>
              <w:t>专用工具</w:t>
            </w:r>
          </w:p>
        </w:tc>
        <w:tc>
          <w:tcPr>
            <w:tcW w:w="2551" w:type="dxa"/>
            <w:vAlign w:val="top"/>
          </w:tcPr>
          <w:p>
            <w:pPr>
              <w:pStyle w:val="42"/>
              <w:jc w:val="center"/>
              <w:rPr>
                <w:rFonts w:hint="default" w:ascii="宋体" w:hAnsi="宋体" w:eastAsia="宋体" w:cs="Times New Roman"/>
                <w:color w:val="000000"/>
                <w:kern w:val="0"/>
                <w:sz w:val="20"/>
                <w:szCs w:val="21"/>
                <w:highlight w:val="none"/>
                <w:lang w:val="en-US" w:eastAsia="zh-CN" w:bidi="ar-SA"/>
              </w:rPr>
            </w:pPr>
            <w:r>
              <w:rPr>
                <w:rFonts w:hint="eastAsia" w:hAnsi="宋体"/>
                <w:color w:val="000000"/>
                <w:szCs w:val="21"/>
                <w:highlight w:val="none"/>
                <w:lang w:val="en-US" w:eastAsia="zh-CN"/>
              </w:rPr>
              <w:t>6-19mm双头棘轮扳手套装</w:t>
            </w:r>
          </w:p>
        </w:tc>
        <w:tc>
          <w:tcPr>
            <w:tcW w:w="709" w:type="dxa"/>
            <w:vAlign w:val="top"/>
          </w:tcPr>
          <w:p>
            <w:pPr>
              <w:pStyle w:val="42"/>
              <w:jc w:val="center"/>
              <w:rPr>
                <w:rFonts w:hint="eastAsia" w:ascii="宋体" w:hAnsi="宋体" w:eastAsia="宋体" w:cs="Times New Roman"/>
                <w:color w:val="000000"/>
                <w:kern w:val="0"/>
                <w:sz w:val="20"/>
                <w:szCs w:val="21"/>
                <w:highlight w:val="none"/>
                <w:lang w:val="en-US" w:eastAsia="zh-CN" w:bidi="ar-SA"/>
              </w:rPr>
            </w:pPr>
            <w:r>
              <w:rPr>
                <w:rFonts w:hint="eastAsia" w:hAnsi="宋体"/>
                <w:color w:val="000000"/>
                <w:szCs w:val="21"/>
                <w:highlight w:val="none"/>
                <w:lang w:val="en-US" w:eastAsia="zh-CN"/>
              </w:rPr>
              <w:t>套</w:t>
            </w:r>
          </w:p>
        </w:tc>
        <w:tc>
          <w:tcPr>
            <w:tcW w:w="851" w:type="dxa"/>
            <w:vAlign w:val="top"/>
          </w:tcPr>
          <w:p>
            <w:pPr>
              <w:pStyle w:val="42"/>
              <w:jc w:val="center"/>
              <w:rPr>
                <w:rFonts w:hint="eastAsia" w:ascii="宋体" w:hAnsi="宋体" w:eastAsia="宋体" w:cs="Times New Roman"/>
                <w:color w:val="000000"/>
                <w:kern w:val="0"/>
                <w:sz w:val="20"/>
                <w:szCs w:val="21"/>
                <w:highlight w:val="none"/>
                <w:lang w:val="en-US" w:eastAsia="zh-CN" w:bidi="ar-SA"/>
              </w:rPr>
            </w:pPr>
            <w:r>
              <w:rPr>
                <w:rFonts w:hint="eastAsia" w:hAnsi="宋体"/>
                <w:color w:val="000000"/>
                <w:szCs w:val="21"/>
                <w:highlight w:val="none"/>
                <w:lang w:val="en-US" w:eastAsia="zh-CN"/>
              </w:rPr>
              <w:t>3</w:t>
            </w:r>
          </w:p>
        </w:tc>
        <w:tc>
          <w:tcPr>
            <w:tcW w:w="1229" w:type="dxa"/>
            <w:vAlign w:val="top"/>
          </w:tcPr>
          <w:p>
            <w:pPr>
              <w:pStyle w:val="42"/>
              <w:jc w:val="center"/>
              <w:rPr>
                <w:rFonts w:hint="default" w:ascii="宋体" w:hAnsi="宋体" w:eastAsia="宋体" w:cs="Times New Roman"/>
                <w:color w:val="000000"/>
                <w:kern w:val="0"/>
                <w:sz w:val="20"/>
                <w:szCs w:val="21"/>
                <w:highlight w:val="none"/>
                <w:lang w:val="en-US" w:eastAsia="zh-CN" w:bidi="ar-SA"/>
              </w:rPr>
            </w:pPr>
            <w:r>
              <w:rPr>
                <w:rFonts w:hint="eastAsia" w:hAnsi="宋体"/>
                <w:color w:val="000000"/>
                <w:szCs w:val="21"/>
                <w:highlight w:val="none"/>
                <w:lang w:val="en-US" w:eastAsia="zh-CN"/>
              </w:rPr>
              <w:t>维护工具</w:t>
            </w:r>
          </w:p>
        </w:tc>
        <w:tc>
          <w:tcPr>
            <w:tcW w:w="458" w:type="dxa"/>
          </w:tcPr>
          <w:p>
            <w:pPr>
              <w:pStyle w:val="42"/>
              <w:jc w:val="center"/>
              <w:rPr>
                <w:rFonts w:hAnsi="宋体"/>
                <w:color w:val="000000" w:themeColor="text1"/>
                <w:szCs w:val="21"/>
                <w14:textFill>
                  <w14:solidFill>
                    <w14:schemeClr w14:val="tx1"/>
                  </w14:solidFill>
                </w14:textFill>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jc w:val="center"/>
        </w:trPr>
        <w:tc>
          <w:tcPr>
            <w:tcW w:w="484" w:type="dxa"/>
          </w:tcPr>
          <w:p>
            <w:pPr>
              <w:pStyle w:val="42"/>
              <w:jc w:val="center"/>
              <w:rPr>
                <w:rFonts w:hAnsi="宋体"/>
                <w:color w:val="000000" w:themeColor="text1"/>
                <w:szCs w:val="21"/>
                <w14:textFill>
                  <w14:solidFill>
                    <w14:schemeClr w14:val="tx1"/>
                  </w14:solidFill>
                </w14:textFill>
              </w:rPr>
            </w:pPr>
            <w:r>
              <w:rPr>
                <w:rFonts w:hAnsi="宋体"/>
                <w:color w:val="000000" w:themeColor="text1"/>
                <w:szCs w:val="21"/>
                <w14:textFill>
                  <w14:solidFill>
                    <w14:schemeClr w14:val="tx1"/>
                  </w14:solidFill>
                </w14:textFill>
              </w:rPr>
              <w:t>8</w:t>
            </w:r>
          </w:p>
        </w:tc>
        <w:tc>
          <w:tcPr>
            <w:tcW w:w="2106" w:type="dxa"/>
            <w:vAlign w:val="top"/>
          </w:tcPr>
          <w:p>
            <w:pPr>
              <w:pStyle w:val="42"/>
              <w:jc w:val="center"/>
              <w:rPr>
                <w:rFonts w:hint="default" w:ascii="宋体" w:hAnsi="宋体" w:eastAsia="宋体" w:cs="Times New Roman"/>
                <w:color w:val="000000"/>
                <w:kern w:val="0"/>
                <w:sz w:val="20"/>
                <w:szCs w:val="21"/>
                <w:highlight w:val="none"/>
                <w:lang w:val="en-US" w:eastAsia="zh-CN" w:bidi="ar-SA"/>
              </w:rPr>
            </w:pPr>
            <w:r>
              <w:rPr>
                <w:rFonts w:hint="eastAsia" w:hAnsi="宋体"/>
                <w:color w:val="000000"/>
                <w:szCs w:val="21"/>
                <w:highlight w:val="none"/>
                <w:lang w:val="en-US" w:eastAsia="zh-CN"/>
              </w:rPr>
              <w:t>力矩板手工具</w:t>
            </w:r>
          </w:p>
        </w:tc>
        <w:tc>
          <w:tcPr>
            <w:tcW w:w="2551" w:type="dxa"/>
            <w:vAlign w:val="top"/>
          </w:tcPr>
          <w:p>
            <w:pPr>
              <w:pStyle w:val="42"/>
              <w:jc w:val="center"/>
              <w:rPr>
                <w:rFonts w:hint="default" w:ascii="宋体" w:hAnsi="宋体" w:eastAsia="宋体" w:cs="Times New Roman"/>
                <w:color w:val="000000"/>
                <w:kern w:val="0"/>
                <w:sz w:val="20"/>
                <w:szCs w:val="21"/>
                <w:highlight w:val="none"/>
                <w:lang w:val="en-US" w:eastAsia="zh-CN" w:bidi="ar-SA"/>
              </w:rPr>
            </w:pPr>
            <w:r>
              <w:rPr>
                <w:rFonts w:hint="eastAsia" w:hAnsi="宋体"/>
                <w:color w:val="000000"/>
                <w:szCs w:val="21"/>
                <w:highlight w:val="none"/>
                <w:lang w:val="en-US" w:eastAsia="zh-CN"/>
              </w:rPr>
              <w:t>72齿，可调式10-120N.M、中飞3/8安装头；</w:t>
            </w:r>
          </w:p>
        </w:tc>
        <w:tc>
          <w:tcPr>
            <w:tcW w:w="709" w:type="dxa"/>
            <w:vAlign w:val="top"/>
          </w:tcPr>
          <w:p>
            <w:pPr>
              <w:pStyle w:val="42"/>
              <w:jc w:val="center"/>
              <w:rPr>
                <w:rFonts w:hint="eastAsia" w:ascii="宋体" w:hAnsi="宋体" w:eastAsia="宋体" w:cs="Times New Roman"/>
                <w:color w:val="000000"/>
                <w:kern w:val="0"/>
                <w:sz w:val="20"/>
                <w:szCs w:val="21"/>
                <w:highlight w:val="none"/>
                <w:lang w:val="en-US" w:eastAsia="zh-CN" w:bidi="ar-SA"/>
              </w:rPr>
            </w:pPr>
            <w:r>
              <w:rPr>
                <w:rFonts w:hint="eastAsia" w:hAnsi="宋体"/>
                <w:color w:val="000000"/>
                <w:szCs w:val="21"/>
                <w:highlight w:val="none"/>
                <w:lang w:val="en-US" w:eastAsia="zh-CN"/>
              </w:rPr>
              <w:t>把</w:t>
            </w:r>
          </w:p>
        </w:tc>
        <w:tc>
          <w:tcPr>
            <w:tcW w:w="851" w:type="dxa"/>
            <w:vAlign w:val="top"/>
          </w:tcPr>
          <w:p>
            <w:pPr>
              <w:pStyle w:val="42"/>
              <w:jc w:val="center"/>
              <w:rPr>
                <w:rFonts w:hint="eastAsia" w:ascii="宋体" w:hAnsi="宋体" w:eastAsia="宋体" w:cs="Times New Roman"/>
                <w:color w:val="000000"/>
                <w:kern w:val="0"/>
                <w:sz w:val="20"/>
                <w:szCs w:val="21"/>
                <w:highlight w:val="none"/>
                <w:lang w:val="en-US" w:eastAsia="zh-CN" w:bidi="ar-SA"/>
              </w:rPr>
            </w:pPr>
            <w:r>
              <w:rPr>
                <w:rFonts w:hint="eastAsia" w:hAnsi="宋体"/>
                <w:color w:val="000000"/>
                <w:szCs w:val="21"/>
                <w:highlight w:val="none"/>
                <w:lang w:val="en-US" w:eastAsia="zh-CN"/>
              </w:rPr>
              <w:t>2</w:t>
            </w:r>
          </w:p>
        </w:tc>
        <w:tc>
          <w:tcPr>
            <w:tcW w:w="1229" w:type="dxa"/>
            <w:vAlign w:val="top"/>
          </w:tcPr>
          <w:p>
            <w:pPr>
              <w:pStyle w:val="42"/>
              <w:jc w:val="center"/>
              <w:rPr>
                <w:rFonts w:hint="eastAsia" w:ascii="宋体" w:hAnsi="宋体" w:eastAsia="宋体" w:cs="Times New Roman"/>
                <w:color w:val="000000"/>
                <w:kern w:val="0"/>
                <w:sz w:val="20"/>
                <w:szCs w:val="21"/>
                <w:highlight w:val="none"/>
                <w:lang w:val="en-US" w:eastAsia="zh-CN" w:bidi="ar-SA"/>
              </w:rPr>
            </w:pPr>
            <w:r>
              <w:rPr>
                <w:rFonts w:hint="eastAsia" w:hAnsi="宋体"/>
                <w:color w:val="000000"/>
                <w:szCs w:val="21"/>
                <w:highlight w:val="none"/>
                <w:lang w:val="en-US" w:eastAsia="zh-CN"/>
              </w:rPr>
              <w:t>维护工具</w:t>
            </w:r>
          </w:p>
        </w:tc>
        <w:tc>
          <w:tcPr>
            <w:tcW w:w="458" w:type="dxa"/>
          </w:tcPr>
          <w:p>
            <w:pPr>
              <w:pStyle w:val="42"/>
              <w:jc w:val="center"/>
              <w:rPr>
                <w:rFonts w:hAnsi="宋体"/>
                <w:color w:val="000000" w:themeColor="text1"/>
                <w:szCs w:val="21"/>
                <w14:textFill>
                  <w14:solidFill>
                    <w14:schemeClr w14:val="tx1"/>
                  </w14:solidFill>
                </w14:textFill>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jc w:val="center"/>
        </w:trPr>
        <w:tc>
          <w:tcPr>
            <w:tcW w:w="484" w:type="dxa"/>
          </w:tcPr>
          <w:p>
            <w:pPr>
              <w:pStyle w:val="42"/>
              <w:jc w:val="center"/>
              <w:rPr>
                <w:rFonts w:hAnsi="宋体"/>
                <w:color w:val="000000" w:themeColor="text1"/>
                <w:szCs w:val="21"/>
                <w14:textFill>
                  <w14:solidFill>
                    <w14:schemeClr w14:val="tx1"/>
                  </w14:solidFill>
                </w14:textFill>
              </w:rPr>
            </w:pPr>
            <w:r>
              <w:rPr>
                <w:rFonts w:hAnsi="宋体"/>
                <w:color w:val="000000" w:themeColor="text1"/>
                <w:szCs w:val="21"/>
                <w14:textFill>
                  <w14:solidFill>
                    <w14:schemeClr w14:val="tx1"/>
                  </w14:solidFill>
                </w14:textFill>
              </w:rPr>
              <w:t>9</w:t>
            </w:r>
          </w:p>
        </w:tc>
        <w:tc>
          <w:tcPr>
            <w:tcW w:w="2106" w:type="dxa"/>
            <w:vAlign w:val="center"/>
          </w:tcPr>
          <w:p>
            <w:pPr>
              <w:pStyle w:val="42"/>
              <w:jc w:val="center"/>
              <w:rPr>
                <w:rFonts w:hAnsi="宋体"/>
                <w:color w:val="000000" w:themeColor="text1"/>
                <w:szCs w:val="21"/>
                <w14:textFill>
                  <w14:solidFill>
                    <w14:schemeClr w14:val="tx1"/>
                  </w14:solidFill>
                </w14:textFill>
              </w:rPr>
            </w:pPr>
          </w:p>
        </w:tc>
        <w:tc>
          <w:tcPr>
            <w:tcW w:w="2551" w:type="dxa"/>
          </w:tcPr>
          <w:p>
            <w:pPr>
              <w:pStyle w:val="42"/>
              <w:jc w:val="center"/>
              <w:rPr>
                <w:rFonts w:hAnsi="宋体"/>
                <w:color w:val="000000" w:themeColor="text1"/>
                <w:szCs w:val="21"/>
                <w14:textFill>
                  <w14:solidFill>
                    <w14:schemeClr w14:val="tx1"/>
                  </w14:solidFill>
                </w14:textFill>
              </w:rPr>
            </w:pPr>
          </w:p>
        </w:tc>
        <w:tc>
          <w:tcPr>
            <w:tcW w:w="709" w:type="dxa"/>
            <w:vAlign w:val="center"/>
          </w:tcPr>
          <w:p>
            <w:pPr>
              <w:pStyle w:val="42"/>
              <w:jc w:val="center"/>
              <w:rPr>
                <w:rFonts w:hAnsi="宋体"/>
                <w:color w:val="000000" w:themeColor="text1"/>
                <w:szCs w:val="21"/>
                <w14:textFill>
                  <w14:solidFill>
                    <w14:schemeClr w14:val="tx1"/>
                  </w14:solidFill>
                </w14:textFill>
              </w:rPr>
            </w:pPr>
          </w:p>
        </w:tc>
        <w:tc>
          <w:tcPr>
            <w:tcW w:w="851" w:type="dxa"/>
            <w:vAlign w:val="center"/>
          </w:tcPr>
          <w:p>
            <w:pPr>
              <w:pStyle w:val="42"/>
              <w:jc w:val="center"/>
              <w:rPr>
                <w:rFonts w:hAnsi="宋体"/>
                <w:color w:val="000000" w:themeColor="text1"/>
                <w:szCs w:val="21"/>
                <w14:textFill>
                  <w14:solidFill>
                    <w14:schemeClr w14:val="tx1"/>
                  </w14:solidFill>
                </w14:textFill>
              </w:rPr>
            </w:pPr>
          </w:p>
        </w:tc>
        <w:tc>
          <w:tcPr>
            <w:tcW w:w="1229" w:type="dxa"/>
          </w:tcPr>
          <w:p>
            <w:pPr>
              <w:pStyle w:val="42"/>
              <w:jc w:val="center"/>
              <w:rPr>
                <w:rFonts w:hAnsi="宋体"/>
                <w:color w:val="000000" w:themeColor="text1"/>
                <w:szCs w:val="21"/>
                <w14:textFill>
                  <w14:solidFill>
                    <w14:schemeClr w14:val="tx1"/>
                  </w14:solidFill>
                </w14:textFill>
              </w:rPr>
            </w:pPr>
          </w:p>
        </w:tc>
        <w:tc>
          <w:tcPr>
            <w:tcW w:w="458" w:type="dxa"/>
          </w:tcPr>
          <w:p>
            <w:pPr>
              <w:pStyle w:val="42"/>
              <w:jc w:val="center"/>
              <w:rPr>
                <w:rFonts w:hAnsi="宋体"/>
                <w:color w:val="000000" w:themeColor="text1"/>
                <w:szCs w:val="21"/>
                <w14:textFill>
                  <w14:solidFill>
                    <w14:schemeClr w14:val="tx1"/>
                  </w14:solidFill>
                </w14:textFill>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jc w:val="center"/>
        </w:trPr>
        <w:tc>
          <w:tcPr>
            <w:tcW w:w="484" w:type="dxa"/>
          </w:tcPr>
          <w:p>
            <w:pPr>
              <w:pStyle w:val="42"/>
              <w:jc w:val="center"/>
              <w:rPr>
                <w:rFonts w:hAnsi="宋体"/>
                <w:color w:val="000000" w:themeColor="text1"/>
                <w:szCs w:val="21"/>
                <w14:textFill>
                  <w14:solidFill>
                    <w14:schemeClr w14:val="tx1"/>
                  </w14:solidFill>
                </w14:textFill>
              </w:rPr>
            </w:pPr>
          </w:p>
        </w:tc>
        <w:tc>
          <w:tcPr>
            <w:tcW w:w="2106" w:type="dxa"/>
            <w:vAlign w:val="center"/>
          </w:tcPr>
          <w:p>
            <w:pPr>
              <w:pStyle w:val="42"/>
              <w:jc w:val="center"/>
              <w:rPr>
                <w:rFonts w:hAnsi="宋体"/>
                <w:color w:val="000000" w:themeColor="text1"/>
                <w:szCs w:val="21"/>
                <w14:textFill>
                  <w14:solidFill>
                    <w14:schemeClr w14:val="tx1"/>
                  </w14:solidFill>
                </w14:textFill>
              </w:rPr>
            </w:pPr>
          </w:p>
        </w:tc>
        <w:tc>
          <w:tcPr>
            <w:tcW w:w="2551" w:type="dxa"/>
          </w:tcPr>
          <w:p>
            <w:pPr>
              <w:pStyle w:val="42"/>
              <w:jc w:val="center"/>
              <w:rPr>
                <w:rFonts w:hAnsi="宋体"/>
                <w:color w:val="000000" w:themeColor="text1"/>
                <w:szCs w:val="21"/>
                <w14:textFill>
                  <w14:solidFill>
                    <w14:schemeClr w14:val="tx1"/>
                  </w14:solidFill>
                </w14:textFill>
              </w:rPr>
            </w:pPr>
          </w:p>
        </w:tc>
        <w:tc>
          <w:tcPr>
            <w:tcW w:w="709" w:type="dxa"/>
            <w:vAlign w:val="center"/>
          </w:tcPr>
          <w:p>
            <w:pPr>
              <w:pStyle w:val="42"/>
              <w:jc w:val="center"/>
              <w:rPr>
                <w:rFonts w:hAnsi="宋体"/>
                <w:color w:val="000000" w:themeColor="text1"/>
                <w:szCs w:val="21"/>
                <w14:textFill>
                  <w14:solidFill>
                    <w14:schemeClr w14:val="tx1"/>
                  </w14:solidFill>
                </w14:textFill>
              </w:rPr>
            </w:pPr>
          </w:p>
        </w:tc>
        <w:tc>
          <w:tcPr>
            <w:tcW w:w="851" w:type="dxa"/>
            <w:vAlign w:val="center"/>
          </w:tcPr>
          <w:p>
            <w:pPr>
              <w:pStyle w:val="42"/>
              <w:jc w:val="center"/>
              <w:rPr>
                <w:rFonts w:hAnsi="宋体"/>
                <w:color w:val="000000" w:themeColor="text1"/>
                <w:szCs w:val="21"/>
                <w14:textFill>
                  <w14:solidFill>
                    <w14:schemeClr w14:val="tx1"/>
                  </w14:solidFill>
                </w14:textFill>
              </w:rPr>
            </w:pPr>
          </w:p>
        </w:tc>
        <w:tc>
          <w:tcPr>
            <w:tcW w:w="1229" w:type="dxa"/>
          </w:tcPr>
          <w:p>
            <w:pPr>
              <w:pStyle w:val="42"/>
              <w:jc w:val="center"/>
              <w:rPr>
                <w:rFonts w:hAnsi="宋体"/>
                <w:color w:val="000000" w:themeColor="text1"/>
                <w:szCs w:val="21"/>
                <w14:textFill>
                  <w14:solidFill>
                    <w14:schemeClr w14:val="tx1"/>
                  </w14:solidFill>
                </w14:textFill>
              </w:rPr>
            </w:pPr>
          </w:p>
        </w:tc>
        <w:tc>
          <w:tcPr>
            <w:tcW w:w="458" w:type="dxa"/>
          </w:tcPr>
          <w:p>
            <w:pPr>
              <w:pStyle w:val="42"/>
              <w:jc w:val="center"/>
              <w:rPr>
                <w:rFonts w:hAnsi="宋体"/>
                <w:color w:val="000000" w:themeColor="text1"/>
                <w:szCs w:val="21"/>
                <w14:textFill>
                  <w14:solidFill>
                    <w14:schemeClr w14:val="tx1"/>
                  </w14:solidFill>
                </w14:textFill>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jc w:val="center"/>
        </w:trPr>
        <w:tc>
          <w:tcPr>
            <w:tcW w:w="484" w:type="dxa"/>
          </w:tcPr>
          <w:p>
            <w:pPr>
              <w:pStyle w:val="42"/>
              <w:jc w:val="center"/>
              <w:rPr>
                <w:rFonts w:hAnsi="宋体"/>
                <w:color w:val="000000" w:themeColor="text1"/>
                <w:szCs w:val="21"/>
                <w14:textFill>
                  <w14:solidFill>
                    <w14:schemeClr w14:val="tx1"/>
                  </w14:solidFill>
                </w14:textFill>
              </w:rPr>
            </w:pPr>
          </w:p>
        </w:tc>
        <w:tc>
          <w:tcPr>
            <w:tcW w:w="2106" w:type="dxa"/>
          </w:tcPr>
          <w:p>
            <w:pPr>
              <w:pStyle w:val="42"/>
              <w:jc w:val="center"/>
              <w:rPr>
                <w:rFonts w:hAnsi="宋体"/>
                <w:color w:val="000000" w:themeColor="text1"/>
                <w:szCs w:val="21"/>
                <w14:textFill>
                  <w14:solidFill>
                    <w14:schemeClr w14:val="tx1"/>
                  </w14:solidFill>
                </w14:textFill>
              </w:rPr>
            </w:pPr>
          </w:p>
        </w:tc>
        <w:tc>
          <w:tcPr>
            <w:tcW w:w="2551" w:type="dxa"/>
          </w:tcPr>
          <w:p>
            <w:pPr>
              <w:pStyle w:val="42"/>
              <w:jc w:val="center"/>
              <w:rPr>
                <w:rFonts w:hAnsi="宋体"/>
                <w:color w:val="000000" w:themeColor="text1"/>
                <w:szCs w:val="21"/>
                <w14:textFill>
                  <w14:solidFill>
                    <w14:schemeClr w14:val="tx1"/>
                  </w14:solidFill>
                </w14:textFill>
              </w:rPr>
            </w:pPr>
          </w:p>
        </w:tc>
        <w:tc>
          <w:tcPr>
            <w:tcW w:w="709" w:type="dxa"/>
          </w:tcPr>
          <w:p>
            <w:pPr>
              <w:pStyle w:val="42"/>
              <w:jc w:val="center"/>
              <w:rPr>
                <w:rFonts w:hAnsi="宋体"/>
                <w:color w:val="000000" w:themeColor="text1"/>
                <w:szCs w:val="21"/>
                <w14:textFill>
                  <w14:solidFill>
                    <w14:schemeClr w14:val="tx1"/>
                  </w14:solidFill>
                </w14:textFill>
              </w:rPr>
            </w:pPr>
          </w:p>
        </w:tc>
        <w:tc>
          <w:tcPr>
            <w:tcW w:w="851" w:type="dxa"/>
          </w:tcPr>
          <w:p>
            <w:pPr>
              <w:pStyle w:val="42"/>
              <w:jc w:val="center"/>
              <w:rPr>
                <w:rFonts w:hAnsi="宋体"/>
                <w:color w:val="000000" w:themeColor="text1"/>
                <w:szCs w:val="21"/>
                <w14:textFill>
                  <w14:solidFill>
                    <w14:schemeClr w14:val="tx1"/>
                  </w14:solidFill>
                </w14:textFill>
              </w:rPr>
            </w:pPr>
          </w:p>
        </w:tc>
        <w:tc>
          <w:tcPr>
            <w:tcW w:w="1229" w:type="dxa"/>
          </w:tcPr>
          <w:p>
            <w:pPr>
              <w:pStyle w:val="42"/>
              <w:jc w:val="center"/>
              <w:rPr>
                <w:rFonts w:hAnsi="宋体"/>
                <w:color w:val="000000" w:themeColor="text1"/>
                <w:szCs w:val="21"/>
                <w14:textFill>
                  <w14:solidFill>
                    <w14:schemeClr w14:val="tx1"/>
                  </w14:solidFill>
                </w14:textFill>
              </w:rPr>
            </w:pPr>
          </w:p>
        </w:tc>
        <w:tc>
          <w:tcPr>
            <w:tcW w:w="458" w:type="dxa"/>
          </w:tcPr>
          <w:p>
            <w:pPr>
              <w:pStyle w:val="42"/>
              <w:jc w:val="center"/>
              <w:rPr>
                <w:rFonts w:hAnsi="宋体"/>
                <w:color w:val="000000" w:themeColor="text1"/>
                <w:szCs w:val="21"/>
                <w14:textFill>
                  <w14:solidFill>
                    <w14:schemeClr w14:val="tx1"/>
                  </w14:solidFill>
                </w14:textFill>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jc w:val="center"/>
        </w:trPr>
        <w:tc>
          <w:tcPr>
            <w:tcW w:w="484" w:type="dxa"/>
          </w:tcPr>
          <w:p>
            <w:pPr>
              <w:pStyle w:val="42"/>
              <w:jc w:val="center"/>
              <w:rPr>
                <w:rFonts w:hAnsi="宋体"/>
                <w:color w:val="000000" w:themeColor="text1"/>
                <w:szCs w:val="21"/>
                <w14:textFill>
                  <w14:solidFill>
                    <w14:schemeClr w14:val="tx1"/>
                  </w14:solidFill>
                </w14:textFill>
              </w:rPr>
            </w:pPr>
          </w:p>
        </w:tc>
        <w:tc>
          <w:tcPr>
            <w:tcW w:w="2106" w:type="dxa"/>
          </w:tcPr>
          <w:p>
            <w:pPr>
              <w:pStyle w:val="42"/>
              <w:jc w:val="center"/>
              <w:rPr>
                <w:rFonts w:hAnsi="宋体"/>
                <w:color w:val="000000" w:themeColor="text1"/>
                <w:szCs w:val="21"/>
                <w14:textFill>
                  <w14:solidFill>
                    <w14:schemeClr w14:val="tx1"/>
                  </w14:solidFill>
                </w14:textFill>
              </w:rPr>
            </w:pPr>
          </w:p>
        </w:tc>
        <w:tc>
          <w:tcPr>
            <w:tcW w:w="2551" w:type="dxa"/>
          </w:tcPr>
          <w:p>
            <w:pPr>
              <w:pStyle w:val="42"/>
              <w:jc w:val="center"/>
              <w:rPr>
                <w:rFonts w:hAnsi="宋体"/>
                <w:color w:val="000000" w:themeColor="text1"/>
                <w:szCs w:val="21"/>
                <w14:textFill>
                  <w14:solidFill>
                    <w14:schemeClr w14:val="tx1"/>
                  </w14:solidFill>
                </w14:textFill>
              </w:rPr>
            </w:pPr>
          </w:p>
        </w:tc>
        <w:tc>
          <w:tcPr>
            <w:tcW w:w="709" w:type="dxa"/>
          </w:tcPr>
          <w:p>
            <w:pPr>
              <w:pStyle w:val="42"/>
              <w:jc w:val="center"/>
              <w:rPr>
                <w:rFonts w:hAnsi="宋体"/>
                <w:color w:val="000000" w:themeColor="text1"/>
                <w:szCs w:val="21"/>
                <w14:textFill>
                  <w14:solidFill>
                    <w14:schemeClr w14:val="tx1"/>
                  </w14:solidFill>
                </w14:textFill>
              </w:rPr>
            </w:pPr>
          </w:p>
        </w:tc>
        <w:tc>
          <w:tcPr>
            <w:tcW w:w="851" w:type="dxa"/>
          </w:tcPr>
          <w:p>
            <w:pPr>
              <w:pStyle w:val="42"/>
              <w:jc w:val="center"/>
              <w:rPr>
                <w:rFonts w:hAnsi="宋体"/>
                <w:color w:val="000000" w:themeColor="text1"/>
                <w:szCs w:val="21"/>
                <w14:textFill>
                  <w14:solidFill>
                    <w14:schemeClr w14:val="tx1"/>
                  </w14:solidFill>
                </w14:textFill>
              </w:rPr>
            </w:pPr>
          </w:p>
        </w:tc>
        <w:tc>
          <w:tcPr>
            <w:tcW w:w="1229" w:type="dxa"/>
          </w:tcPr>
          <w:p>
            <w:pPr>
              <w:pStyle w:val="42"/>
              <w:jc w:val="center"/>
              <w:rPr>
                <w:rFonts w:hAnsi="宋体"/>
                <w:color w:val="000000" w:themeColor="text1"/>
                <w:szCs w:val="21"/>
                <w14:textFill>
                  <w14:solidFill>
                    <w14:schemeClr w14:val="tx1"/>
                  </w14:solidFill>
                </w14:textFill>
              </w:rPr>
            </w:pPr>
          </w:p>
        </w:tc>
        <w:tc>
          <w:tcPr>
            <w:tcW w:w="458" w:type="dxa"/>
          </w:tcPr>
          <w:p>
            <w:pPr>
              <w:pStyle w:val="42"/>
              <w:jc w:val="center"/>
              <w:rPr>
                <w:rFonts w:hAnsi="宋体"/>
                <w:color w:val="000000" w:themeColor="text1"/>
                <w:szCs w:val="21"/>
                <w14:textFill>
                  <w14:solidFill>
                    <w14:schemeClr w14:val="tx1"/>
                  </w14:solidFill>
                </w14:textFill>
              </w:rPr>
            </w:pPr>
          </w:p>
        </w:tc>
      </w:tr>
    </w:tbl>
    <w:p>
      <w:pPr>
        <w:autoSpaceDE w:val="0"/>
        <w:autoSpaceDN w:val="0"/>
        <w:adjustRightInd w:val="0"/>
        <w:spacing w:line="360" w:lineRule="auto"/>
        <w:ind w:firstLine="400" w:firstLineChars="200"/>
        <w:jc w:val="left"/>
        <w:outlineLvl w:val="1"/>
        <w:rPr>
          <w:rFonts w:hint="eastAsia" w:ascii="黑体" w:hAnsi="黑体" w:eastAsia="黑体"/>
          <w:color w:val="000000"/>
          <w:highlight w:val="none"/>
        </w:rPr>
      </w:pPr>
      <w:bookmarkStart w:id="217" w:name="_Toc224641197"/>
      <w:bookmarkStart w:id="218" w:name="_Toc282433719"/>
      <w:bookmarkStart w:id="219" w:name="_Toc292019792"/>
      <w:bookmarkStart w:id="220" w:name="_Toc293332493"/>
      <w:bookmarkStart w:id="221" w:name="_Toc177995352"/>
      <w:bookmarkStart w:id="222" w:name="_Toc283011671"/>
      <w:bookmarkStart w:id="223" w:name="_Toc511891224"/>
      <w:bookmarkStart w:id="224" w:name="_Toc283142594"/>
      <w:r>
        <w:rPr>
          <w:rFonts w:hint="eastAsia"/>
          <w:b w:val="0"/>
          <w:bCs w:val="0"/>
          <w:color w:val="000000"/>
          <w:kern w:val="0"/>
          <w:sz w:val="20"/>
          <w:szCs w:val="20"/>
          <w:highlight w:val="none"/>
          <w:lang w:val="en-US" w:eastAsia="zh-CN"/>
        </w:rPr>
        <w:t>备注：</w:t>
      </w:r>
      <w:r>
        <w:rPr>
          <w:rFonts w:hint="eastAsia" w:ascii="宋体" w:hAnsi="宋体" w:eastAsia="宋体" w:cs="宋体"/>
          <w:color w:val="000000"/>
          <w:sz w:val="20"/>
          <w:szCs w:val="20"/>
          <w:highlight w:val="none"/>
        </w:rPr>
        <w:t>必备的备品备件、专用工具和仪器仪表清单</w:t>
      </w:r>
      <w:r>
        <w:rPr>
          <w:rFonts w:hint="eastAsia"/>
          <w:b w:val="0"/>
          <w:bCs w:val="0"/>
          <w:color w:val="000000"/>
          <w:kern w:val="0"/>
          <w:sz w:val="20"/>
          <w:szCs w:val="20"/>
          <w:highlight w:val="none"/>
          <w:lang w:val="en-US" w:eastAsia="zh-CN"/>
        </w:rPr>
        <w:t>以合同签订时的技术协议或技术规范书为准。</w:t>
      </w:r>
    </w:p>
    <w:p>
      <w:pPr>
        <w:pStyle w:val="3"/>
        <w:numPr>
          <w:ilvl w:val="1"/>
          <w:numId w:val="0"/>
        </w:numPr>
        <w:rPr>
          <w:rFonts w:ascii="黑体" w:hAnsi="黑体" w:eastAsia="黑体"/>
          <w:color w:val="000000" w:themeColor="text1"/>
          <w14:textFill>
            <w14:solidFill>
              <w14:schemeClr w14:val="tx1"/>
            </w14:solidFill>
          </w14:textFill>
        </w:rPr>
      </w:pPr>
      <w:r>
        <w:rPr>
          <w:rFonts w:ascii="黑体" w:hAnsi="黑体" w:eastAsia="黑体"/>
          <w:color w:val="000000" w:themeColor="text1"/>
          <w14:textFill>
            <w14:solidFill>
              <w14:schemeClr w14:val="tx1"/>
            </w14:solidFill>
          </w14:textFill>
        </w:rPr>
        <w:t xml:space="preserve">11.2 </w:t>
      </w:r>
      <w:r>
        <w:rPr>
          <w:rFonts w:hint="eastAsia" w:ascii="黑体" w:hAnsi="黑体" w:eastAsia="黑体"/>
          <w:color w:val="000000" w:themeColor="text1"/>
          <w14:textFill>
            <w14:solidFill>
              <w14:schemeClr w14:val="tx1"/>
            </w14:solidFill>
          </w14:textFill>
        </w:rPr>
        <w:t>推荐的</w:t>
      </w:r>
      <w:bookmarkEnd w:id="217"/>
      <w:r>
        <w:rPr>
          <w:rFonts w:hint="eastAsia" w:ascii="黑体" w:hAnsi="黑体" w:eastAsia="黑体"/>
          <w:color w:val="000000" w:themeColor="text1"/>
          <w14:textFill>
            <w14:solidFill>
              <w14:schemeClr w14:val="tx1"/>
            </w14:solidFill>
          </w14:textFill>
        </w:rPr>
        <w:t>备品备件、专用工具和仪器仪表</w:t>
      </w:r>
      <w:bookmarkEnd w:id="218"/>
      <w:bookmarkEnd w:id="219"/>
      <w:bookmarkEnd w:id="220"/>
      <w:bookmarkEnd w:id="221"/>
      <w:bookmarkEnd w:id="222"/>
      <w:bookmarkEnd w:id="223"/>
      <w:bookmarkEnd w:id="224"/>
    </w:p>
    <w:p>
      <w:pPr>
        <w:adjustRightInd w:val="0"/>
        <w:snapToGrid w:val="0"/>
        <w:spacing w:line="360" w:lineRule="auto"/>
        <w:ind w:firstLine="420" w:firstLineChars="200"/>
        <w:rPr>
          <w:rFonts w:ascii="宋体" w:hAnsi="宋体" w:cs="宋体-18030"/>
          <w:color w:val="000000" w:themeColor="text1"/>
          <w:szCs w:val="21"/>
          <w14:textFill>
            <w14:solidFill>
              <w14:schemeClr w14:val="tx1"/>
            </w14:solidFill>
          </w14:textFill>
        </w:rPr>
      </w:pPr>
      <w:r>
        <w:rPr>
          <w:rFonts w:hint="eastAsia" w:ascii="宋体" w:hAnsi="宋体" w:cs="宋体-18030"/>
          <w:color w:val="000000" w:themeColor="text1"/>
          <w:szCs w:val="21"/>
          <w14:textFill>
            <w14:solidFill>
              <w14:schemeClr w14:val="tx1"/>
            </w14:solidFill>
          </w14:textFill>
        </w:rPr>
        <w:t>投标方向招标方推荐另购的备品备件、和仪器仪表见表</w:t>
      </w:r>
      <w:r>
        <w:rPr>
          <w:rFonts w:ascii="宋体" w:hAnsi="宋体" w:cs="宋体-18030"/>
          <w:color w:val="000000" w:themeColor="text1"/>
          <w:szCs w:val="21"/>
          <w14:textFill>
            <w14:solidFill>
              <w14:schemeClr w14:val="tx1"/>
            </w14:solidFill>
          </w14:textFill>
        </w:rPr>
        <w:t>11.2-1</w:t>
      </w:r>
      <w:r>
        <w:rPr>
          <w:rFonts w:hint="eastAsia" w:ascii="宋体" w:hAnsi="宋体" w:cs="宋体-18030"/>
          <w:color w:val="000000" w:themeColor="text1"/>
          <w:szCs w:val="21"/>
          <w14:textFill>
            <w14:solidFill>
              <w14:schemeClr w14:val="tx1"/>
            </w14:solidFill>
          </w14:textFill>
        </w:rPr>
        <w:t>。</w:t>
      </w:r>
    </w:p>
    <w:p>
      <w:pPr>
        <w:spacing w:line="360" w:lineRule="auto"/>
        <w:jc w:val="center"/>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表</w:t>
      </w:r>
      <w:r>
        <w:rPr>
          <w:rFonts w:ascii="宋体" w:hAnsi="宋体"/>
          <w:color w:val="000000" w:themeColor="text1"/>
          <w:szCs w:val="21"/>
          <w14:textFill>
            <w14:solidFill>
              <w14:schemeClr w14:val="tx1"/>
            </w14:solidFill>
          </w14:textFill>
        </w:rPr>
        <w:t>11.2-1  推荐的备品备件、专用工仪单  （投标方填写）</w:t>
      </w:r>
    </w:p>
    <w:tbl>
      <w:tblPr>
        <w:tblStyle w:val="84"/>
        <w:tblW w:w="8388" w:type="dxa"/>
        <w:jc w:val="center"/>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108" w:type="dxa"/>
          <w:bottom w:w="0" w:type="dxa"/>
          <w:right w:w="108" w:type="dxa"/>
        </w:tblCellMar>
      </w:tblPr>
      <w:tblGrid>
        <w:gridCol w:w="484"/>
        <w:gridCol w:w="3334"/>
        <w:gridCol w:w="1855"/>
        <w:gridCol w:w="420"/>
        <w:gridCol w:w="816"/>
        <w:gridCol w:w="759"/>
        <w:gridCol w:w="720"/>
      </w:tblGrid>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jc w:val="center"/>
        </w:trPr>
        <w:tc>
          <w:tcPr>
            <w:tcW w:w="484" w:type="dxa"/>
            <w:vAlign w:val="center"/>
          </w:tcPr>
          <w:p>
            <w:pPr>
              <w:jc w:val="center"/>
              <w:rPr>
                <w:color w:val="000000" w:themeColor="text1"/>
                <w:kern w:val="0"/>
                <w:szCs w:val="21"/>
                <w14:textFill>
                  <w14:solidFill>
                    <w14:schemeClr w14:val="tx1"/>
                  </w14:solidFill>
                </w14:textFill>
              </w:rPr>
            </w:pPr>
            <w:r>
              <w:rPr>
                <w:rFonts w:hint="eastAsia"/>
                <w:color w:val="000000" w:themeColor="text1"/>
                <w:kern w:val="0"/>
                <w:szCs w:val="21"/>
                <w14:textFill>
                  <w14:solidFill>
                    <w14:schemeClr w14:val="tx1"/>
                  </w14:solidFill>
                </w14:textFill>
              </w:rPr>
              <w:t>序号</w:t>
            </w:r>
          </w:p>
        </w:tc>
        <w:tc>
          <w:tcPr>
            <w:tcW w:w="3334" w:type="dxa"/>
            <w:vAlign w:val="center"/>
          </w:tcPr>
          <w:p>
            <w:pPr>
              <w:jc w:val="center"/>
              <w:rPr>
                <w:color w:val="000000" w:themeColor="text1"/>
                <w:kern w:val="0"/>
                <w:szCs w:val="21"/>
                <w14:textFill>
                  <w14:solidFill>
                    <w14:schemeClr w14:val="tx1"/>
                  </w14:solidFill>
                </w14:textFill>
              </w:rPr>
            </w:pPr>
            <w:r>
              <w:rPr>
                <w:rFonts w:hint="eastAsia"/>
                <w:color w:val="000000" w:themeColor="text1"/>
                <w:kern w:val="0"/>
                <w:szCs w:val="21"/>
                <w14:textFill>
                  <w14:solidFill>
                    <w14:schemeClr w14:val="tx1"/>
                  </w14:solidFill>
                </w14:textFill>
              </w:rPr>
              <w:t>名称</w:t>
            </w:r>
          </w:p>
        </w:tc>
        <w:tc>
          <w:tcPr>
            <w:tcW w:w="1855" w:type="dxa"/>
            <w:vAlign w:val="center"/>
          </w:tcPr>
          <w:p>
            <w:pPr>
              <w:jc w:val="center"/>
              <w:rPr>
                <w:color w:val="000000" w:themeColor="text1"/>
                <w:kern w:val="0"/>
                <w:szCs w:val="21"/>
                <w14:textFill>
                  <w14:solidFill>
                    <w14:schemeClr w14:val="tx1"/>
                  </w14:solidFill>
                </w14:textFill>
              </w:rPr>
            </w:pPr>
            <w:r>
              <w:rPr>
                <w:rFonts w:hint="eastAsia"/>
                <w:color w:val="000000" w:themeColor="text1"/>
                <w:kern w:val="0"/>
                <w:szCs w:val="21"/>
                <w14:textFill>
                  <w14:solidFill>
                    <w14:schemeClr w14:val="tx1"/>
                  </w14:solidFill>
                </w14:textFill>
              </w:rPr>
              <w:t>型号及规格</w:t>
            </w:r>
          </w:p>
        </w:tc>
        <w:tc>
          <w:tcPr>
            <w:tcW w:w="420" w:type="dxa"/>
            <w:vAlign w:val="center"/>
          </w:tcPr>
          <w:p>
            <w:pPr>
              <w:jc w:val="center"/>
              <w:rPr>
                <w:color w:val="000000" w:themeColor="text1"/>
                <w:kern w:val="0"/>
                <w:szCs w:val="21"/>
                <w14:textFill>
                  <w14:solidFill>
                    <w14:schemeClr w14:val="tx1"/>
                  </w14:solidFill>
                </w14:textFill>
              </w:rPr>
            </w:pPr>
            <w:r>
              <w:rPr>
                <w:rFonts w:hint="eastAsia"/>
                <w:color w:val="000000" w:themeColor="text1"/>
                <w:kern w:val="0"/>
                <w:szCs w:val="21"/>
                <w14:textFill>
                  <w14:solidFill>
                    <w14:schemeClr w14:val="tx1"/>
                  </w14:solidFill>
                </w14:textFill>
              </w:rPr>
              <w:t>单位</w:t>
            </w:r>
          </w:p>
        </w:tc>
        <w:tc>
          <w:tcPr>
            <w:tcW w:w="816" w:type="dxa"/>
            <w:vAlign w:val="center"/>
          </w:tcPr>
          <w:p>
            <w:pPr>
              <w:jc w:val="center"/>
              <w:rPr>
                <w:color w:val="000000" w:themeColor="text1"/>
                <w:kern w:val="0"/>
                <w:szCs w:val="21"/>
                <w14:textFill>
                  <w14:solidFill>
                    <w14:schemeClr w14:val="tx1"/>
                  </w14:solidFill>
                </w14:textFill>
              </w:rPr>
            </w:pPr>
            <w:r>
              <w:rPr>
                <w:rFonts w:hint="eastAsia"/>
                <w:color w:val="000000" w:themeColor="text1"/>
                <w:kern w:val="0"/>
                <w:szCs w:val="21"/>
                <w14:textFill>
                  <w14:solidFill>
                    <w14:schemeClr w14:val="tx1"/>
                  </w14:solidFill>
                </w14:textFill>
              </w:rPr>
              <w:t>数量</w:t>
            </w:r>
          </w:p>
        </w:tc>
        <w:tc>
          <w:tcPr>
            <w:tcW w:w="759" w:type="dxa"/>
            <w:vAlign w:val="center"/>
          </w:tcPr>
          <w:p>
            <w:pPr>
              <w:jc w:val="center"/>
              <w:rPr>
                <w:color w:val="000000" w:themeColor="text1"/>
                <w:kern w:val="0"/>
                <w:szCs w:val="21"/>
                <w14:textFill>
                  <w14:solidFill>
                    <w14:schemeClr w14:val="tx1"/>
                  </w14:solidFill>
                </w14:textFill>
              </w:rPr>
            </w:pPr>
            <w:r>
              <w:rPr>
                <w:rFonts w:hint="eastAsia"/>
                <w:color w:val="000000" w:themeColor="text1"/>
                <w:kern w:val="0"/>
                <w:szCs w:val="21"/>
                <w14:textFill>
                  <w14:solidFill>
                    <w14:schemeClr w14:val="tx1"/>
                  </w14:solidFill>
                </w14:textFill>
              </w:rPr>
              <w:t>用</w:t>
            </w:r>
            <w:r>
              <w:rPr>
                <w:color w:val="000000" w:themeColor="text1"/>
                <w:kern w:val="0"/>
                <w:szCs w:val="21"/>
                <w14:textFill>
                  <w14:solidFill>
                    <w14:schemeClr w14:val="tx1"/>
                  </w14:solidFill>
                </w14:textFill>
              </w:rPr>
              <w:t xml:space="preserve"> </w:t>
            </w:r>
            <w:r>
              <w:rPr>
                <w:rFonts w:hint="eastAsia"/>
                <w:color w:val="000000" w:themeColor="text1"/>
                <w:kern w:val="0"/>
                <w:szCs w:val="21"/>
                <w14:textFill>
                  <w14:solidFill>
                    <w14:schemeClr w14:val="tx1"/>
                  </w14:solidFill>
                </w14:textFill>
              </w:rPr>
              <w:t>途</w:t>
            </w:r>
          </w:p>
        </w:tc>
        <w:tc>
          <w:tcPr>
            <w:tcW w:w="720" w:type="dxa"/>
            <w:vAlign w:val="center"/>
          </w:tcPr>
          <w:p>
            <w:pPr>
              <w:jc w:val="center"/>
              <w:rPr>
                <w:color w:val="000000" w:themeColor="text1"/>
                <w:kern w:val="0"/>
                <w:szCs w:val="21"/>
                <w14:textFill>
                  <w14:solidFill>
                    <w14:schemeClr w14:val="tx1"/>
                  </w14:solidFill>
                </w14:textFill>
              </w:rPr>
            </w:pPr>
            <w:r>
              <w:rPr>
                <w:rFonts w:hint="eastAsia"/>
                <w:color w:val="000000" w:themeColor="text1"/>
                <w:kern w:val="0"/>
                <w:szCs w:val="21"/>
                <w14:textFill>
                  <w14:solidFill>
                    <w14:schemeClr w14:val="tx1"/>
                  </w14:solidFill>
                </w14:textFill>
              </w:rPr>
              <w:t>备</w:t>
            </w:r>
            <w:r>
              <w:rPr>
                <w:color w:val="000000" w:themeColor="text1"/>
                <w:kern w:val="0"/>
                <w:szCs w:val="21"/>
                <w14:textFill>
                  <w14:solidFill>
                    <w14:schemeClr w14:val="tx1"/>
                  </w14:solidFill>
                </w14:textFill>
              </w:rPr>
              <w:t xml:space="preserve">  </w:t>
            </w:r>
            <w:r>
              <w:rPr>
                <w:rFonts w:hint="eastAsia"/>
                <w:color w:val="000000" w:themeColor="text1"/>
                <w:kern w:val="0"/>
                <w:szCs w:val="21"/>
                <w14:textFill>
                  <w14:solidFill>
                    <w14:schemeClr w14:val="tx1"/>
                  </w14:solidFill>
                </w14:textFill>
              </w:rPr>
              <w:t>注</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jc w:val="center"/>
        </w:trPr>
        <w:tc>
          <w:tcPr>
            <w:tcW w:w="484" w:type="dxa"/>
          </w:tcPr>
          <w:p>
            <w:pPr>
              <w:pStyle w:val="42"/>
              <w:jc w:val="center"/>
              <w:rPr>
                <w:rFonts w:hAnsi="宋体"/>
                <w:color w:val="000000" w:themeColor="text1"/>
                <w:szCs w:val="21"/>
                <w14:textFill>
                  <w14:solidFill>
                    <w14:schemeClr w14:val="tx1"/>
                  </w14:solidFill>
                </w14:textFill>
              </w:rPr>
            </w:pPr>
          </w:p>
        </w:tc>
        <w:tc>
          <w:tcPr>
            <w:tcW w:w="3334" w:type="dxa"/>
          </w:tcPr>
          <w:p>
            <w:pPr>
              <w:pStyle w:val="42"/>
              <w:jc w:val="center"/>
              <w:rPr>
                <w:rFonts w:hAnsi="宋体"/>
                <w:color w:val="000000" w:themeColor="text1"/>
                <w:szCs w:val="21"/>
                <w14:textFill>
                  <w14:solidFill>
                    <w14:schemeClr w14:val="tx1"/>
                  </w14:solidFill>
                </w14:textFill>
              </w:rPr>
            </w:pPr>
          </w:p>
        </w:tc>
        <w:tc>
          <w:tcPr>
            <w:tcW w:w="1855" w:type="dxa"/>
          </w:tcPr>
          <w:p>
            <w:pPr>
              <w:pStyle w:val="42"/>
              <w:jc w:val="center"/>
              <w:rPr>
                <w:rFonts w:hAnsi="宋体"/>
                <w:color w:val="000000" w:themeColor="text1"/>
                <w:szCs w:val="21"/>
                <w14:textFill>
                  <w14:solidFill>
                    <w14:schemeClr w14:val="tx1"/>
                  </w14:solidFill>
                </w14:textFill>
              </w:rPr>
            </w:pPr>
          </w:p>
        </w:tc>
        <w:tc>
          <w:tcPr>
            <w:tcW w:w="420" w:type="dxa"/>
          </w:tcPr>
          <w:p>
            <w:pPr>
              <w:pStyle w:val="42"/>
              <w:jc w:val="center"/>
              <w:rPr>
                <w:rFonts w:hAnsi="宋体"/>
                <w:color w:val="000000" w:themeColor="text1"/>
                <w:szCs w:val="21"/>
                <w14:textFill>
                  <w14:solidFill>
                    <w14:schemeClr w14:val="tx1"/>
                  </w14:solidFill>
                </w14:textFill>
              </w:rPr>
            </w:pPr>
          </w:p>
        </w:tc>
        <w:tc>
          <w:tcPr>
            <w:tcW w:w="816" w:type="dxa"/>
          </w:tcPr>
          <w:p>
            <w:pPr>
              <w:pStyle w:val="42"/>
              <w:jc w:val="center"/>
              <w:rPr>
                <w:rFonts w:hAnsi="宋体"/>
                <w:color w:val="000000" w:themeColor="text1"/>
                <w:szCs w:val="21"/>
                <w14:textFill>
                  <w14:solidFill>
                    <w14:schemeClr w14:val="tx1"/>
                  </w14:solidFill>
                </w14:textFill>
              </w:rPr>
            </w:pPr>
          </w:p>
        </w:tc>
        <w:tc>
          <w:tcPr>
            <w:tcW w:w="759" w:type="dxa"/>
          </w:tcPr>
          <w:p>
            <w:pPr>
              <w:pStyle w:val="42"/>
              <w:jc w:val="center"/>
              <w:rPr>
                <w:rFonts w:hAnsi="宋体"/>
                <w:color w:val="000000" w:themeColor="text1"/>
                <w:szCs w:val="21"/>
                <w14:textFill>
                  <w14:solidFill>
                    <w14:schemeClr w14:val="tx1"/>
                  </w14:solidFill>
                </w14:textFill>
              </w:rPr>
            </w:pPr>
          </w:p>
        </w:tc>
        <w:tc>
          <w:tcPr>
            <w:tcW w:w="720" w:type="dxa"/>
          </w:tcPr>
          <w:p>
            <w:pPr>
              <w:pStyle w:val="42"/>
              <w:jc w:val="center"/>
              <w:rPr>
                <w:rFonts w:hAnsi="宋体"/>
                <w:color w:val="000000" w:themeColor="text1"/>
                <w:szCs w:val="21"/>
                <w14:textFill>
                  <w14:solidFill>
                    <w14:schemeClr w14:val="tx1"/>
                  </w14:solidFill>
                </w14:textFill>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jc w:val="center"/>
        </w:trPr>
        <w:tc>
          <w:tcPr>
            <w:tcW w:w="484" w:type="dxa"/>
          </w:tcPr>
          <w:p>
            <w:pPr>
              <w:pStyle w:val="42"/>
              <w:jc w:val="center"/>
              <w:rPr>
                <w:rFonts w:hAnsi="宋体"/>
                <w:color w:val="000000" w:themeColor="text1"/>
                <w:szCs w:val="21"/>
                <w14:textFill>
                  <w14:solidFill>
                    <w14:schemeClr w14:val="tx1"/>
                  </w14:solidFill>
                </w14:textFill>
              </w:rPr>
            </w:pPr>
          </w:p>
        </w:tc>
        <w:tc>
          <w:tcPr>
            <w:tcW w:w="3334" w:type="dxa"/>
          </w:tcPr>
          <w:p>
            <w:pPr>
              <w:pStyle w:val="42"/>
              <w:jc w:val="center"/>
              <w:rPr>
                <w:rFonts w:hAnsi="宋体"/>
                <w:color w:val="000000" w:themeColor="text1"/>
                <w:szCs w:val="21"/>
                <w14:textFill>
                  <w14:solidFill>
                    <w14:schemeClr w14:val="tx1"/>
                  </w14:solidFill>
                </w14:textFill>
              </w:rPr>
            </w:pPr>
          </w:p>
        </w:tc>
        <w:tc>
          <w:tcPr>
            <w:tcW w:w="1855" w:type="dxa"/>
          </w:tcPr>
          <w:p>
            <w:pPr>
              <w:pStyle w:val="42"/>
              <w:jc w:val="center"/>
              <w:rPr>
                <w:rFonts w:hAnsi="宋体"/>
                <w:color w:val="000000" w:themeColor="text1"/>
                <w:szCs w:val="21"/>
                <w14:textFill>
                  <w14:solidFill>
                    <w14:schemeClr w14:val="tx1"/>
                  </w14:solidFill>
                </w14:textFill>
              </w:rPr>
            </w:pPr>
          </w:p>
        </w:tc>
        <w:tc>
          <w:tcPr>
            <w:tcW w:w="420" w:type="dxa"/>
          </w:tcPr>
          <w:p>
            <w:pPr>
              <w:pStyle w:val="42"/>
              <w:jc w:val="center"/>
              <w:rPr>
                <w:rFonts w:hAnsi="宋体"/>
                <w:color w:val="000000" w:themeColor="text1"/>
                <w:szCs w:val="21"/>
                <w14:textFill>
                  <w14:solidFill>
                    <w14:schemeClr w14:val="tx1"/>
                  </w14:solidFill>
                </w14:textFill>
              </w:rPr>
            </w:pPr>
          </w:p>
        </w:tc>
        <w:tc>
          <w:tcPr>
            <w:tcW w:w="816" w:type="dxa"/>
          </w:tcPr>
          <w:p>
            <w:pPr>
              <w:pStyle w:val="42"/>
              <w:jc w:val="center"/>
              <w:rPr>
                <w:rFonts w:hAnsi="宋体"/>
                <w:color w:val="000000" w:themeColor="text1"/>
                <w:szCs w:val="21"/>
                <w14:textFill>
                  <w14:solidFill>
                    <w14:schemeClr w14:val="tx1"/>
                  </w14:solidFill>
                </w14:textFill>
              </w:rPr>
            </w:pPr>
          </w:p>
        </w:tc>
        <w:tc>
          <w:tcPr>
            <w:tcW w:w="759" w:type="dxa"/>
          </w:tcPr>
          <w:p>
            <w:pPr>
              <w:pStyle w:val="42"/>
              <w:jc w:val="center"/>
              <w:rPr>
                <w:rFonts w:hAnsi="宋体"/>
                <w:color w:val="000000" w:themeColor="text1"/>
                <w:szCs w:val="21"/>
                <w14:textFill>
                  <w14:solidFill>
                    <w14:schemeClr w14:val="tx1"/>
                  </w14:solidFill>
                </w14:textFill>
              </w:rPr>
            </w:pPr>
          </w:p>
        </w:tc>
        <w:tc>
          <w:tcPr>
            <w:tcW w:w="720" w:type="dxa"/>
          </w:tcPr>
          <w:p>
            <w:pPr>
              <w:pStyle w:val="42"/>
              <w:jc w:val="center"/>
              <w:rPr>
                <w:rFonts w:hAnsi="宋体"/>
                <w:color w:val="000000" w:themeColor="text1"/>
                <w:szCs w:val="21"/>
                <w14:textFill>
                  <w14:solidFill>
                    <w14:schemeClr w14:val="tx1"/>
                  </w14:solidFill>
                </w14:textFill>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jc w:val="center"/>
        </w:trPr>
        <w:tc>
          <w:tcPr>
            <w:tcW w:w="484" w:type="dxa"/>
          </w:tcPr>
          <w:p>
            <w:pPr>
              <w:pStyle w:val="42"/>
              <w:jc w:val="center"/>
              <w:rPr>
                <w:rFonts w:hAnsi="宋体"/>
                <w:color w:val="000000" w:themeColor="text1"/>
                <w:szCs w:val="21"/>
                <w14:textFill>
                  <w14:solidFill>
                    <w14:schemeClr w14:val="tx1"/>
                  </w14:solidFill>
                </w14:textFill>
              </w:rPr>
            </w:pPr>
          </w:p>
        </w:tc>
        <w:tc>
          <w:tcPr>
            <w:tcW w:w="3334" w:type="dxa"/>
          </w:tcPr>
          <w:p>
            <w:pPr>
              <w:pStyle w:val="42"/>
              <w:jc w:val="center"/>
              <w:rPr>
                <w:color w:val="000000" w:themeColor="text1"/>
                <w:szCs w:val="21"/>
                <w14:textFill>
                  <w14:solidFill>
                    <w14:schemeClr w14:val="tx1"/>
                  </w14:solidFill>
                </w14:textFill>
              </w:rPr>
            </w:pPr>
          </w:p>
        </w:tc>
        <w:tc>
          <w:tcPr>
            <w:tcW w:w="1855" w:type="dxa"/>
          </w:tcPr>
          <w:p>
            <w:pPr>
              <w:pStyle w:val="42"/>
              <w:jc w:val="center"/>
              <w:rPr>
                <w:rFonts w:hAnsi="宋体"/>
                <w:color w:val="000000" w:themeColor="text1"/>
                <w:szCs w:val="21"/>
                <w14:textFill>
                  <w14:solidFill>
                    <w14:schemeClr w14:val="tx1"/>
                  </w14:solidFill>
                </w14:textFill>
              </w:rPr>
            </w:pPr>
          </w:p>
        </w:tc>
        <w:tc>
          <w:tcPr>
            <w:tcW w:w="420" w:type="dxa"/>
          </w:tcPr>
          <w:p>
            <w:pPr>
              <w:pStyle w:val="42"/>
              <w:jc w:val="center"/>
              <w:rPr>
                <w:rFonts w:hAnsi="宋体"/>
                <w:color w:val="000000" w:themeColor="text1"/>
                <w:szCs w:val="21"/>
                <w14:textFill>
                  <w14:solidFill>
                    <w14:schemeClr w14:val="tx1"/>
                  </w14:solidFill>
                </w14:textFill>
              </w:rPr>
            </w:pPr>
          </w:p>
        </w:tc>
        <w:tc>
          <w:tcPr>
            <w:tcW w:w="816" w:type="dxa"/>
          </w:tcPr>
          <w:p>
            <w:pPr>
              <w:pStyle w:val="42"/>
              <w:jc w:val="center"/>
              <w:rPr>
                <w:rFonts w:hAnsi="宋体"/>
                <w:color w:val="000000" w:themeColor="text1"/>
                <w:szCs w:val="21"/>
                <w14:textFill>
                  <w14:solidFill>
                    <w14:schemeClr w14:val="tx1"/>
                  </w14:solidFill>
                </w14:textFill>
              </w:rPr>
            </w:pPr>
          </w:p>
        </w:tc>
        <w:tc>
          <w:tcPr>
            <w:tcW w:w="759" w:type="dxa"/>
          </w:tcPr>
          <w:p>
            <w:pPr>
              <w:pStyle w:val="42"/>
              <w:jc w:val="center"/>
              <w:rPr>
                <w:rFonts w:hAnsi="宋体"/>
                <w:color w:val="000000" w:themeColor="text1"/>
                <w:szCs w:val="21"/>
                <w14:textFill>
                  <w14:solidFill>
                    <w14:schemeClr w14:val="tx1"/>
                  </w14:solidFill>
                </w14:textFill>
              </w:rPr>
            </w:pPr>
          </w:p>
        </w:tc>
        <w:tc>
          <w:tcPr>
            <w:tcW w:w="720" w:type="dxa"/>
          </w:tcPr>
          <w:p>
            <w:pPr>
              <w:pStyle w:val="42"/>
              <w:jc w:val="center"/>
              <w:rPr>
                <w:rFonts w:hAnsi="宋体"/>
                <w:color w:val="000000" w:themeColor="text1"/>
                <w:szCs w:val="21"/>
                <w14:textFill>
                  <w14:solidFill>
                    <w14:schemeClr w14:val="tx1"/>
                  </w14:solidFill>
                </w14:textFill>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jc w:val="center"/>
        </w:trPr>
        <w:tc>
          <w:tcPr>
            <w:tcW w:w="484" w:type="dxa"/>
          </w:tcPr>
          <w:p>
            <w:pPr>
              <w:pStyle w:val="42"/>
              <w:jc w:val="center"/>
              <w:rPr>
                <w:rFonts w:hAnsi="宋体"/>
                <w:color w:val="000000" w:themeColor="text1"/>
                <w:szCs w:val="21"/>
                <w14:textFill>
                  <w14:solidFill>
                    <w14:schemeClr w14:val="tx1"/>
                  </w14:solidFill>
                </w14:textFill>
              </w:rPr>
            </w:pPr>
          </w:p>
        </w:tc>
        <w:tc>
          <w:tcPr>
            <w:tcW w:w="3334" w:type="dxa"/>
          </w:tcPr>
          <w:p>
            <w:pPr>
              <w:pStyle w:val="42"/>
              <w:jc w:val="center"/>
              <w:rPr>
                <w:color w:val="000000" w:themeColor="text1"/>
                <w:szCs w:val="21"/>
                <w14:textFill>
                  <w14:solidFill>
                    <w14:schemeClr w14:val="tx1"/>
                  </w14:solidFill>
                </w14:textFill>
              </w:rPr>
            </w:pPr>
          </w:p>
        </w:tc>
        <w:tc>
          <w:tcPr>
            <w:tcW w:w="1855" w:type="dxa"/>
          </w:tcPr>
          <w:p>
            <w:pPr>
              <w:pStyle w:val="42"/>
              <w:jc w:val="center"/>
              <w:rPr>
                <w:rFonts w:hAnsi="宋体"/>
                <w:color w:val="000000" w:themeColor="text1"/>
                <w:szCs w:val="21"/>
                <w14:textFill>
                  <w14:solidFill>
                    <w14:schemeClr w14:val="tx1"/>
                  </w14:solidFill>
                </w14:textFill>
              </w:rPr>
            </w:pPr>
          </w:p>
        </w:tc>
        <w:tc>
          <w:tcPr>
            <w:tcW w:w="420" w:type="dxa"/>
          </w:tcPr>
          <w:p>
            <w:pPr>
              <w:pStyle w:val="42"/>
              <w:jc w:val="center"/>
              <w:rPr>
                <w:rFonts w:hAnsi="宋体"/>
                <w:color w:val="000000" w:themeColor="text1"/>
                <w:szCs w:val="21"/>
                <w14:textFill>
                  <w14:solidFill>
                    <w14:schemeClr w14:val="tx1"/>
                  </w14:solidFill>
                </w14:textFill>
              </w:rPr>
            </w:pPr>
          </w:p>
        </w:tc>
        <w:tc>
          <w:tcPr>
            <w:tcW w:w="816" w:type="dxa"/>
          </w:tcPr>
          <w:p>
            <w:pPr>
              <w:pStyle w:val="42"/>
              <w:jc w:val="center"/>
              <w:rPr>
                <w:rFonts w:hAnsi="宋体"/>
                <w:color w:val="000000" w:themeColor="text1"/>
                <w:szCs w:val="21"/>
                <w14:textFill>
                  <w14:solidFill>
                    <w14:schemeClr w14:val="tx1"/>
                  </w14:solidFill>
                </w14:textFill>
              </w:rPr>
            </w:pPr>
          </w:p>
        </w:tc>
        <w:tc>
          <w:tcPr>
            <w:tcW w:w="759" w:type="dxa"/>
          </w:tcPr>
          <w:p>
            <w:pPr>
              <w:pStyle w:val="42"/>
              <w:jc w:val="center"/>
              <w:rPr>
                <w:rFonts w:hAnsi="宋体"/>
                <w:color w:val="000000" w:themeColor="text1"/>
                <w:szCs w:val="21"/>
                <w14:textFill>
                  <w14:solidFill>
                    <w14:schemeClr w14:val="tx1"/>
                  </w14:solidFill>
                </w14:textFill>
              </w:rPr>
            </w:pPr>
          </w:p>
        </w:tc>
        <w:tc>
          <w:tcPr>
            <w:tcW w:w="720" w:type="dxa"/>
          </w:tcPr>
          <w:p>
            <w:pPr>
              <w:pStyle w:val="42"/>
              <w:jc w:val="center"/>
              <w:rPr>
                <w:rFonts w:hAnsi="宋体"/>
                <w:color w:val="000000" w:themeColor="text1"/>
                <w:szCs w:val="21"/>
                <w14:textFill>
                  <w14:solidFill>
                    <w14:schemeClr w14:val="tx1"/>
                  </w14:solidFill>
                </w14:textFill>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jc w:val="center"/>
        </w:trPr>
        <w:tc>
          <w:tcPr>
            <w:tcW w:w="484" w:type="dxa"/>
          </w:tcPr>
          <w:p>
            <w:pPr>
              <w:pStyle w:val="42"/>
              <w:jc w:val="center"/>
              <w:rPr>
                <w:rFonts w:hAnsi="宋体"/>
                <w:color w:val="000000" w:themeColor="text1"/>
                <w:szCs w:val="21"/>
                <w14:textFill>
                  <w14:solidFill>
                    <w14:schemeClr w14:val="tx1"/>
                  </w14:solidFill>
                </w14:textFill>
              </w:rPr>
            </w:pPr>
          </w:p>
        </w:tc>
        <w:tc>
          <w:tcPr>
            <w:tcW w:w="3334" w:type="dxa"/>
          </w:tcPr>
          <w:p>
            <w:pPr>
              <w:pStyle w:val="42"/>
              <w:jc w:val="center"/>
              <w:rPr>
                <w:color w:val="000000" w:themeColor="text1"/>
                <w:szCs w:val="21"/>
                <w14:textFill>
                  <w14:solidFill>
                    <w14:schemeClr w14:val="tx1"/>
                  </w14:solidFill>
                </w14:textFill>
              </w:rPr>
            </w:pPr>
          </w:p>
        </w:tc>
        <w:tc>
          <w:tcPr>
            <w:tcW w:w="1855" w:type="dxa"/>
          </w:tcPr>
          <w:p>
            <w:pPr>
              <w:pStyle w:val="42"/>
              <w:jc w:val="center"/>
              <w:rPr>
                <w:rFonts w:hAnsi="宋体"/>
                <w:color w:val="000000" w:themeColor="text1"/>
                <w:szCs w:val="21"/>
                <w14:textFill>
                  <w14:solidFill>
                    <w14:schemeClr w14:val="tx1"/>
                  </w14:solidFill>
                </w14:textFill>
              </w:rPr>
            </w:pPr>
          </w:p>
        </w:tc>
        <w:tc>
          <w:tcPr>
            <w:tcW w:w="420" w:type="dxa"/>
          </w:tcPr>
          <w:p>
            <w:pPr>
              <w:pStyle w:val="42"/>
              <w:jc w:val="center"/>
              <w:rPr>
                <w:rFonts w:hAnsi="宋体"/>
                <w:color w:val="000000" w:themeColor="text1"/>
                <w:szCs w:val="21"/>
                <w14:textFill>
                  <w14:solidFill>
                    <w14:schemeClr w14:val="tx1"/>
                  </w14:solidFill>
                </w14:textFill>
              </w:rPr>
            </w:pPr>
          </w:p>
        </w:tc>
        <w:tc>
          <w:tcPr>
            <w:tcW w:w="816" w:type="dxa"/>
          </w:tcPr>
          <w:p>
            <w:pPr>
              <w:pStyle w:val="42"/>
              <w:jc w:val="center"/>
              <w:rPr>
                <w:rFonts w:hAnsi="宋体"/>
                <w:color w:val="000000" w:themeColor="text1"/>
                <w:szCs w:val="21"/>
                <w14:textFill>
                  <w14:solidFill>
                    <w14:schemeClr w14:val="tx1"/>
                  </w14:solidFill>
                </w14:textFill>
              </w:rPr>
            </w:pPr>
          </w:p>
        </w:tc>
        <w:tc>
          <w:tcPr>
            <w:tcW w:w="759" w:type="dxa"/>
          </w:tcPr>
          <w:p>
            <w:pPr>
              <w:pStyle w:val="42"/>
              <w:jc w:val="center"/>
              <w:rPr>
                <w:rFonts w:hAnsi="宋体"/>
                <w:color w:val="000000" w:themeColor="text1"/>
                <w:szCs w:val="21"/>
                <w14:textFill>
                  <w14:solidFill>
                    <w14:schemeClr w14:val="tx1"/>
                  </w14:solidFill>
                </w14:textFill>
              </w:rPr>
            </w:pPr>
          </w:p>
        </w:tc>
        <w:tc>
          <w:tcPr>
            <w:tcW w:w="720" w:type="dxa"/>
          </w:tcPr>
          <w:p>
            <w:pPr>
              <w:pStyle w:val="42"/>
              <w:jc w:val="center"/>
              <w:rPr>
                <w:rFonts w:hAnsi="宋体"/>
                <w:color w:val="000000" w:themeColor="text1"/>
                <w:szCs w:val="21"/>
                <w14:textFill>
                  <w14:solidFill>
                    <w14:schemeClr w14:val="tx1"/>
                  </w14:solidFill>
                </w14:textFill>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jc w:val="center"/>
        </w:trPr>
        <w:tc>
          <w:tcPr>
            <w:tcW w:w="484" w:type="dxa"/>
          </w:tcPr>
          <w:p>
            <w:pPr>
              <w:pStyle w:val="42"/>
              <w:jc w:val="center"/>
              <w:rPr>
                <w:rFonts w:hAnsi="宋体"/>
                <w:color w:val="000000" w:themeColor="text1"/>
                <w:szCs w:val="21"/>
                <w14:textFill>
                  <w14:solidFill>
                    <w14:schemeClr w14:val="tx1"/>
                  </w14:solidFill>
                </w14:textFill>
              </w:rPr>
            </w:pPr>
          </w:p>
        </w:tc>
        <w:tc>
          <w:tcPr>
            <w:tcW w:w="3334" w:type="dxa"/>
          </w:tcPr>
          <w:p>
            <w:pPr>
              <w:pStyle w:val="42"/>
              <w:jc w:val="center"/>
              <w:rPr>
                <w:rFonts w:hAnsi="宋体"/>
                <w:color w:val="000000" w:themeColor="text1"/>
                <w:szCs w:val="21"/>
                <w14:textFill>
                  <w14:solidFill>
                    <w14:schemeClr w14:val="tx1"/>
                  </w14:solidFill>
                </w14:textFill>
              </w:rPr>
            </w:pPr>
          </w:p>
        </w:tc>
        <w:tc>
          <w:tcPr>
            <w:tcW w:w="1855" w:type="dxa"/>
          </w:tcPr>
          <w:p>
            <w:pPr>
              <w:pStyle w:val="42"/>
              <w:jc w:val="center"/>
              <w:rPr>
                <w:rFonts w:hAnsi="宋体"/>
                <w:color w:val="000000" w:themeColor="text1"/>
                <w:szCs w:val="21"/>
                <w14:textFill>
                  <w14:solidFill>
                    <w14:schemeClr w14:val="tx1"/>
                  </w14:solidFill>
                </w14:textFill>
              </w:rPr>
            </w:pPr>
          </w:p>
        </w:tc>
        <w:tc>
          <w:tcPr>
            <w:tcW w:w="420" w:type="dxa"/>
          </w:tcPr>
          <w:p>
            <w:pPr>
              <w:pStyle w:val="42"/>
              <w:jc w:val="center"/>
              <w:rPr>
                <w:rFonts w:hAnsi="宋体"/>
                <w:color w:val="000000" w:themeColor="text1"/>
                <w:szCs w:val="21"/>
                <w14:textFill>
                  <w14:solidFill>
                    <w14:schemeClr w14:val="tx1"/>
                  </w14:solidFill>
                </w14:textFill>
              </w:rPr>
            </w:pPr>
          </w:p>
        </w:tc>
        <w:tc>
          <w:tcPr>
            <w:tcW w:w="816" w:type="dxa"/>
          </w:tcPr>
          <w:p>
            <w:pPr>
              <w:pStyle w:val="42"/>
              <w:jc w:val="center"/>
              <w:rPr>
                <w:rFonts w:hAnsi="宋体"/>
                <w:color w:val="000000" w:themeColor="text1"/>
                <w:szCs w:val="21"/>
                <w14:textFill>
                  <w14:solidFill>
                    <w14:schemeClr w14:val="tx1"/>
                  </w14:solidFill>
                </w14:textFill>
              </w:rPr>
            </w:pPr>
          </w:p>
        </w:tc>
        <w:tc>
          <w:tcPr>
            <w:tcW w:w="759" w:type="dxa"/>
          </w:tcPr>
          <w:p>
            <w:pPr>
              <w:pStyle w:val="42"/>
              <w:jc w:val="center"/>
              <w:rPr>
                <w:rFonts w:hAnsi="宋体"/>
                <w:color w:val="000000" w:themeColor="text1"/>
                <w:szCs w:val="21"/>
                <w14:textFill>
                  <w14:solidFill>
                    <w14:schemeClr w14:val="tx1"/>
                  </w14:solidFill>
                </w14:textFill>
              </w:rPr>
            </w:pPr>
          </w:p>
        </w:tc>
        <w:tc>
          <w:tcPr>
            <w:tcW w:w="720" w:type="dxa"/>
          </w:tcPr>
          <w:p>
            <w:pPr>
              <w:pStyle w:val="42"/>
              <w:jc w:val="center"/>
              <w:rPr>
                <w:rFonts w:hAnsi="宋体"/>
                <w:color w:val="000000" w:themeColor="text1"/>
                <w:szCs w:val="21"/>
                <w14:textFill>
                  <w14:solidFill>
                    <w14:schemeClr w14:val="tx1"/>
                  </w14:solidFill>
                </w14:textFill>
              </w:rPr>
            </w:pPr>
          </w:p>
        </w:tc>
      </w:tr>
    </w:tbl>
    <w:p>
      <w:pPr>
        <w:pStyle w:val="2"/>
        <w:numPr>
          <w:ilvl w:val="0"/>
          <w:numId w:val="0"/>
        </w:numPr>
        <w:snapToGrid/>
        <w:spacing w:before="0" w:beforeLines="0" w:line="480" w:lineRule="auto"/>
        <w:rPr>
          <w:rFonts w:ascii="黑体" w:eastAsia="黑体"/>
          <w:color w:val="000000" w:themeColor="text1"/>
          <w14:textFill>
            <w14:solidFill>
              <w14:schemeClr w14:val="tx1"/>
            </w14:solidFill>
          </w14:textFill>
        </w:rPr>
      </w:pPr>
      <w:bookmarkStart w:id="225" w:name="_Toc283142595"/>
      <w:bookmarkStart w:id="226" w:name="_Toc292019793"/>
      <w:bookmarkStart w:id="227" w:name="_Toc511891225"/>
      <w:bookmarkStart w:id="228" w:name="_Toc293332494"/>
      <w:bookmarkStart w:id="229" w:name="_Toc283011672"/>
      <w:bookmarkStart w:id="230" w:name="_Toc282433720"/>
      <w:bookmarkStart w:id="231" w:name="_Toc177995353"/>
      <w:r>
        <w:rPr>
          <w:rFonts w:ascii="黑体" w:eastAsia="黑体"/>
          <w:color w:val="000000" w:themeColor="text1"/>
          <w14:textFill>
            <w14:solidFill>
              <w14:schemeClr w14:val="tx1"/>
            </w14:solidFill>
          </w14:textFill>
        </w:rPr>
        <w:t>12</w:t>
      </w:r>
      <w:r>
        <w:rPr>
          <w:rFonts w:hint="eastAsia" w:ascii="黑体" w:eastAsia="黑体"/>
          <w:color w:val="000000" w:themeColor="text1"/>
          <w14:textFill>
            <w14:solidFill>
              <w14:schemeClr w14:val="tx1"/>
            </w14:solidFill>
          </w14:textFill>
        </w:rPr>
        <w:t xml:space="preserve"> 主要元器件来源</w:t>
      </w:r>
      <w:bookmarkEnd w:id="225"/>
      <w:bookmarkEnd w:id="226"/>
      <w:bookmarkEnd w:id="227"/>
      <w:bookmarkEnd w:id="228"/>
      <w:bookmarkEnd w:id="229"/>
      <w:bookmarkEnd w:id="230"/>
      <w:bookmarkEnd w:id="231"/>
    </w:p>
    <w:p>
      <w:pPr>
        <w:spacing w:line="360" w:lineRule="auto"/>
        <w:jc w:val="center"/>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表</w:t>
      </w:r>
      <w:r>
        <w:rPr>
          <w:rFonts w:ascii="宋体" w:hAnsi="宋体"/>
          <w:color w:val="000000" w:themeColor="text1"/>
          <w:szCs w:val="21"/>
          <w14:textFill>
            <w14:solidFill>
              <w14:schemeClr w14:val="tx1"/>
            </w14:solidFill>
          </w14:textFill>
        </w:rPr>
        <w:t>12-1  主要元器件来源一览表  （投标方填写）</w:t>
      </w:r>
      <w:bookmarkEnd w:id="209"/>
    </w:p>
    <w:tbl>
      <w:tblPr>
        <w:tblStyle w:val="84"/>
        <w:tblW w:w="9663" w:type="dxa"/>
        <w:jc w:val="center"/>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Layout w:type="autofit"/>
        <w:tblCellMar>
          <w:top w:w="0" w:type="dxa"/>
          <w:left w:w="108" w:type="dxa"/>
          <w:bottom w:w="0" w:type="dxa"/>
          <w:right w:w="108" w:type="dxa"/>
        </w:tblCellMar>
      </w:tblPr>
      <w:tblGrid>
        <w:gridCol w:w="679"/>
        <w:gridCol w:w="2737"/>
        <w:gridCol w:w="804"/>
        <w:gridCol w:w="2039"/>
        <w:gridCol w:w="667"/>
        <w:gridCol w:w="2033"/>
        <w:gridCol w:w="704"/>
      </w:tblGrid>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blHeader/>
          <w:jc w:val="center"/>
        </w:trPr>
        <w:tc>
          <w:tcPr>
            <w:tcW w:w="679" w:type="dxa"/>
            <w:vMerge w:val="restart"/>
            <w:vAlign w:val="center"/>
          </w:tcPr>
          <w:p>
            <w:pPr>
              <w:widowControl/>
              <w:topLinePunct/>
              <w:spacing w:before="60" w:after="60"/>
              <w:jc w:val="center"/>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序号</w:t>
            </w:r>
          </w:p>
        </w:tc>
        <w:tc>
          <w:tcPr>
            <w:tcW w:w="2737" w:type="dxa"/>
            <w:vMerge w:val="restart"/>
            <w:vAlign w:val="center"/>
          </w:tcPr>
          <w:p>
            <w:pPr>
              <w:widowControl/>
              <w:topLinePunct/>
              <w:spacing w:before="60" w:after="60"/>
              <w:jc w:val="center"/>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名</w:t>
            </w:r>
            <w:r>
              <w:rPr>
                <w:rFonts w:ascii="宋体" w:hAnsi="宋体" w:cs="宋体"/>
                <w:color w:val="000000" w:themeColor="text1"/>
                <w:szCs w:val="21"/>
                <w14:textFill>
                  <w14:solidFill>
                    <w14:schemeClr w14:val="tx1"/>
                  </w14:solidFill>
                </w14:textFill>
              </w:rPr>
              <w:t xml:space="preserve">   </w:t>
            </w:r>
            <w:r>
              <w:rPr>
                <w:rFonts w:hint="eastAsia" w:ascii="宋体" w:hAnsi="宋体" w:cs="宋体"/>
                <w:color w:val="000000" w:themeColor="text1"/>
                <w:szCs w:val="21"/>
                <w14:textFill>
                  <w14:solidFill>
                    <w14:schemeClr w14:val="tx1"/>
                  </w14:solidFill>
                </w14:textFill>
              </w:rPr>
              <w:t>称</w:t>
            </w:r>
          </w:p>
        </w:tc>
        <w:tc>
          <w:tcPr>
            <w:tcW w:w="804" w:type="dxa"/>
            <w:vMerge w:val="restart"/>
            <w:vAlign w:val="center"/>
          </w:tcPr>
          <w:p>
            <w:pPr>
              <w:widowControl/>
              <w:topLinePunct/>
              <w:spacing w:before="60" w:after="60"/>
              <w:jc w:val="center"/>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单位</w:t>
            </w:r>
          </w:p>
        </w:tc>
        <w:tc>
          <w:tcPr>
            <w:tcW w:w="2706" w:type="dxa"/>
            <w:gridSpan w:val="2"/>
            <w:vAlign w:val="center"/>
          </w:tcPr>
          <w:p>
            <w:pPr>
              <w:widowControl/>
              <w:topLinePunct/>
              <w:spacing w:before="60" w:after="60"/>
              <w:jc w:val="center"/>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招标方要求</w:t>
            </w:r>
          </w:p>
        </w:tc>
        <w:tc>
          <w:tcPr>
            <w:tcW w:w="2737" w:type="dxa"/>
            <w:gridSpan w:val="2"/>
            <w:vAlign w:val="center"/>
          </w:tcPr>
          <w:p>
            <w:pPr>
              <w:widowControl/>
              <w:topLinePunct/>
              <w:spacing w:before="60" w:after="60"/>
              <w:jc w:val="center"/>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投标方响应</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blHeader/>
          <w:jc w:val="center"/>
        </w:trPr>
        <w:tc>
          <w:tcPr>
            <w:tcW w:w="679" w:type="dxa"/>
            <w:vMerge w:val="continue"/>
            <w:vAlign w:val="center"/>
          </w:tcPr>
          <w:p>
            <w:pPr>
              <w:widowControl/>
              <w:topLinePunct/>
              <w:spacing w:before="60" w:after="60"/>
              <w:jc w:val="center"/>
              <w:rPr>
                <w:rFonts w:ascii="宋体" w:hAnsi="宋体" w:cs="宋体"/>
                <w:color w:val="000000" w:themeColor="text1"/>
                <w:szCs w:val="21"/>
                <w14:textFill>
                  <w14:solidFill>
                    <w14:schemeClr w14:val="tx1"/>
                  </w14:solidFill>
                </w14:textFill>
              </w:rPr>
            </w:pPr>
          </w:p>
        </w:tc>
        <w:tc>
          <w:tcPr>
            <w:tcW w:w="2737" w:type="dxa"/>
            <w:vMerge w:val="continue"/>
            <w:vAlign w:val="center"/>
          </w:tcPr>
          <w:p>
            <w:pPr>
              <w:widowControl/>
              <w:topLinePunct/>
              <w:spacing w:before="60" w:after="60"/>
              <w:jc w:val="center"/>
              <w:rPr>
                <w:rFonts w:ascii="宋体" w:hAnsi="宋体" w:cs="宋体"/>
                <w:color w:val="000000" w:themeColor="text1"/>
                <w:szCs w:val="21"/>
                <w14:textFill>
                  <w14:solidFill>
                    <w14:schemeClr w14:val="tx1"/>
                  </w14:solidFill>
                </w14:textFill>
              </w:rPr>
            </w:pPr>
          </w:p>
        </w:tc>
        <w:tc>
          <w:tcPr>
            <w:tcW w:w="804" w:type="dxa"/>
            <w:vMerge w:val="continue"/>
            <w:vAlign w:val="center"/>
          </w:tcPr>
          <w:p>
            <w:pPr>
              <w:widowControl/>
              <w:topLinePunct/>
              <w:spacing w:before="60" w:after="60"/>
              <w:jc w:val="center"/>
              <w:rPr>
                <w:rFonts w:ascii="宋体" w:hAnsi="宋体" w:cs="宋体"/>
                <w:color w:val="000000" w:themeColor="text1"/>
                <w:szCs w:val="21"/>
                <w14:textFill>
                  <w14:solidFill>
                    <w14:schemeClr w14:val="tx1"/>
                  </w14:solidFill>
                </w14:textFill>
              </w:rPr>
            </w:pPr>
          </w:p>
        </w:tc>
        <w:tc>
          <w:tcPr>
            <w:tcW w:w="2039" w:type="dxa"/>
            <w:vAlign w:val="center"/>
          </w:tcPr>
          <w:p>
            <w:pPr>
              <w:widowControl/>
              <w:topLinePunct/>
              <w:spacing w:before="60" w:after="60"/>
              <w:jc w:val="center"/>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型式、规格及特殊要求</w:t>
            </w:r>
          </w:p>
        </w:tc>
        <w:tc>
          <w:tcPr>
            <w:tcW w:w="667" w:type="dxa"/>
            <w:vAlign w:val="center"/>
          </w:tcPr>
          <w:p>
            <w:pPr>
              <w:widowControl/>
              <w:topLinePunct/>
              <w:spacing w:before="60" w:after="60"/>
              <w:jc w:val="center"/>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数量</w:t>
            </w:r>
          </w:p>
        </w:tc>
        <w:tc>
          <w:tcPr>
            <w:tcW w:w="2033" w:type="dxa"/>
            <w:vAlign w:val="center"/>
          </w:tcPr>
          <w:p>
            <w:pPr>
              <w:widowControl/>
              <w:topLinePunct/>
              <w:spacing w:before="60" w:after="60"/>
              <w:jc w:val="center"/>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生产厂家及型式、规格</w:t>
            </w:r>
          </w:p>
        </w:tc>
        <w:tc>
          <w:tcPr>
            <w:tcW w:w="704" w:type="dxa"/>
            <w:vAlign w:val="center"/>
          </w:tcPr>
          <w:p>
            <w:pPr>
              <w:widowControl/>
              <w:topLinePunct/>
              <w:spacing w:before="60" w:after="60"/>
              <w:jc w:val="center"/>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数量</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jc w:val="center"/>
        </w:trPr>
        <w:tc>
          <w:tcPr>
            <w:tcW w:w="679" w:type="dxa"/>
            <w:noWrap/>
            <w:vAlign w:val="center"/>
          </w:tcPr>
          <w:p>
            <w:pPr>
              <w:topLinePunct/>
              <w:spacing w:before="60" w:after="60"/>
              <w:jc w:val="center"/>
              <w:rPr>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t>1</w:t>
            </w:r>
          </w:p>
        </w:tc>
        <w:tc>
          <w:tcPr>
            <w:tcW w:w="2737" w:type="dxa"/>
            <w:vAlign w:val="center"/>
          </w:tcPr>
          <w:p>
            <w:pPr>
              <w:topLinePunct/>
              <w:spacing w:before="60" w:after="60"/>
              <w:rPr>
                <w:rFonts w:ascii="宋体" w:hAnsi="宋体"/>
                <w:color w:val="000000" w:themeColor="text1"/>
                <w:szCs w:val="21"/>
                <w14:textFill>
                  <w14:solidFill>
                    <w14:schemeClr w14:val="tx1"/>
                  </w14:solidFill>
                </w14:textFill>
              </w:rPr>
            </w:pPr>
          </w:p>
        </w:tc>
        <w:tc>
          <w:tcPr>
            <w:tcW w:w="804" w:type="dxa"/>
            <w:noWrap/>
            <w:vAlign w:val="center"/>
          </w:tcPr>
          <w:p>
            <w:pPr>
              <w:topLinePunct/>
              <w:spacing w:before="60" w:after="60"/>
              <w:jc w:val="center"/>
              <w:rPr>
                <w:rFonts w:ascii="宋体" w:hAnsi="宋体"/>
                <w:color w:val="000000" w:themeColor="text1"/>
                <w:szCs w:val="21"/>
                <w14:textFill>
                  <w14:solidFill>
                    <w14:schemeClr w14:val="tx1"/>
                  </w14:solidFill>
                </w14:textFill>
              </w:rPr>
            </w:pPr>
          </w:p>
        </w:tc>
        <w:tc>
          <w:tcPr>
            <w:tcW w:w="2039" w:type="dxa"/>
            <w:vAlign w:val="center"/>
          </w:tcPr>
          <w:p>
            <w:pPr>
              <w:topLinePunct/>
              <w:spacing w:before="60" w:after="60"/>
              <w:rPr>
                <w:rFonts w:ascii="宋体" w:hAnsi="宋体"/>
                <w:color w:val="000000" w:themeColor="text1"/>
                <w:szCs w:val="21"/>
                <w14:textFill>
                  <w14:solidFill>
                    <w14:schemeClr w14:val="tx1"/>
                  </w14:solidFill>
                </w14:textFill>
              </w:rPr>
            </w:pPr>
          </w:p>
        </w:tc>
        <w:tc>
          <w:tcPr>
            <w:tcW w:w="667" w:type="dxa"/>
            <w:vAlign w:val="center"/>
          </w:tcPr>
          <w:p>
            <w:pPr>
              <w:topLinePunct/>
              <w:spacing w:before="60" w:after="60"/>
              <w:rPr>
                <w:rFonts w:ascii="宋体" w:hAnsi="宋体"/>
                <w:color w:val="000000" w:themeColor="text1"/>
                <w:szCs w:val="21"/>
                <w14:textFill>
                  <w14:solidFill>
                    <w14:schemeClr w14:val="tx1"/>
                  </w14:solidFill>
                </w14:textFill>
              </w:rPr>
            </w:pPr>
          </w:p>
        </w:tc>
        <w:tc>
          <w:tcPr>
            <w:tcW w:w="2033" w:type="dxa"/>
            <w:vAlign w:val="center"/>
          </w:tcPr>
          <w:p>
            <w:pPr>
              <w:topLinePunct/>
              <w:spacing w:before="60" w:after="60"/>
              <w:rPr>
                <w:rFonts w:ascii="宋体" w:hAnsi="宋体"/>
                <w:color w:val="000000" w:themeColor="text1"/>
                <w:szCs w:val="21"/>
                <w14:textFill>
                  <w14:solidFill>
                    <w14:schemeClr w14:val="tx1"/>
                  </w14:solidFill>
                </w14:textFill>
              </w:rPr>
            </w:pPr>
          </w:p>
        </w:tc>
        <w:tc>
          <w:tcPr>
            <w:tcW w:w="704" w:type="dxa"/>
            <w:vAlign w:val="center"/>
          </w:tcPr>
          <w:p>
            <w:pPr>
              <w:topLinePunct/>
              <w:spacing w:before="60" w:after="60"/>
              <w:rPr>
                <w:rFonts w:ascii="宋体" w:hAnsi="宋体"/>
                <w:color w:val="000000" w:themeColor="text1"/>
                <w:szCs w:val="21"/>
                <w14:textFill>
                  <w14:solidFill>
                    <w14:schemeClr w14:val="tx1"/>
                  </w14:solidFill>
                </w14:textFill>
              </w:rPr>
            </w:pP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jc w:val="center"/>
        </w:trPr>
        <w:tc>
          <w:tcPr>
            <w:tcW w:w="679" w:type="dxa"/>
            <w:noWrap/>
            <w:vAlign w:val="center"/>
          </w:tcPr>
          <w:p>
            <w:pPr>
              <w:topLinePunct/>
              <w:spacing w:before="60" w:after="60"/>
              <w:jc w:val="center"/>
              <w:rPr>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t>2</w:t>
            </w:r>
          </w:p>
        </w:tc>
        <w:tc>
          <w:tcPr>
            <w:tcW w:w="2737" w:type="dxa"/>
            <w:vAlign w:val="center"/>
          </w:tcPr>
          <w:p>
            <w:pPr>
              <w:topLinePunct/>
              <w:spacing w:before="60" w:after="60"/>
              <w:rPr>
                <w:rFonts w:ascii="宋体" w:hAnsi="宋体"/>
                <w:color w:val="000000" w:themeColor="text1"/>
                <w:szCs w:val="21"/>
                <w14:textFill>
                  <w14:solidFill>
                    <w14:schemeClr w14:val="tx1"/>
                  </w14:solidFill>
                </w14:textFill>
              </w:rPr>
            </w:pPr>
          </w:p>
        </w:tc>
        <w:tc>
          <w:tcPr>
            <w:tcW w:w="804" w:type="dxa"/>
            <w:noWrap/>
            <w:vAlign w:val="center"/>
          </w:tcPr>
          <w:p>
            <w:pPr>
              <w:topLinePunct/>
              <w:spacing w:before="60" w:after="60"/>
              <w:jc w:val="center"/>
              <w:rPr>
                <w:rFonts w:ascii="宋体" w:hAnsi="宋体"/>
                <w:color w:val="000000" w:themeColor="text1"/>
                <w:szCs w:val="21"/>
                <w14:textFill>
                  <w14:solidFill>
                    <w14:schemeClr w14:val="tx1"/>
                  </w14:solidFill>
                </w14:textFill>
              </w:rPr>
            </w:pPr>
          </w:p>
        </w:tc>
        <w:tc>
          <w:tcPr>
            <w:tcW w:w="2039" w:type="dxa"/>
          </w:tcPr>
          <w:p>
            <w:pPr>
              <w:topLinePunct/>
              <w:spacing w:before="60" w:after="60"/>
              <w:rPr>
                <w:rFonts w:ascii="宋体" w:hAnsi="宋体"/>
                <w:color w:val="000000" w:themeColor="text1"/>
                <w:szCs w:val="21"/>
                <w14:textFill>
                  <w14:solidFill>
                    <w14:schemeClr w14:val="tx1"/>
                  </w14:solidFill>
                </w14:textFill>
              </w:rPr>
            </w:pPr>
          </w:p>
        </w:tc>
        <w:tc>
          <w:tcPr>
            <w:tcW w:w="667" w:type="dxa"/>
            <w:vAlign w:val="center"/>
          </w:tcPr>
          <w:p>
            <w:pPr>
              <w:topLinePunct/>
              <w:spacing w:before="60" w:after="60"/>
              <w:rPr>
                <w:rFonts w:ascii="宋体" w:hAnsi="宋体"/>
                <w:color w:val="000000" w:themeColor="text1"/>
                <w:szCs w:val="21"/>
                <w14:textFill>
                  <w14:solidFill>
                    <w14:schemeClr w14:val="tx1"/>
                  </w14:solidFill>
                </w14:textFill>
              </w:rPr>
            </w:pPr>
          </w:p>
        </w:tc>
        <w:tc>
          <w:tcPr>
            <w:tcW w:w="2033" w:type="dxa"/>
            <w:vAlign w:val="center"/>
          </w:tcPr>
          <w:p>
            <w:pPr>
              <w:topLinePunct/>
              <w:spacing w:before="60" w:after="60"/>
              <w:rPr>
                <w:rFonts w:ascii="宋体" w:hAnsi="宋体"/>
                <w:color w:val="000000" w:themeColor="text1"/>
                <w:szCs w:val="21"/>
                <w14:textFill>
                  <w14:solidFill>
                    <w14:schemeClr w14:val="tx1"/>
                  </w14:solidFill>
                </w14:textFill>
              </w:rPr>
            </w:pPr>
          </w:p>
        </w:tc>
        <w:tc>
          <w:tcPr>
            <w:tcW w:w="704" w:type="dxa"/>
            <w:vAlign w:val="center"/>
          </w:tcPr>
          <w:p>
            <w:pPr>
              <w:topLinePunct/>
              <w:spacing w:before="60" w:after="60"/>
              <w:rPr>
                <w:rFonts w:ascii="宋体" w:hAnsi="宋体"/>
                <w:color w:val="000000" w:themeColor="text1"/>
                <w:szCs w:val="21"/>
                <w14:textFill>
                  <w14:solidFill>
                    <w14:schemeClr w14:val="tx1"/>
                  </w14:solidFill>
                </w14:textFill>
              </w:rPr>
            </w:pP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jc w:val="center"/>
        </w:trPr>
        <w:tc>
          <w:tcPr>
            <w:tcW w:w="679" w:type="dxa"/>
            <w:noWrap/>
            <w:vAlign w:val="center"/>
          </w:tcPr>
          <w:p>
            <w:pPr>
              <w:topLinePunct/>
              <w:spacing w:before="60" w:after="60"/>
              <w:jc w:val="center"/>
              <w:rPr>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t>3</w:t>
            </w:r>
          </w:p>
        </w:tc>
        <w:tc>
          <w:tcPr>
            <w:tcW w:w="2737" w:type="dxa"/>
            <w:vAlign w:val="center"/>
          </w:tcPr>
          <w:p>
            <w:pPr>
              <w:topLinePunct/>
              <w:spacing w:before="60" w:after="60"/>
              <w:rPr>
                <w:rFonts w:ascii="宋体" w:hAnsi="宋体"/>
                <w:color w:val="000000" w:themeColor="text1"/>
                <w:szCs w:val="21"/>
                <w14:textFill>
                  <w14:solidFill>
                    <w14:schemeClr w14:val="tx1"/>
                  </w14:solidFill>
                </w14:textFill>
              </w:rPr>
            </w:pPr>
          </w:p>
        </w:tc>
        <w:tc>
          <w:tcPr>
            <w:tcW w:w="804" w:type="dxa"/>
            <w:noWrap/>
            <w:vAlign w:val="center"/>
          </w:tcPr>
          <w:p>
            <w:pPr>
              <w:topLinePunct/>
              <w:spacing w:before="60" w:after="60"/>
              <w:jc w:val="center"/>
              <w:rPr>
                <w:rFonts w:ascii="宋体" w:hAnsi="宋体"/>
                <w:color w:val="000000" w:themeColor="text1"/>
                <w:szCs w:val="21"/>
                <w14:textFill>
                  <w14:solidFill>
                    <w14:schemeClr w14:val="tx1"/>
                  </w14:solidFill>
                </w14:textFill>
              </w:rPr>
            </w:pPr>
          </w:p>
        </w:tc>
        <w:tc>
          <w:tcPr>
            <w:tcW w:w="2039" w:type="dxa"/>
          </w:tcPr>
          <w:p>
            <w:pPr>
              <w:topLinePunct/>
              <w:spacing w:before="60" w:after="60"/>
              <w:rPr>
                <w:rFonts w:ascii="宋体" w:hAnsi="宋体"/>
                <w:color w:val="000000" w:themeColor="text1"/>
                <w:szCs w:val="21"/>
                <w14:textFill>
                  <w14:solidFill>
                    <w14:schemeClr w14:val="tx1"/>
                  </w14:solidFill>
                </w14:textFill>
              </w:rPr>
            </w:pPr>
          </w:p>
        </w:tc>
        <w:tc>
          <w:tcPr>
            <w:tcW w:w="667" w:type="dxa"/>
            <w:vAlign w:val="center"/>
          </w:tcPr>
          <w:p>
            <w:pPr>
              <w:topLinePunct/>
              <w:spacing w:before="60" w:after="60"/>
              <w:rPr>
                <w:rFonts w:ascii="宋体" w:hAnsi="宋体"/>
                <w:color w:val="000000" w:themeColor="text1"/>
                <w:szCs w:val="21"/>
                <w14:textFill>
                  <w14:solidFill>
                    <w14:schemeClr w14:val="tx1"/>
                  </w14:solidFill>
                </w14:textFill>
              </w:rPr>
            </w:pPr>
          </w:p>
        </w:tc>
        <w:tc>
          <w:tcPr>
            <w:tcW w:w="2033" w:type="dxa"/>
            <w:vAlign w:val="center"/>
          </w:tcPr>
          <w:p>
            <w:pPr>
              <w:topLinePunct/>
              <w:spacing w:before="60" w:after="60"/>
              <w:rPr>
                <w:rFonts w:ascii="宋体" w:hAnsi="宋体"/>
                <w:color w:val="000000" w:themeColor="text1"/>
                <w:szCs w:val="21"/>
                <w14:textFill>
                  <w14:solidFill>
                    <w14:schemeClr w14:val="tx1"/>
                  </w14:solidFill>
                </w14:textFill>
              </w:rPr>
            </w:pPr>
          </w:p>
        </w:tc>
        <w:tc>
          <w:tcPr>
            <w:tcW w:w="704" w:type="dxa"/>
            <w:vAlign w:val="center"/>
          </w:tcPr>
          <w:p>
            <w:pPr>
              <w:topLinePunct/>
              <w:spacing w:before="60" w:after="60"/>
              <w:rPr>
                <w:rFonts w:ascii="宋体" w:hAnsi="宋体"/>
                <w:color w:val="000000" w:themeColor="text1"/>
                <w:szCs w:val="21"/>
                <w14:textFill>
                  <w14:solidFill>
                    <w14:schemeClr w14:val="tx1"/>
                  </w14:solidFill>
                </w14:textFill>
              </w:rPr>
            </w:pP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jc w:val="center"/>
        </w:trPr>
        <w:tc>
          <w:tcPr>
            <w:tcW w:w="679" w:type="dxa"/>
            <w:noWrap/>
            <w:vAlign w:val="center"/>
          </w:tcPr>
          <w:p>
            <w:pPr>
              <w:topLinePunct/>
              <w:spacing w:before="60" w:after="60"/>
              <w:jc w:val="center"/>
              <w:rPr>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t>4</w:t>
            </w:r>
          </w:p>
        </w:tc>
        <w:tc>
          <w:tcPr>
            <w:tcW w:w="2737" w:type="dxa"/>
            <w:vAlign w:val="center"/>
          </w:tcPr>
          <w:p>
            <w:pPr>
              <w:topLinePunct/>
              <w:spacing w:before="60" w:after="60"/>
              <w:rPr>
                <w:rFonts w:ascii="宋体" w:hAnsi="宋体"/>
                <w:color w:val="000000" w:themeColor="text1"/>
                <w:szCs w:val="21"/>
                <w14:textFill>
                  <w14:solidFill>
                    <w14:schemeClr w14:val="tx1"/>
                  </w14:solidFill>
                </w14:textFill>
              </w:rPr>
            </w:pPr>
          </w:p>
        </w:tc>
        <w:tc>
          <w:tcPr>
            <w:tcW w:w="804" w:type="dxa"/>
            <w:noWrap/>
            <w:vAlign w:val="center"/>
          </w:tcPr>
          <w:p>
            <w:pPr>
              <w:topLinePunct/>
              <w:spacing w:before="60" w:after="60"/>
              <w:jc w:val="center"/>
              <w:rPr>
                <w:rFonts w:ascii="宋体" w:hAnsi="宋体"/>
                <w:color w:val="000000" w:themeColor="text1"/>
                <w:szCs w:val="21"/>
                <w14:textFill>
                  <w14:solidFill>
                    <w14:schemeClr w14:val="tx1"/>
                  </w14:solidFill>
                </w14:textFill>
              </w:rPr>
            </w:pPr>
          </w:p>
        </w:tc>
        <w:tc>
          <w:tcPr>
            <w:tcW w:w="2039" w:type="dxa"/>
          </w:tcPr>
          <w:p>
            <w:pPr>
              <w:topLinePunct/>
              <w:spacing w:before="60" w:after="60"/>
              <w:rPr>
                <w:rFonts w:ascii="宋体" w:hAnsi="宋体"/>
                <w:color w:val="000000" w:themeColor="text1"/>
                <w:szCs w:val="21"/>
                <w14:textFill>
                  <w14:solidFill>
                    <w14:schemeClr w14:val="tx1"/>
                  </w14:solidFill>
                </w14:textFill>
              </w:rPr>
            </w:pPr>
          </w:p>
        </w:tc>
        <w:tc>
          <w:tcPr>
            <w:tcW w:w="667" w:type="dxa"/>
            <w:vAlign w:val="center"/>
          </w:tcPr>
          <w:p>
            <w:pPr>
              <w:topLinePunct/>
              <w:spacing w:before="60" w:after="60"/>
              <w:rPr>
                <w:rFonts w:ascii="宋体" w:hAnsi="宋体"/>
                <w:color w:val="000000" w:themeColor="text1"/>
                <w:szCs w:val="21"/>
                <w14:textFill>
                  <w14:solidFill>
                    <w14:schemeClr w14:val="tx1"/>
                  </w14:solidFill>
                </w14:textFill>
              </w:rPr>
            </w:pPr>
          </w:p>
        </w:tc>
        <w:tc>
          <w:tcPr>
            <w:tcW w:w="2033" w:type="dxa"/>
            <w:vAlign w:val="center"/>
          </w:tcPr>
          <w:p>
            <w:pPr>
              <w:topLinePunct/>
              <w:spacing w:before="60" w:after="60"/>
              <w:rPr>
                <w:rFonts w:ascii="宋体" w:hAnsi="宋体"/>
                <w:color w:val="000000" w:themeColor="text1"/>
                <w:szCs w:val="21"/>
                <w14:textFill>
                  <w14:solidFill>
                    <w14:schemeClr w14:val="tx1"/>
                  </w14:solidFill>
                </w14:textFill>
              </w:rPr>
            </w:pPr>
          </w:p>
        </w:tc>
        <w:tc>
          <w:tcPr>
            <w:tcW w:w="704" w:type="dxa"/>
            <w:vAlign w:val="center"/>
          </w:tcPr>
          <w:p>
            <w:pPr>
              <w:topLinePunct/>
              <w:spacing w:before="60" w:after="60"/>
              <w:rPr>
                <w:rFonts w:ascii="宋体" w:hAnsi="宋体"/>
                <w:color w:val="000000" w:themeColor="text1"/>
                <w:szCs w:val="21"/>
                <w14:textFill>
                  <w14:solidFill>
                    <w14:schemeClr w14:val="tx1"/>
                  </w14:solidFill>
                </w14:textFill>
              </w:rPr>
            </w:pP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jc w:val="center"/>
        </w:trPr>
        <w:tc>
          <w:tcPr>
            <w:tcW w:w="679" w:type="dxa"/>
            <w:noWrap/>
            <w:vAlign w:val="center"/>
          </w:tcPr>
          <w:p>
            <w:pPr>
              <w:topLinePunct/>
              <w:spacing w:before="60" w:after="60"/>
              <w:jc w:val="center"/>
              <w:rPr>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t>5</w:t>
            </w:r>
          </w:p>
        </w:tc>
        <w:tc>
          <w:tcPr>
            <w:tcW w:w="2737" w:type="dxa"/>
            <w:vAlign w:val="center"/>
          </w:tcPr>
          <w:p>
            <w:pPr>
              <w:topLinePunct/>
              <w:spacing w:before="60" w:after="60"/>
              <w:rPr>
                <w:rFonts w:ascii="宋体" w:hAnsi="宋体"/>
                <w:color w:val="000000" w:themeColor="text1"/>
                <w:szCs w:val="21"/>
                <w14:textFill>
                  <w14:solidFill>
                    <w14:schemeClr w14:val="tx1"/>
                  </w14:solidFill>
                </w14:textFill>
              </w:rPr>
            </w:pPr>
          </w:p>
        </w:tc>
        <w:tc>
          <w:tcPr>
            <w:tcW w:w="804" w:type="dxa"/>
            <w:noWrap/>
            <w:vAlign w:val="center"/>
          </w:tcPr>
          <w:p>
            <w:pPr>
              <w:topLinePunct/>
              <w:spacing w:before="60" w:after="60"/>
              <w:jc w:val="center"/>
              <w:rPr>
                <w:rFonts w:ascii="宋体" w:hAnsi="宋体"/>
                <w:color w:val="000000" w:themeColor="text1"/>
                <w:szCs w:val="21"/>
                <w14:textFill>
                  <w14:solidFill>
                    <w14:schemeClr w14:val="tx1"/>
                  </w14:solidFill>
                </w14:textFill>
              </w:rPr>
            </w:pPr>
          </w:p>
        </w:tc>
        <w:tc>
          <w:tcPr>
            <w:tcW w:w="2039" w:type="dxa"/>
          </w:tcPr>
          <w:p>
            <w:pPr>
              <w:topLinePunct/>
              <w:spacing w:before="60" w:after="60"/>
              <w:rPr>
                <w:rFonts w:ascii="宋体" w:hAnsi="宋体"/>
                <w:color w:val="000000" w:themeColor="text1"/>
                <w:szCs w:val="21"/>
                <w14:textFill>
                  <w14:solidFill>
                    <w14:schemeClr w14:val="tx1"/>
                  </w14:solidFill>
                </w14:textFill>
              </w:rPr>
            </w:pPr>
          </w:p>
        </w:tc>
        <w:tc>
          <w:tcPr>
            <w:tcW w:w="667" w:type="dxa"/>
            <w:vAlign w:val="center"/>
          </w:tcPr>
          <w:p>
            <w:pPr>
              <w:topLinePunct/>
              <w:spacing w:before="60" w:after="60"/>
              <w:rPr>
                <w:rFonts w:ascii="宋体" w:hAnsi="宋体"/>
                <w:color w:val="000000" w:themeColor="text1"/>
                <w:szCs w:val="21"/>
                <w14:textFill>
                  <w14:solidFill>
                    <w14:schemeClr w14:val="tx1"/>
                  </w14:solidFill>
                </w14:textFill>
              </w:rPr>
            </w:pPr>
          </w:p>
        </w:tc>
        <w:tc>
          <w:tcPr>
            <w:tcW w:w="2033" w:type="dxa"/>
            <w:vAlign w:val="center"/>
          </w:tcPr>
          <w:p>
            <w:pPr>
              <w:topLinePunct/>
              <w:spacing w:before="60" w:after="60"/>
              <w:rPr>
                <w:rFonts w:ascii="宋体" w:hAnsi="宋体"/>
                <w:color w:val="000000" w:themeColor="text1"/>
                <w:szCs w:val="21"/>
                <w14:textFill>
                  <w14:solidFill>
                    <w14:schemeClr w14:val="tx1"/>
                  </w14:solidFill>
                </w14:textFill>
              </w:rPr>
            </w:pPr>
          </w:p>
        </w:tc>
        <w:tc>
          <w:tcPr>
            <w:tcW w:w="704" w:type="dxa"/>
            <w:vAlign w:val="center"/>
          </w:tcPr>
          <w:p>
            <w:pPr>
              <w:topLinePunct/>
              <w:spacing w:before="60" w:after="60"/>
              <w:rPr>
                <w:rFonts w:ascii="宋体" w:hAnsi="宋体"/>
                <w:color w:val="000000" w:themeColor="text1"/>
                <w:szCs w:val="21"/>
                <w14:textFill>
                  <w14:solidFill>
                    <w14:schemeClr w14:val="tx1"/>
                  </w14:solidFill>
                </w14:textFill>
              </w:rPr>
            </w:pP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jc w:val="center"/>
        </w:trPr>
        <w:tc>
          <w:tcPr>
            <w:tcW w:w="679" w:type="dxa"/>
            <w:noWrap/>
            <w:vAlign w:val="center"/>
          </w:tcPr>
          <w:p>
            <w:pPr>
              <w:topLinePunct/>
              <w:spacing w:before="66" w:after="66"/>
              <w:jc w:val="center"/>
              <w:rPr>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t>6</w:t>
            </w:r>
          </w:p>
        </w:tc>
        <w:tc>
          <w:tcPr>
            <w:tcW w:w="2737" w:type="dxa"/>
            <w:vAlign w:val="center"/>
          </w:tcPr>
          <w:p>
            <w:pPr>
              <w:topLinePunct/>
              <w:spacing w:before="66" w:after="66"/>
              <w:rPr>
                <w:rFonts w:ascii="宋体" w:hAnsi="宋体"/>
                <w:color w:val="000000" w:themeColor="text1"/>
                <w:szCs w:val="21"/>
                <w14:textFill>
                  <w14:solidFill>
                    <w14:schemeClr w14:val="tx1"/>
                  </w14:solidFill>
                </w14:textFill>
              </w:rPr>
            </w:pPr>
          </w:p>
        </w:tc>
        <w:tc>
          <w:tcPr>
            <w:tcW w:w="804" w:type="dxa"/>
            <w:noWrap/>
            <w:vAlign w:val="center"/>
          </w:tcPr>
          <w:p>
            <w:pPr>
              <w:topLinePunct/>
              <w:spacing w:before="66" w:after="66"/>
              <w:jc w:val="center"/>
              <w:rPr>
                <w:rFonts w:ascii="宋体" w:hAnsi="宋体"/>
                <w:color w:val="000000" w:themeColor="text1"/>
                <w:szCs w:val="21"/>
                <w14:textFill>
                  <w14:solidFill>
                    <w14:schemeClr w14:val="tx1"/>
                  </w14:solidFill>
                </w14:textFill>
              </w:rPr>
            </w:pPr>
          </w:p>
        </w:tc>
        <w:tc>
          <w:tcPr>
            <w:tcW w:w="2039" w:type="dxa"/>
          </w:tcPr>
          <w:p>
            <w:pPr>
              <w:topLinePunct/>
              <w:spacing w:before="66" w:after="66"/>
              <w:rPr>
                <w:rFonts w:ascii="宋体" w:hAnsi="宋体"/>
                <w:color w:val="000000" w:themeColor="text1"/>
                <w:szCs w:val="21"/>
                <w14:textFill>
                  <w14:solidFill>
                    <w14:schemeClr w14:val="tx1"/>
                  </w14:solidFill>
                </w14:textFill>
              </w:rPr>
            </w:pPr>
          </w:p>
        </w:tc>
        <w:tc>
          <w:tcPr>
            <w:tcW w:w="667" w:type="dxa"/>
            <w:vAlign w:val="center"/>
          </w:tcPr>
          <w:p>
            <w:pPr>
              <w:topLinePunct/>
              <w:spacing w:before="66" w:after="66"/>
              <w:rPr>
                <w:rFonts w:ascii="宋体" w:hAnsi="宋体"/>
                <w:color w:val="000000" w:themeColor="text1"/>
                <w:szCs w:val="21"/>
                <w14:textFill>
                  <w14:solidFill>
                    <w14:schemeClr w14:val="tx1"/>
                  </w14:solidFill>
                </w14:textFill>
              </w:rPr>
            </w:pPr>
          </w:p>
        </w:tc>
        <w:tc>
          <w:tcPr>
            <w:tcW w:w="2033" w:type="dxa"/>
            <w:vAlign w:val="center"/>
          </w:tcPr>
          <w:p>
            <w:pPr>
              <w:topLinePunct/>
              <w:spacing w:before="66" w:after="66"/>
              <w:rPr>
                <w:rFonts w:ascii="宋体" w:hAnsi="宋体"/>
                <w:color w:val="000000" w:themeColor="text1"/>
                <w:szCs w:val="21"/>
                <w14:textFill>
                  <w14:solidFill>
                    <w14:schemeClr w14:val="tx1"/>
                  </w14:solidFill>
                </w14:textFill>
              </w:rPr>
            </w:pPr>
          </w:p>
        </w:tc>
        <w:tc>
          <w:tcPr>
            <w:tcW w:w="704" w:type="dxa"/>
            <w:vAlign w:val="center"/>
          </w:tcPr>
          <w:p>
            <w:pPr>
              <w:topLinePunct/>
              <w:spacing w:before="66" w:after="66"/>
              <w:rPr>
                <w:rFonts w:ascii="宋体" w:hAnsi="宋体"/>
                <w:color w:val="000000" w:themeColor="text1"/>
                <w:szCs w:val="21"/>
                <w14:textFill>
                  <w14:solidFill>
                    <w14:schemeClr w14:val="tx1"/>
                  </w14:solidFill>
                </w14:textFill>
              </w:rPr>
            </w:pP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jc w:val="center"/>
        </w:trPr>
        <w:tc>
          <w:tcPr>
            <w:tcW w:w="679" w:type="dxa"/>
            <w:noWrap/>
            <w:vAlign w:val="center"/>
          </w:tcPr>
          <w:p>
            <w:pPr>
              <w:topLinePunct/>
              <w:spacing w:before="66" w:after="66"/>
              <w:jc w:val="center"/>
              <w:rPr>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t>7</w:t>
            </w:r>
          </w:p>
        </w:tc>
        <w:tc>
          <w:tcPr>
            <w:tcW w:w="2737" w:type="dxa"/>
            <w:vAlign w:val="center"/>
          </w:tcPr>
          <w:p>
            <w:pPr>
              <w:topLinePunct/>
              <w:spacing w:before="66" w:after="66"/>
              <w:rPr>
                <w:rFonts w:ascii="宋体" w:hAnsi="宋体"/>
                <w:color w:val="000000" w:themeColor="text1"/>
                <w:szCs w:val="21"/>
                <w14:textFill>
                  <w14:solidFill>
                    <w14:schemeClr w14:val="tx1"/>
                  </w14:solidFill>
                </w14:textFill>
              </w:rPr>
            </w:pPr>
          </w:p>
        </w:tc>
        <w:tc>
          <w:tcPr>
            <w:tcW w:w="804" w:type="dxa"/>
            <w:noWrap/>
            <w:vAlign w:val="center"/>
          </w:tcPr>
          <w:p>
            <w:pPr>
              <w:topLinePunct/>
              <w:spacing w:before="66" w:after="66"/>
              <w:jc w:val="center"/>
              <w:rPr>
                <w:rFonts w:ascii="宋体" w:hAnsi="宋体"/>
                <w:color w:val="000000" w:themeColor="text1"/>
                <w:szCs w:val="21"/>
                <w14:textFill>
                  <w14:solidFill>
                    <w14:schemeClr w14:val="tx1"/>
                  </w14:solidFill>
                </w14:textFill>
              </w:rPr>
            </w:pPr>
          </w:p>
        </w:tc>
        <w:tc>
          <w:tcPr>
            <w:tcW w:w="2039" w:type="dxa"/>
          </w:tcPr>
          <w:p>
            <w:pPr>
              <w:topLinePunct/>
              <w:spacing w:before="66" w:after="66"/>
              <w:rPr>
                <w:rFonts w:ascii="宋体" w:hAnsi="宋体"/>
                <w:color w:val="000000" w:themeColor="text1"/>
                <w:szCs w:val="21"/>
                <w14:textFill>
                  <w14:solidFill>
                    <w14:schemeClr w14:val="tx1"/>
                  </w14:solidFill>
                </w14:textFill>
              </w:rPr>
            </w:pPr>
          </w:p>
        </w:tc>
        <w:tc>
          <w:tcPr>
            <w:tcW w:w="667" w:type="dxa"/>
            <w:vAlign w:val="center"/>
          </w:tcPr>
          <w:p>
            <w:pPr>
              <w:topLinePunct/>
              <w:spacing w:before="66" w:after="66"/>
              <w:rPr>
                <w:rFonts w:ascii="宋体" w:hAnsi="宋体"/>
                <w:color w:val="000000" w:themeColor="text1"/>
                <w:szCs w:val="21"/>
                <w14:textFill>
                  <w14:solidFill>
                    <w14:schemeClr w14:val="tx1"/>
                  </w14:solidFill>
                </w14:textFill>
              </w:rPr>
            </w:pPr>
          </w:p>
        </w:tc>
        <w:tc>
          <w:tcPr>
            <w:tcW w:w="2033" w:type="dxa"/>
            <w:vAlign w:val="center"/>
          </w:tcPr>
          <w:p>
            <w:pPr>
              <w:topLinePunct/>
              <w:spacing w:before="66" w:after="66"/>
              <w:rPr>
                <w:rFonts w:ascii="宋体" w:hAnsi="宋体"/>
                <w:color w:val="000000" w:themeColor="text1"/>
                <w:szCs w:val="21"/>
                <w14:textFill>
                  <w14:solidFill>
                    <w14:schemeClr w14:val="tx1"/>
                  </w14:solidFill>
                </w14:textFill>
              </w:rPr>
            </w:pPr>
          </w:p>
        </w:tc>
        <w:tc>
          <w:tcPr>
            <w:tcW w:w="704" w:type="dxa"/>
            <w:vAlign w:val="center"/>
          </w:tcPr>
          <w:p>
            <w:pPr>
              <w:topLinePunct/>
              <w:spacing w:before="66" w:after="66"/>
              <w:rPr>
                <w:rFonts w:ascii="宋体" w:hAnsi="宋体"/>
                <w:color w:val="000000" w:themeColor="text1"/>
                <w:szCs w:val="21"/>
                <w14:textFill>
                  <w14:solidFill>
                    <w14:schemeClr w14:val="tx1"/>
                  </w14:solidFill>
                </w14:textFill>
              </w:rPr>
            </w:pP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jc w:val="center"/>
        </w:trPr>
        <w:tc>
          <w:tcPr>
            <w:tcW w:w="679" w:type="dxa"/>
            <w:noWrap/>
            <w:vAlign w:val="center"/>
          </w:tcPr>
          <w:p>
            <w:pPr>
              <w:topLinePunct/>
              <w:spacing w:before="66" w:after="66"/>
              <w:jc w:val="center"/>
              <w:rPr>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t>8</w:t>
            </w:r>
          </w:p>
        </w:tc>
        <w:tc>
          <w:tcPr>
            <w:tcW w:w="2737" w:type="dxa"/>
            <w:vAlign w:val="center"/>
          </w:tcPr>
          <w:p>
            <w:pPr>
              <w:topLinePunct/>
              <w:spacing w:before="66" w:after="66"/>
              <w:rPr>
                <w:rFonts w:ascii="宋体" w:hAnsi="宋体"/>
                <w:color w:val="000000" w:themeColor="text1"/>
                <w:szCs w:val="21"/>
                <w14:textFill>
                  <w14:solidFill>
                    <w14:schemeClr w14:val="tx1"/>
                  </w14:solidFill>
                </w14:textFill>
              </w:rPr>
            </w:pPr>
          </w:p>
        </w:tc>
        <w:tc>
          <w:tcPr>
            <w:tcW w:w="804" w:type="dxa"/>
            <w:noWrap/>
            <w:vAlign w:val="center"/>
          </w:tcPr>
          <w:p>
            <w:pPr>
              <w:topLinePunct/>
              <w:spacing w:before="66" w:after="66"/>
              <w:jc w:val="center"/>
              <w:rPr>
                <w:rFonts w:ascii="宋体" w:hAnsi="宋体"/>
                <w:color w:val="000000" w:themeColor="text1"/>
                <w:szCs w:val="21"/>
                <w14:textFill>
                  <w14:solidFill>
                    <w14:schemeClr w14:val="tx1"/>
                  </w14:solidFill>
                </w14:textFill>
              </w:rPr>
            </w:pPr>
          </w:p>
        </w:tc>
        <w:tc>
          <w:tcPr>
            <w:tcW w:w="2039" w:type="dxa"/>
          </w:tcPr>
          <w:p>
            <w:pPr>
              <w:topLinePunct/>
              <w:spacing w:before="66" w:after="66"/>
              <w:rPr>
                <w:rFonts w:ascii="宋体" w:hAnsi="宋体"/>
                <w:color w:val="000000" w:themeColor="text1"/>
                <w:szCs w:val="21"/>
                <w14:textFill>
                  <w14:solidFill>
                    <w14:schemeClr w14:val="tx1"/>
                  </w14:solidFill>
                </w14:textFill>
              </w:rPr>
            </w:pPr>
          </w:p>
        </w:tc>
        <w:tc>
          <w:tcPr>
            <w:tcW w:w="667" w:type="dxa"/>
            <w:vAlign w:val="center"/>
          </w:tcPr>
          <w:p>
            <w:pPr>
              <w:topLinePunct/>
              <w:spacing w:before="66" w:after="66"/>
              <w:rPr>
                <w:rFonts w:ascii="宋体" w:hAnsi="宋体"/>
                <w:color w:val="000000" w:themeColor="text1"/>
                <w:szCs w:val="21"/>
                <w14:textFill>
                  <w14:solidFill>
                    <w14:schemeClr w14:val="tx1"/>
                  </w14:solidFill>
                </w14:textFill>
              </w:rPr>
            </w:pPr>
          </w:p>
        </w:tc>
        <w:tc>
          <w:tcPr>
            <w:tcW w:w="2033" w:type="dxa"/>
            <w:vAlign w:val="center"/>
          </w:tcPr>
          <w:p>
            <w:pPr>
              <w:topLinePunct/>
              <w:spacing w:before="66" w:after="66"/>
              <w:rPr>
                <w:rFonts w:ascii="宋体" w:hAnsi="宋体"/>
                <w:color w:val="000000" w:themeColor="text1"/>
                <w:szCs w:val="21"/>
                <w14:textFill>
                  <w14:solidFill>
                    <w14:schemeClr w14:val="tx1"/>
                  </w14:solidFill>
                </w14:textFill>
              </w:rPr>
            </w:pPr>
          </w:p>
        </w:tc>
        <w:tc>
          <w:tcPr>
            <w:tcW w:w="704" w:type="dxa"/>
            <w:vAlign w:val="center"/>
          </w:tcPr>
          <w:p>
            <w:pPr>
              <w:topLinePunct/>
              <w:spacing w:before="66" w:after="66"/>
              <w:rPr>
                <w:rFonts w:ascii="宋体" w:hAnsi="宋体"/>
                <w:color w:val="000000" w:themeColor="text1"/>
                <w:szCs w:val="21"/>
                <w14:textFill>
                  <w14:solidFill>
                    <w14:schemeClr w14:val="tx1"/>
                  </w14:solidFill>
                </w14:textFill>
              </w:rPr>
            </w:pP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jc w:val="center"/>
        </w:trPr>
        <w:tc>
          <w:tcPr>
            <w:tcW w:w="679" w:type="dxa"/>
            <w:noWrap/>
            <w:vAlign w:val="center"/>
          </w:tcPr>
          <w:p>
            <w:pPr>
              <w:topLinePunct/>
              <w:spacing w:before="66" w:after="66"/>
              <w:jc w:val="center"/>
              <w:rPr>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t>9</w:t>
            </w:r>
          </w:p>
        </w:tc>
        <w:tc>
          <w:tcPr>
            <w:tcW w:w="2737" w:type="dxa"/>
            <w:vAlign w:val="center"/>
          </w:tcPr>
          <w:p>
            <w:pPr>
              <w:topLinePunct/>
              <w:spacing w:before="66" w:after="66"/>
              <w:rPr>
                <w:rFonts w:ascii="宋体" w:hAnsi="宋体"/>
                <w:color w:val="000000" w:themeColor="text1"/>
                <w:szCs w:val="21"/>
                <w14:textFill>
                  <w14:solidFill>
                    <w14:schemeClr w14:val="tx1"/>
                  </w14:solidFill>
                </w14:textFill>
              </w:rPr>
            </w:pPr>
          </w:p>
        </w:tc>
        <w:tc>
          <w:tcPr>
            <w:tcW w:w="804" w:type="dxa"/>
            <w:noWrap/>
            <w:vAlign w:val="center"/>
          </w:tcPr>
          <w:p>
            <w:pPr>
              <w:topLinePunct/>
              <w:spacing w:before="66" w:after="66"/>
              <w:jc w:val="center"/>
              <w:rPr>
                <w:rFonts w:ascii="宋体" w:hAnsi="宋体"/>
                <w:color w:val="000000" w:themeColor="text1"/>
                <w:szCs w:val="21"/>
                <w14:textFill>
                  <w14:solidFill>
                    <w14:schemeClr w14:val="tx1"/>
                  </w14:solidFill>
                </w14:textFill>
              </w:rPr>
            </w:pPr>
          </w:p>
        </w:tc>
        <w:tc>
          <w:tcPr>
            <w:tcW w:w="2039" w:type="dxa"/>
          </w:tcPr>
          <w:p>
            <w:pPr>
              <w:topLinePunct/>
              <w:spacing w:before="66" w:after="66"/>
              <w:rPr>
                <w:rFonts w:ascii="宋体" w:hAnsi="宋体"/>
                <w:color w:val="000000" w:themeColor="text1"/>
                <w:szCs w:val="21"/>
                <w14:textFill>
                  <w14:solidFill>
                    <w14:schemeClr w14:val="tx1"/>
                  </w14:solidFill>
                </w14:textFill>
              </w:rPr>
            </w:pPr>
          </w:p>
        </w:tc>
        <w:tc>
          <w:tcPr>
            <w:tcW w:w="667" w:type="dxa"/>
            <w:vAlign w:val="center"/>
          </w:tcPr>
          <w:p>
            <w:pPr>
              <w:topLinePunct/>
              <w:spacing w:before="66" w:after="66"/>
              <w:rPr>
                <w:rFonts w:ascii="宋体" w:hAnsi="宋体"/>
                <w:color w:val="000000" w:themeColor="text1"/>
                <w:szCs w:val="21"/>
                <w14:textFill>
                  <w14:solidFill>
                    <w14:schemeClr w14:val="tx1"/>
                  </w14:solidFill>
                </w14:textFill>
              </w:rPr>
            </w:pPr>
          </w:p>
        </w:tc>
        <w:tc>
          <w:tcPr>
            <w:tcW w:w="2033" w:type="dxa"/>
            <w:vAlign w:val="center"/>
          </w:tcPr>
          <w:p>
            <w:pPr>
              <w:topLinePunct/>
              <w:spacing w:before="66" w:after="66"/>
              <w:rPr>
                <w:rFonts w:ascii="宋体" w:hAnsi="宋体"/>
                <w:color w:val="000000" w:themeColor="text1"/>
                <w:szCs w:val="21"/>
                <w14:textFill>
                  <w14:solidFill>
                    <w14:schemeClr w14:val="tx1"/>
                  </w14:solidFill>
                </w14:textFill>
              </w:rPr>
            </w:pPr>
          </w:p>
        </w:tc>
        <w:tc>
          <w:tcPr>
            <w:tcW w:w="704" w:type="dxa"/>
            <w:vAlign w:val="center"/>
          </w:tcPr>
          <w:p>
            <w:pPr>
              <w:topLinePunct/>
              <w:spacing w:before="66" w:after="66"/>
              <w:rPr>
                <w:rFonts w:ascii="宋体" w:hAnsi="宋体"/>
                <w:color w:val="000000" w:themeColor="text1"/>
                <w:szCs w:val="21"/>
                <w14:textFill>
                  <w14:solidFill>
                    <w14:schemeClr w14:val="tx1"/>
                  </w14:solidFill>
                </w14:textFill>
              </w:rPr>
            </w:pP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jc w:val="center"/>
        </w:trPr>
        <w:tc>
          <w:tcPr>
            <w:tcW w:w="679" w:type="dxa"/>
            <w:noWrap/>
            <w:vAlign w:val="center"/>
          </w:tcPr>
          <w:p>
            <w:pPr>
              <w:topLinePunct/>
              <w:spacing w:before="66" w:after="66"/>
              <w:jc w:val="center"/>
              <w:rPr>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t>10</w:t>
            </w:r>
          </w:p>
        </w:tc>
        <w:tc>
          <w:tcPr>
            <w:tcW w:w="2737" w:type="dxa"/>
            <w:vAlign w:val="center"/>
          </w:tcPr>
          <w:p>
            <w:pPr>
              <w:topLinePunct/>
              <w:spacing w:before="66" w:after="66"/>
              <w:rPr>
                <w:rFonts w:ascii="宋体" w:hAnsi="宋体"/>
                <w:color w:val="000000" w:themeColor="text1"/>
                <w:szCs w:val="21"/>
                <w14:textFill>
                  <w14:solidFill>
                    <w14:schemeClr w14:val="tx1"/>
                  </w14:solidFill>
                </w14:textFill>
              </w:rPr>
            </w:pPr>
          </w:p>
        </w:tc>
        <w:tc>
          <w:tcPr>
            <w:tcW w:w="804" w:type="dxa"/>
            <w:noWrap/>
            <w:vAlign w:val="center"/>
          </w:tcPr>
          <w:p>
            <w:pPr>
              <w:topLinePunct/>
              <w:spacing w:before="66" w:after="66"/>
              <w:jc w:val="center"/>
              <w:rPr>
                <w:rFonts w:ascii="宋体" w:hAnsi="宋体"/>
                <w:color w:val="000000" w:themeColor="text1"/>
                <w:szCs w:val="21"/>
                <w14:textFill>
                  <w14:solidFill>
                    <w14:schemeClr w14:val="tx1"/>
                  </w14:solidFill>
                </w14:textFill>
              </w:rPr>
            </w:pPr>
          </w:p>
        </w:tc>
        <w:tc>
          <w:tcPr>
            <w:tcW w:w="2039" w:type="dxa"/>
          </w:tcPr>
          <w:p>
            <w:pPr>
              <w:topLinePunct/>
              <w:spacing w:before="66" w:after="66"/>
              <w:rPr>
                <w:rFonts w:ascii="宋体" w:hAnsi="宋体"/>
                <w:color w:val="000000" w:themeColor="text1"/>
                <w:szCs w:val="21"/>
                <w14:textFill>
                  <w14:solidFill>
                    <w14:schemeClr w14:val="tx1"/>
                  </w14:solidFill>
                </w14:textFill>
              </w:rPr>
            </w:pPr>
          </w:p>
        </w:tc>
        <w:tc>
          <w:tcPr>
            <w:tcW w:w="667" w:type="dxa"/>
            <w:vAlign w:val="center"/>
          </w:tcPr>
          <w:p>
            <w:pPr>
              <w:topLinePunct/>
              <w:spacing w:before="66" w:after="66"/>
              <w:rPr>
                <w:rFonts w:ascii="宋体" w:hAnsi="宋体"/>
                <w:color w:val="000000" w:themeColor="text1"/>
                <w:szCs w:val="21"/>
                <w14:textFill>
                  <w14:solidFill>
                    <w14:schemeClr w14:val="tx1"/>
                  </w14:solidFill>
                </w14:textFill>
              </w:rPr>
            </w:pPr>
          </w:p>
        </w:tc>
        <w:tc>
          <w:tcPr>
            <w:tcW w:w="2033" w:type="dxa"/>
            <w:vAlign w:val="center"/>
          </w:tcPr>
          <w:p>
            <w:pPr>
              <w:topLinePunct/>
              <w:spacing w:before="66" w:after="66"/>
              <w:rPr>
                <w:rFonts w:ascii="宋体" w:hAnsi="宋体"/>
                <w:color w:val="000000" w:themeColor="text1"/>
                <w:szCs w:val="21"/>
                <w14:textFill>
                  <w14:solidFill>
                    <w14:schemeClr w14:val="tx1"/>
                  </w14:solidFill>
                </w14:textFill>
              </w:rPr>
            </w:pPr>
          </w:p>
        </w:tc>
        <w:tc>
          <w:tcPr>
            <w:tcW w:w="704" w:type="dxa"/>
            <w:vAlign w:val="center"/>
          </w:tcPr>
          <w:p>
            <w:pPr>
              <w:topLinePunct/>
              <w:spacing w:before="66" w:after="66"/>
              <w:rPr>
                <w:rFonts w:ascii="宋体" w:hAnsi="宋体"/>
                <w:color w:val="000000" w:themeColor="text1"/>
                <w:szCs w:val="21"/>
                <w14:textFill>
                  <w14:solidFill>
                    <w14:schemeClr w14:val="tx1"/>
                  </w14:solidFill>
                </w14:textFill>
              </w:rPr>
            </w:pPr>
          </w:p>
        </w:tc>
      </w:tr>
    </w:tbl>
    <w:p>
      <w:pPr>
        <w:pStyle w:val="2"/>
        <w:numPr>
          <w:ilvl w:val="0"/>
          <w:numId w:val="0"/>
        </w:numPr>
        <w:snapToGrid/>
        <w:spacing w:before="0" w:beforeLines="0" w:line="480" w:lineRule="auto"/>
        <w:rPr>
          <w:rFonts w:ascii="黑体" w:eastAsia="黑体"/>
          <w:color w:val="000000" w:themeColor="text1"/>
          <w14:textFill>
            <w14:solidFill>
              <w14:schemeClr w14:val="tx1"/>
            </w14:solidFill>
          </w14:textFill>
        </w:rPr>
      </w:pPr>
      <w:bookmarkStart w:id="232" w:name="_Toc292019795"/>
      <w:bookmarkStart w:id="233" w:name="_Toc282433726"/>
      <w:bookmarkStart w:id="234" w:name="_Toc177995354"/>
      <w:bookmarkStart w:id="235" w:name="_Toc283142601"/>
      <w:bookmarkStart w:id="236" w:name="_Toc511891226"/>
      <w:bookmarkStart w:id="237" w:name="_Toc283011678"/>
      <w:bookmarkStart w:id="238" w:name="_Toc293332496"/>
      <w:r>
        <w:rPr>
          <w:rFonts w:ascii="黑体" w:eastAsia="黑体"/>
          <w:color w:val="000000" w:themeColor="text1"/>
          <w14:textFill>
            <w14:solidFill>
              <w14:schemeClr w14:val="tx1"/>
            </w14:solidFill>
          </w14:textFill>
        </w:rPr>
        <w:t>13</w:t>
      </w:r>
      <w:r>
        <w:rPr>
          <w:rFonts w:hint="eastAsia" w:ascii="黑体" w:eastAsia="黑体"/>
          <w:color w:val="000000" w:themeColor="text1"/>
          <w14:textFill>
            <w14:solidFill>
              <w14:schemeClr w14:val="tx1"/>
            </w14:solidFill>
          </w14:textFill>
        </w:rPr>
        <w:t xml:space="preserve"> 技术差异表</w:t>
      </w:r>
      <w:bookmarkEnd w:id="232"/>
      <w:bookmarkEnd w:id="233"/>
      <w:bookmarkEnd w:id="234"/>
      <w:bookmarkEnd w:id="235"/>
      <w:bookmarkEnd w:id="236"/>
      <w:bookmarkEnd w:id="237"/>
      <w:bookmarkEnd w:id="238"/>
    </w:p>
    <w:p>
      <w:pPr>
        <w:adjustRightInd w:val="0"/>
        <w:snapToGrid w:val="0"/>
        <w:spacing w:line="360" w:lineRule="auto"/>
        <w:ind w:firstLine="420" w:firstLineChars="200"/>
        <w:rPr>
          <w:rFonts w:ascii="宋体" w:hAnsi="宋体" w:cs="宋体-18030"/>
          <w:color w:val="000000" w:themeColor="text1"/>
          <w:szCs w:val="21"/>
          <w14:textFill>
            <w14:solidFill>
              <w14:schemeClr w14:val="tx1"/>
            </w14:solidFill>
          </w14:textFill>
        </w:rPr>
      </w:pPr>
      <w:bookmarkStart w:id="239" w:name="_Toc226362579"/>
      <w:r>
        <w:rPr>
          <w:rFonts w:hint="eastAsia" w:ascii="宋体" w:hAnsi="宋体" w:cs="宋体-18030"/>
          <w:color w:val="000000" w:themeColor="text1"/>
          <w:szCs w:val="21"/>
          <w14:textFill>
            <w14:solidFill>
              <w14:schemeClr w14:val="tx1"/>
            </w14:solidFill>
          </w14:textFill>
        </w:rPr>
        <w:t>投标方应将所供设备与本招标书技术文件有差异之处，无论优于或劣于本招标书要求，均汇集成此表。</w:t>
      </w:r>
    </w:p>
    <w:p>
      <w:pPr>
        <w:spacing w:line="360" w:lineRule="auto"/>
        <w:jc w:val="center"/>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表</w:t>
      </w:r>
      <w:r>
        <w:rPr>
          <w:rFonts w:ascii="宋体" w:hAnsi="宋体"/>
          <w:color w:val="000000" w:themeColor="text1"/>
          <w:szCs w:val="21"/>
          <w14:textFill>
            <w14:solidFill>
              <w14:schemeClr w14:val="tx1"/>
            </w14:solidFill>
          </w14:textFill>
        </w:rPr>
        <w:t>13-1  技术差异表</w:t>
      </w:r>
      <w:bookmarkEnd w:id="239"/>
      <w:r>
        <w:rPr>
          <w:rFonts w:ascii="宋体" w:hAnsi="宋体"/>
          <w:color w:val="000000" w:themeColor="text1"/>
          <w:szCs w:val="21"/>
          <w14:textFill>
            <w14:solidFill>
              <w14:schemeClr w14:val="tx1"/>
            </w14:solidFill>
          </w14:textFill>
        </w:rPr>
        <w:t xml:space="preserve">  （投标方填写）</w:t>
      </w:r>
    </w:p>
    <w:tbl>
      <w:tblPr>
        <w:tblStyle w:val="84"/>
        <w:tblW w:w="4918" w:type="pct"/>
        <w:jc w:val="center"/>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autofit"/>
        <w:tblCellMar>
          <w:top w:w="0" w:type="dxa"/>
          <w:left w:w="108" w:type="dxa"/>
          <w:bottom w:w="0" w:type="dxa"/>
          <w:right w:w="108" w:type="dxa"/>
        </w:tblCellMar>
      </w:tblPr>
      <w:tblGrid>
        <w:gridCol w:w="679"/>
        <w:gridCol w:w="1163"/>
        <w:gridCol w:w="2713"/>
        <w:gridCol w:w="1258"/>
        <w:gridCol w:w="2575"/>
      </w:tblGrid>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jc w:val="center"/>
        </w:trPr>
        <w:tc>
          <w:tcPr>
            <w:tcW w:w="405" w:type="pct"/>
            <w:vMerge w:val="restart"/>
            <w:vAlign w:val="center"/>
          </w:tcPr>
          <w:p>
            <w:pPr>
              <w:widowControl/>
              <w:autoSpaceDE w:val="0"/>
              <w:autoSpaceDN w:val="0"/>
              <w:spacing w:before="40"/>
              <w:jc w:val="center"/>
              <w:textAlignment w:val="bottom"/>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序</w:t>
            </w:r>
          </w:p>
          <w:p>
            <w:pPr>
              <w:autoSpaceDE w:val="0"/>
              <w:autoSpaceDN w:val="0"/>
              <w:spacing w:before="40"/>
              <w:jc w:val="center"/>
              <w:textAlignment w:val="bottom"/>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号</w:t>
            </w:r>
          </w:p>
        </w:tc>
        <w:tc>
          <w:tcPr>
            <w:tcW w:w="2310" w:type="pct"/>
            <w:gridSpan w:val="2"/>
            <w:vAlign w:val="center"/>
          </w:tcPr>
          <w:p>
            <w:pPr>
              <w:widowControl/>
              <w:autoSpaceDE w:val="0"/>
              <w:autoSpaceDN w:val="0"/>
              <w:spacing w:before="40"/>
              <w:jc w:val="center"/>
              <w:textAlignment w:val="bottom"/>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招</w:t>
            </w:r>
            <w:r>
              <w:rPr>
                <w:rFonts w:ascii="宋体" w:hAnsi="宋体"/>
                <w:color w:val="000000" w:themeColor="text1"/>
                <w:szCs w:val="21"/>
                <w14:textFill>
                  <w14:solidFill>
                    <w14:schemeClr w14:val="tx1"/>
                  </w14:solidFill>
                </w14:textFill>
              </w:rPr>
              <w:t xml:space="preserve"> </w:t>
            </w:r>
            <w:r>
              <w:rPr>
                <w:rFonts w:hint="eastAsia" w:ascii="宋体" w:hAnsi="宋体"/>
                <w:color w:val="000000" w:themeColor="text1"/>
                <w:szCs w:val="21"/>
                <w14:textFill>
                  <w14:solidFill>
                    <w14:schemeClr w14:val="tx1"/>
                  </w14:solidFill>
                </w14:textFill>
              </w:rPr>
              <w:t>标</w:t>
            </w:r>
            <w:r>
              <w:rPr>
                <w:rFonts w:ascii="宋体" w:hAnsi="宋体"/>
                <w:color w:val="000000" w:themeColor="text1"/>
                <w:szCs w:val="21"/>
                <w14:textFill>
                  <w14:solidFill>
                    <w14:schemeClr w14:val="tx1"/>
                  </w14:solidFill>
                </w14:textFill>
              </w:rPr>
              <w:t xml:space="preserve"> </w:t>
            </w:r>
            <w:r>
              <w:rPr>
                <w:rFonts w:hint="eastAsia" w:ascii="宋体" w:hAnsi="宋体"/>
                <w:color w:val="000000" w:themeColor="text1"/>
                <w:szCs w:val="21"/>
                <w14:textFill>
                  <w14:solidFill>
                    <w14:schemeClr w14:val="tx1"/>
                  </w14:solidFill>
                </w14:textFill>
              </w:rPr>
              <w:t>文</w:t>
            </w:r>
            <w:r>
              <w:rPr>
                <w:rFonts w:ascii="宋体" w:hAnsi="宋体"/>
                <w:color w:val="000000" w:themeColor="text1"/>
                <w:szCs w:val="21"/>
                <w14:textFill>
                  <w14:solidFill>
                    <w14:schemeClr w14:val="tx1"/>
                  </w14:solidFill>
                </w14:textFill>
              </w:rPr>
              <w:t xml:space="preserve"> </w:t>
            </w:r>
            <w:r>
              <w:rPr>
                <w:rFonts w:hint="eastAsia" w:ascii="宋体" w:hAnsi="宋体"/>
                <w:color w:val="000000" w:themeColor="text1"/>
                <w:szCs w:val="21"/>
                <w14:textFill>
                  <w14:solidFill>
                    <w14:schemeClr w14:val="tx1"/>
                  </w14:solidFill>
                </w14:textFill>
              </w:rPr>
              <w:t>件</w:t>
            </w:r>
          </w:p>
        </w:tc>
        <w:tc>
          <w:tcPr>
            <w:tcW w:w="2285" w:type="pct"/>
            <w:gridSpan w:val="2"/>
            <w:vAlign w:val="center"/>
          </w:tcPr>
          <w:p>
            <w:pPr>
              <w:widowControl/>
              <w:autoSpaceDE w:val="0"/>
              <w:autoSpaceDN w:val="0"/>
              <w:spacing w:before="40"/>
              <w:jc w:val="center"/>
              <w:textAlignment w:val="bottom"/>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投</w:t>
            </w:r>
            <w:r>
              <w:rPr>
                <w:rFonts w:ascii="宋体" w:hAnsi="宋体"/>
                <w:color w:val="000000" w:themeColor="text1"/>
                <w:szCs w:val="21"/>
                <w14:textFill>
                  <w14:solidFill>
                    <w14:schemeClr w14:val="tx1"/>
                  </w14:solidFill>
                </w14:textFill>
              </w:rPr>
              <w:t xml:space="preserve">  </w:t>
            </w:r>
            <w:r>
              <w:rPr>
                <w:rFonts w:hint="eastAsia" w:ascii="宋体" w:hAnsi="宋体"/>
                <w:color w:val="000000" w:themeColor="text1"/>
                <w:szCs w:val="21"/>
                <w14:textFill>
                  <w14:solidFill>
                    <w14:schemeClr w14:val="tx1"/>
                  </w14:solidFill>
                </w14:textFill>
              </w:rPr>
              <w:t>标</w:t>
            </w:r>
            <w:r>
              <w:rPr>
                <w:rFonts w:ascii="宋体" w:hAnsi="宋体"/>
                <w:color w:val="000000" w:themeColor="text1"/>
                <w:szCs w:val="21"/>
                <w14:textFill>
                  <w14:solidFill>
                    <w14:schemeClr w14:val="tx1"/>
                  </w14:solidFill>
                </w14:textFill>
              </w:rPr>
              <w:t xml:space="preserve">  </w:t>
            </w:r>
            <w:r>
              <w:rPr>
                <w:rFonts w:hint="eastAsia" w:ascii="宋体" w:hAnsi="宋体"/>
                <w:color w:val="000000" w:themeColor="text1"/>
                <w:szCs w:val="21"/>
                <w14:textFill>
                  <w14:solidFill>
                    <w14:schemeClr w14:val="tx1"/>
                  </w14:solidFill>
                </w14:textFill>
              </w:rPr>
              <w:t>文</w:t>
            </w:r>
            <w:r>
              <w:rPr>
                <w:rFonts w:ascii="宋体" w:hAnsi="宋体"/>
                <w:color w:val="000000" w:themeColor="text1"/>
                <w:szCs w:val="21"/>
                <w14:textFill>
                  <w14:solidFill>
                    <w14:schemeClr w14:val="tx1"/>
                  </w14:solidFill>
                </w14:textFill>
              </w:rPr>
              <w:t xml:space="preserve">  </w:t>
            </w:r>
            <w:r>
              <w:rPr>
                <w:rFonts w:hint="eastAsia" w:ascii="宋体" w:hAnsi="宋体"/>
                <w:color w:val="000000" w:themeColor="text1"/>
                <w:szCs w:val="21"/>
                <w14:textFill>
                  <w14:solidFill>
                    <w14:schemeClr w14:val="tx1"/>
                  </w14:solidFill>
                </w14:textFill>
              </w:rPr>
              <w:t>件</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jc w:val="center"/>
        </w:trPr>
        <w:tc>
          <w:tcPr>
            <w:tcW w:w="405" w:type="pct"/>
            <w:vMerge w:val="continue"/>
            <w:vAlign w:val="center"/>
          </w:tcPr>
          <w:p>
            <w:pPr>
              <w:widowControl/>
              <w:autoSpaceDE w:val="0"/>
              <w:autoSpaceDN w:val="0"/>
              <w:spacing w:before="40"/>
              <w:jc w:val="center"/>
              <w:textAlignment w:val="bottom"/>
              <w:rPr>
                <w:rFonts w:ascii="宋体" w:hAnsi="宋体"/>
                <w:color w:val="000000" w:themeColor="text1"/>
                <w:szCs w:val="21"/>
                <w14:textFill>
                  <w14:solidFill>
                    <w14:schemeClr w14:val="tx1"/>
                  </w14:solidFill>
                </w14:textFill>
              </w:rPr>
            </w:pPr>
          </w:p>
        </w:tc>
        <w:tc>
          <w:tcPr>
            <w:tcW w:w="693" w:type="pct"/>
            <w:vAlign w:val="center"/>
          </w:tcPr>
          <w:p>
            <w:pPr>
              <w:widowControl/>
              <w:autoSpaceDE w:val="0"/>
              <w:autoSpaceDN w:val="0"/>
              <w:spacing w:before="40"/>
              <w:jc w:val="center"/>
              <w:textAlignment w:val="bottom"/>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条</w:t>
            </w:r>
            <w:r>
              <w:rPr>
                <w:rFonts w:ascii="宋体" w:hAnsi="宋体"/>
                <w:color w:val="000000" w:themeColor="text1"/>
                <w:szCs w:val="21"/>
                <w14:textFill>
                  <w14:solidFill>
                    <w14:schemeClr w14:val="tx1"/>
                  </w14:solidFill>
                </w14:textFill>
              </w:rPr>
              <w:t xml:space="preserve">  </w:t>
            </w:r>
            <w:r>
              <w:rPr>
                <w:rFonts w:hint="eastAsia" w:ascii="宋体" w:hAnsi="宋体"/>
                <w:color w:val="000000" w:themeColor="text1"/>
                <w:szCs w:val="21"/>
                <w14:textFill>
                  <w14:solidFill>
                    <w14:schemeClr w14:val="tx1"/>
                  </w14:solidFill>
                </w14:textFill>
              </w:rPr>
              <w:t>目</w:t>
            </w:r>
          </w:p>
        </w:tc>
        <w:tc>
          <w:tcPr>
            <w:tcW w:w="1617" w:type="pct"/>
            <w:vAlign w:val="center"/>
          </w:tcPr>
          <w:p>
            <w:pPr>
              <w:widowControl/>
              <w:autoSpaceDE w:val="0"/>
              <w:autoSpaceDN w:val="0"/>
              <w:spacing w:before="40"/>
              <w:jc w:val="center"/>
              <w:textAlignment w:val="bottom"/>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简</w:t>
            </w:r>
            <w:r>
              <w:rPr>
                <w:rFonts w:ascii="宋体" w:hAnsi="宋体"/>
                <w:color w:val="000000" w:themeColor="text1"/>
                <w:szCs w:val="21"/>
                <w14:textFill>
                  <w14:solidFill>
                    <w14:schemeClr w14:val="tx1"/>
                  </w14:solidFill>
                </w14:textFill>
              </w:rPr>
              <w:t xml:space="preserve">  </w:t>
            </w:r>
            <w:r>
              <w:rPr>
                <w:rFonts w:hint="eastAsia" w:ascii="宋体" w:hAnsi="宋体"/>
                <w:color w:val="000000" w:themeColor="text1"/>
                <w:szCs w:val="21"/>
                <w14:textFill>
                  <w14:solidFill>
                    <w14:schemeClr w14:val="tx1"/>
                  </w14:solidFill>
                </w14:textFill>
              </w:rPr>
              <w:t>要</w:t>
            </w:r>
            <w:r>
              <w:rPr>
                <w:rFonts w:ascii="宋体" w:hAnsi="宋体"/>
                <w:color w:val="000000" w:themeColor="text1"/>
                <w:szCs w:val="21"/>
                <w14:textFill>
                  <w14:solidFill>
                    <w14:schemeClr w14:val="tx1"/>
                  </w14:solidFill>
                </w14:textFill>
              </w:rPr>
              <w:t xml:space="preserve">  </w:t>
            </w:r>
            <w:r>
              <w:rPr>
                <w:rFonts w:hint="eastAsia" w:ascii="宋体" w:hAnsi="宋体"/>
                <w:color w:val="000000" w:themeColor="text1"/>
                <w:szCs w:val="21"/>
                <w14:textFill>
                  <w14:solidFill>
                    <w14:schemeClr w14:val="tx1"/>
                  </w14:solidFill>
                </w14:textFill>
              </w:rPr>
              <w:t>内</w:t>
            </w:r>
            <w:r>
              <w:rPr>
                <w:rFonts w:ascii="宋体" w:hAnsi="宋体"/>
                <w:color w:val="000000" w:themeColor="text1"/>
                <w:szCs w:val="21"/>
                <w14:textFill>
                  <w14:solidFill>
                    <w14:schemeClr w14:val="tx1"/>
                  </w14:solidFill>
                </w14:textFill>
              </w:rPr>
              <w:t xml:space="preserve">  </w:t>
            </w:r>
            <w:r>
              <w:rPr>
                <w:rFonts w:hint="eastAsia" w:ascii="宋体" w:hAnsi="宋体"/>
                <w:color w:val="000000" w:themeColor="text1"/>
                <w:szCs w:val="21"/>
                <w14:textFill>
                  <w14:solidFill>
                    <w14:schemeClr w14:val="tx1"/>
                  </w14:solidFill>
                </w14:textFill>
              </w:rPr>
              <w:t>容</w:t>
            </w:r>
          </w:p>
        </w:tc>
        <w:tc>
          <w:tcPr>
            <w:tcW w:w="750" w:type="pct"/>
            <w:vAlign w:val="center"/>
          </w:tcPr>
          <w:p>
            <w:pPr>
              <w:widowControl/>
              <w:autoSpaceDE w:val="0"/>
              <w:autoSpaceDN w:val="0"/>
              <w:spacing w:before="40"/>
              <w:jc w:val="center"/>
              <w:textAlignment w:val="bottom"/>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条</w:t>
            </w:r>
            <w:r>
              <w:rPr>
                <w:rFonts w:ascii="宋体" w:hAnsi="宋体"/>
                <w:color w:val="000000" w:themeColor="text1"/>
                <w:szCs w:val="21"/>
                <w14:textFill>
                  <w14:solidFill>
                    <w14:schemeClr w14:val="tx1"/>
                  </w14:solidFill>
                </w14:textFill>
              </w:rPr>
              <w:t xml:space="preserve">  </w:t>
            </w:r>
            <w:r>
              <w:rPr>
                <w:rFonts w:hint="eastAsia" w:ascii="宋体" w:hAnsi="宋体"/>
                <w:color w:val="000000" w:themeColor="text1"/>
                <w:szCs w:val="21"/>
                <w14:textFill>
                  <w14:solidFill>
                    <w14:schemeClr w14:val="tx1"/>
                  </w14:solidFill>
                </w14:textFill>
              </w:rPr>
              <w:t>目</w:t>
            </w:r>
          </w:p>
        </w:tc>
        <w:tc>
          <w:tcPr>
            <w:tcW w:w="1535" w:type="pct"/>
            <w:vAlign w:val="center"/>
          </w:tcPr>
          <w:p>
            <w:pPr>
              <w:widowControl/>
              <w:autoSpaceDE w:val="0"/>
              <w:autoSpaceDN w:val="0"/>
              <w:spacing w:before="40"/>
              <w:jc w:val="center"/>
              <w:textAlignment w:val="bottom"/>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简</w:t>
            </w:r>
            <w:r>
              <w:rPr>
                <w:rFonts w:ascii="宋体" w:hAnsi="宋体"/>
                <w:color w:val="000000" w:themeColor="text1"/>
                <w:szCs w:val="21"/>
                <w14:textFill>
                  <w14:solidFill>
                    <w14:schemeClr w14:val="tx1"/>
                  </w14:solidFill>
                </w14:textFill>
              </w:rPr>
              <w:t xml:space="preserve">  </w:t>
            </w:r>
            <w:r>
              <w:rPr>
                <w:rFonts w:hint="eastAsia" w:ascii="宋体" w:hAnsi="宋体"/>
                <w:color w:val="000000" w:themeColor="text1"/>
                <w:szCs w:val="21"/>
                <w14:textFill>
                  <w14:solidFill>
                    <w14:schemeClr w14:val="tx1"/>
                  </w14:solidFill>
                </w14:textFill>
              </w:rPr>
              <w:t>要</w:t>
            </w:r>
            <w:r>
              <w:rPr>
                <w:rFonts w:ascii="宋体" w:hAnsi="宋体"/>
                <w:color w:val="000000" w:themeColor="text1"/>
                <w:szCs w:val="21"/>
                <w14:textFill>
                  <w14:solidFill>
                    <w14:schemeClr w14:val="tx1"/>
                  </w14:solidFill>
                </w14:textFill>
              </w:rPr>
              <w:t xml:space="preserve">  </w:t>
            </w:r>
            <w:r>
              <w:rPr>
                <w:rFonts w:hint="eastAsia" w:ascii="宋体" w:hAnsi="宋体"/>
                <w:color w:val="000000" w:themeColor="text1"/>
                <w:szCs w:val="21"/>
                <w14:textFill>
                  <w14:solidFill>
                    <w14:schemeClr w14:val="tx1"/>
                  </w14:solidFill>
                </w14:textFill>
              </w:rPr>
              <w:t>内</w:t>
            </w:r>
            <w:r>
              <w:rPr>
                <w:rFonts w:ascii="宋体" w:hAnsi="宋体"/>
                <w:color w:val="000000" w:themeColor="text1"/>
                <w:szCs w:val="21"/>
                <w14:textFill>
                  <w14:solidFill>
                    <w14:schemeClr w14:val="tx1"/>
                  </w14:solidFill>
                </w14:textFill>
              </w:rPr>
              <w:t xml:space="preserve">  </w:t>
            </w:r>
            <w:r>
              <w:rPr>
                <w:rFonts w:hint="eastAsia" w:ascii="宋体" w:hAnsi="宋体"/>
                <w:color w:val="000000" w:themeColor="text1"/>
                <w:szCs w:val="21"/>
                <w14:textFill>
                  <w14:solidFill>
                    <w14:schemeClr w14:val="tx1"/>
                  </w14:solidFill>
                </w14:textFill>
              </w:rPr>
              <w:t>容</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496" w:hRule="atLeast"/>
          <w:jc w:val="center"/>
        </w:trPr>
        <w:tc>
          <w:tcPr>
            <w:tcW w:w="405" w:type="pct"/>
            <w:vAlign w:val="center"/>
          </w:tcPr>
          <w:p>
            <w:pPr>
              <w:widowControl/>
              <w:autoSpaceDE w:val="0"/>
              <w:autoSpaceDN w:val="0"/>
              <w:jc w:val="center"/>
              <w:textAlignment w:val="bottom"/>
              <w:rPr>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t>1</w:t>
            </w:r>
          </w:p>
        </w:tc>
        <w:tc>
          <w:tcPr>
            <w:tcW w:w="693" w:type="pct"/>
            <w:vAlign w:val="center"/>
          </w:tcPr>
          <w:p>
            <w:pPr>
              <w:widowControl/>
              <w:autoSpaceDE w:val="0"/>
              <w:autoSpaceDN w:val="0"/>
              <w:jc w:val="center"/>
              <w:textAlignment w:val="bottom"/>
              <w:rPr>
                <w:rFonts w:ascii="宋体" w:hAnsi="宋体"/>
                <w:color w:val="000000" w:themeColor="text1"/>
                <w:szCs w:val="21"/>
                <w14:textFill>
                  <w14:solidFill>
                    <w14:schemeClr w14:val="tx1"/>
                  </w14:solidFill>
                </w14:textFill>
              </w:rPr>
            </w:pPr>
          </w:p>
        </w:tc>
        <w:tc>
          <w:tcPr>
            <w:tcW w:w="1617" w:type="pct"/>
            <w:vAlign w:val="center"/>
          </w:tcPr>
          <w:p>
            <w:pPr>
              <w:widowControl/>
              <w:autoSpaceDE w:val="0"/>
              <w:autoSpaceDN w:val="0"/>
              <w:jc w:val="center"/>
              <w:textAlignment w:val="bottom"/>
              <w:rPr>
                <w:rFonts w:ascii="宋体" w:hAnsi="宋体"/>
                <w:color w:val="000000" w:themeColor="text1"/>
                <w:szCs w:val="21"/>
                <w14:textFill>
                  <w14:solidFill>
                    <w14:schemeClr w14:val="tx1"/>
                  </w14:solidFill>
                </w14:textFill>
              </w:rPr>
            </w:pPr>
          </w:p>
        </w:tc>
        <w:tc>
          <w:tcPr>
            <w:tcW w:w="750" w:type="pct"/>
            <w:vAlign w:val="center"/>
          </w:tcPr>
          <w:p>
            <w:pPr>
              <w:widowControl/>
              <w:autoSpaceDE w:val="0"/>
              <w:autoSpaceDN w:val="0"/>
              <w:jc w:val="center"/>
              <w:textAlignment w:val="bottom"/>
              <w:rPr>
                <w:rFonts w:ascii="宋体" w:hAnsi="宋体"/>
                <w:color w:val="000000" w:themeColor="text1"/>
                <w:szCs w:val="21"/>
                <w14:textFill>
                  <w14:solidFill>
                    <w14:schemeClr w14:val="tx1"/>
                  </w14:solidFill>
                </w14:textFill>
              </w:rPr>
            </w:pPr>
          </w:p>
        </w:tc>
        <w:tc>
          <w:tcPr>
            <w:tcW w:w="1535" w:type="pct"/>
            <w:vAlign w:val="center"/>
          </w:tcPr>
          <w:p>
            <w:pPr>
              <w:widowControl/>
              <w:autoSpaceDE w:val="0"/>
              <w:autoSpaceDN w:val="0"/>
              <w:jc w:val="center"/>
              <w:textAlignment w:val="bottom"/>
              <w:rPr>
                <w:rFonts w:ascii="宋体" w:hAnsi="宋体"/>
                <w:color w:val="000000" w:themeColor="text1"/>
                <w:szCs w:val="21"/>
                <w14:textFill>
                  <w14:solidFill>
                    <w14:schemeClr w14:val="tx1"/>
                  </w14:solidFill>
                </w14:textFill>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496" w:hRule="atLeast"/>
          <w:jc w:val="center"/>
        </w:trPr>
        <w:tc>
          <w:tcPr>
            <w:tcW w:w="405" w:type="pct"/>
            <w:vAlign w:val="center"/>
          </w:tcPr>
          <w:p>
            <w:pPr>
              <w:widowControl/>
              <w:autoSpaceDE w:val="0"/>
              <w:autoSpaceDN w:val="0"/>
              <w:jc w:val="center"/>
              <w:textAlignment w:val="bottom"/>
              <w:rPr>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t>2</w:t>
            </w:r>
          </w:p>
        </w:tc>
        <w:tc>
          <w:tcPr>
            <w:tcW w:w="693" w:type="pct"/>
            <w:vAlign w:val="center"/>
          </w:tcPr>
          <w:p>
            <w:pPr>
              <w:widowControl/>
              <w:autoSpaceDE w:val="0"/>
              <w:autoSpaceDN w:val="0"/>
              <w:jc w:val="center"/>
              <w:textAlignment w:val="bottom"/>
              <w:rPr>
                <w:rFonts w:ascii="宋体" w:hAnsi="宋体"/>
                <w:color w:val="000000" w:themeColor="text1"/>
                <w:szCs w:val="21"/>
                <w14:textFill>
                  <w14:solidFill>
                    <w14:schemeClr w14:val="tx1"/>
                  </w14:solidFill>
                </w14:textFill>
              </w:rPr>
            </w:pPr>
          </w:p>
        </w:tc>
        <w:tc>
          <w:tcPr>
            <w:tcW w:w="1617" w:type="pct"/>
            <w:vAlign w:val="center"/>
          </w:tcPr>
          <w:p>
            <w:pPr>
              <w:widowControl/>
              <w:autoSpaceDE w:val="0"/>
              <w:autoSpaceDN w:val="0"/>
              <w:jc w:val="center"/>
              <w:textAlignment w:val="bottom"/>
              <w:rPr>
                <w:rFonts w:ascii="宋体" w:hAnsi="宋体"/>
                <w:color w:val="000000" w:themeColor="text1"/>
                <w:szCs w:val="21"/>
                <w14:textFill>
                  <w14:solidFill>
                    <w14:schemeClr w14:val="tx1"/>
                  </w14:solidFill>
                </w14:textFill>
              </w:rPr>
            </w:pPr>
          </w:p>
        </w:tc>
        <w:tc>
          <w:tcPr>
            <w:tcW w:w="750" w:type="pct"/>
            <w:vAlign w:val="center"/>
          </w:tcPr>
          <w:p>
            <w:pPr>
              <w:widowControl/>
              <w:autoSpaceDE w:val="0"/>
              <w:autoSpaceDN w:val="0"/>
              <w:jc w:val="center"/>
              <w:textAlignment w:val="bottom"/>
              <w:rPr>
                <w:rFonts w:ascii="宋体" w:hAnsi="宋体"/>
                <w:color w:val="000000" w:themeColor="text1"/>
                <w:szCs w:val="21"/>
                <w14:textFill>
                  <w14:solidFill>
                    <w14:schemeClr w14:val="tx1"/>
                  </w14:solidFill>
                </w14:textFill>
              </w:rPr>
            </w:pPr>
          </w:p>
        </w:tc>
        <w:tc>
          <w:tcPr>
            <w:tcW w:w="1535" w:type="pct"/>
            <w:vAlign w:val="center"/>
          </w:tcPr>
          <w:p>
            <w:pPr>
              <w:widowControl/>
              <w:autoSpaceDE w:val="0"/>
              <w:autoSpaceDN w:val="0"/>
              <w:jc w:val="center"/>
              <w:textAlignment w:val="bottom"/>
              <w:rPr>
                <w:rFonts w:ascii="宋体" w:hAnsi="宋体"/>
                <w:color w:val="000000" w:themeColor="text1"/>
                <w:szCs w:val="21"/>
                <w14:textFill>
                  <w14:solidFill>
                    <w14:schemeClr w14:val="tx1"/>
                  </w14:solidFill>
                </w14:textFill>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496" w:hRule="atLeast"/>
          <w:jc w:val="center"/>
        </w:trPr>
        <w:tc>
          <w:tcPr>
            <w:tcW w:w="405" w:type="pct"/>
            <w:vAlign w:val="center"/>
          </w:tcPr>
          <w:p>
            <w:pPr>
              <w:widowControl/>
              <w:autoSpaceDE w:val="0"/>
              <w:autoSpaceDN w:val="0"/>
              <w:jc w:val="center"/>
              <w:textAlignment w:val="bottom"/>
              <w:rPr>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t>3</w:t>
            </w:r>
          </w:p>
        </w:tc>
        <w:tc>
          <w:tcPr>
            <w:tcW w:w="693" w:type="pct"/>
            <w:vAlign w:val="center"/>
          </w:tcPr>
          <w:p>
            <w:pPr>
              <w:widowControl/>
              <w:autoSpaceDE w:val="0"/>
              <w:autoSpaceDN w:val="0"/>
              <w:jc w:val="center"/>
              <w:textAlignment w:val="bottom"/>
              <w:rPr>
                <w:rFonts w:ascii="宋体" w:hAnsi="宋体"/>
                <w:color w:val="000000" w:themeColor="text1"/>
                <w:szCs w:val="21"/>
                <w14:textFill>
                  <w14:solidFill>
                    <w14:schemeClr w14:val="tx1"/>
                  </w14:solidFill>
                </w14:textFill>
              </w:rPr>
            </w:pPr>
          </w:p>
        </w:tc>
        <w:tc>
          <w:tcPr>
            <w:tcW w:w="1617" w:type="pct"/>
            <w:vAlign w:val="center"/>
          </w:tcPr>
          <w:p>
            <w:pPr>
              <w:widowControl/>
              <w:autoSpaceDE w:val="0"/>
              <w:autoSpaceDN w:val="0"/>
              <w:jc w:val="center"/>
              <w:textAlignment w:val="bottom"/>
              <w:rPr>
                <w:rFonts w:ascii="宋体" w:hAnsi="宋体"/>
                <w:color w:val="000000" w:themeColor="text1"/>
                <w:szCs w:val="21"/>
                <w14:textFill>
                  <w14:solidFill>
                    <w14:schemeClr w14:val="tx1"/>
                  </w14:solidFill>
                </w14:textFill>
              </w:rPr>
            </w:pPr>
          </w:p>
        </w:tc>
        <w:tc>
          <w:tcPr>
            <w:tcW w:w="750" w:type="pct"/>
            <w:vAlign w:val="center"/>
          </w:tcPr>
          <w:p>
            <w:pPr>
              <w:widowControl/>
              <w:autoSpaceDE w:val="0"/>
              <w:autoSpaceDN w:val="0"/>
              <w:jc w:val="center"/>
              <w:textAlignment w:val="bottom"/>
              <w:rPr>
                <w:rFonts w:ascii="宋体" w:hAnsi="宋体"/>
                <w:color w:val="000000" w:themeColor="text1"/>
                <w:szCs w:val="21"/>
                <w14:textFill>
                  <w14:solidFill>
                    <w14:schemeClr w14:val="tx1"/>
                  </w14:solidFill>
                </w14:textFill>
              </w:rPr>
            </w:pPr>
          </w:p>
        </w:tc>
        <w:tc>
          <w:tcPr>
            <w:tcW w:w="1535" w:type="pct"/>
            <w:vAlign w:val="center"/>
          </w:tcPr>
          <w:p>
            <w:pPr>
              <w:widowControl/>
              <w:autoSpaceDE w:val="0"/>
              <w:autoSpaceDN w:val="0"/>
              <w:jc w:val="center"/>
              <w:textAlignment w:val="bottom"/>
              <w:rPr>
                <w:rFonts w:ascii="宋体" w:hAnsi="宋体"/>
                <w:color w:val="000000" w:themeColor="text1"/>
                <w:szCs w:val="21"/>
                <w14:textFill>
                  <w14:solidFill>
                    <w14:schemeClr w14:val="tx1"/>
                  </w14:solidFill>
                </w14:textFill>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496" w:hRule="atLeast"/>
          <w:jc w:val="center"/>
        </w:trPr>
        <w:tc>
          <w:tcPr>
            <w:tcW w:w="405" w:type="pct"/>
            <w:vAlign w:val="center"/>
          </w:tcPr>
          <w:p>
            <w:pPr>
              <w:widowControl/>
              <w:autoSpaceDE w:val="0"/>
              <w:autoSpaceDN w:val="0"/>
              <w:jc w:val="center"/>
              <w:textAlignment w:val="bottom"/>
              <w:rPr>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t>4</w:t>
            </w:r>
          </w:p>
        </w:tc>
        <w:tc>
          <w:tcPr>
            <w:tcW w:w="693" w:type="pct"/>
            <w:vAlign w:val="center"/>
          </w:tcPr>
          <w:p>
            <w:pPr>
              <w:widowControl/>
              <w:autoSpaceDE w:val="0"/>
              <w:autoSpaceDN w:val="0"/>
              <w:jc w:val="center"/>
              <w:textAlignment w:val="bottom"/>
              <w:rPr>
                <w:rFonts w:ascii="宋体" w:hAnsi="宋体"/>
                <w:color w:val="000000" w:themeColor="text1"/>
                <w:szCs w:val="21"/>
                <w14:textFill>
                  <w14:solidFill>
                    <w14:schemeClr w14:val="tx1"/>
                  </w14:solidFill>
                </w14:textFill>
              </w:rPr>
            </w:pPr>
          </w:p>
        </w:tc>
        <w:tc>
          <w:tcPr>
            <w:tcW w:w="1617" w:type="pct"/>
            <w:vAlign w:val="center"/>
          </w:tcPr>
          <w:p>
            <w:pPr>
              <w:widowControl/>
              <w:autoSpaceDE w:val="0"/>
              <w:autoSpaceDN w:val="0"/>
              <w:jc w:val="center"/>
              <w:textAlignment w:val="bottom"/>
              <w:rPr>
                <w:rFonts w:ascii="宋体" w:hAnsi="宋体"/>
                <w:color w:val="000000" w:themeColor="text1"/>
                <w:szCs w:val="21"/>
                <w14:textFill>
                  <w14:solidFill>
                    <w14:schemeClr w14:val="tx1"/>
                  </w14:solidFill>
                </w14:textFill>
              </w:rPr>
            </w:pPr>
          </w:p>
        </w:tc>
        <w:tc>
          <w:tcPr>
            <w:tcW w:w="750" w:type="pct"/>
            <w:vAlign w:val="center"/>
          </w:tcPr>
          <w:p>
            <w:pPr>
              <w:widowControl/>
              <w:autoSpaceDE w:val="0"/>
              <w:autoSpaceDN w:val="0"/>
              <w:jc w:val="center"/>
              <w:textAlignment w:val="bottom"/>
              <w:rPr>
                <w:rFonts w:ascii="宋体" w:hAnsi="宋体"/>
                <w:color w:val="000000" w:themeColor="text1"/>
                <w:szCs w:val="21"/>
                <w14:textFill>
                  <w14:solidFill>
                    <w14:schemeClr w14:val="tx1"/>
                  </w14:solidFill>
                </w14:textFill>
              </w:rPr>
            </w:pPr>
          </w:p>
        </w:tc>
        <w:tc>
          <w:tcPr>
            <w:tcW w:w="1535" w:type="pct"/>
            <w:vAlign w:val="center"/>
          </w:tcPr>
          <w:p>
            <w:pPr>
              <w:widowControl/>
              <w:autoSpaceDE w:val="0"/>
              <w:autoSpaceDN w:val="0"/>
              <w:jc w:val="center"/>
              <w:textAlignment w:val="bottom"/>
              <w:rPr>
                <w:rFonts w:ascii="宋体" w:hAnsi="宋体"/>
                <w:color w:val="000000" w:themeColor="text1"/>
                <w:szCs w:val="21"/>
                <w14:textFill>
                  <w14:solidFill>
                    <w14:schemeClr w14:val="tx1"/>
                  </w14:solidFill>
                </w14:textFill>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496" w:hRule="atLeast"/>
          <w:jc w:val="center"/>
        </w:trPr>
        <w:tc>
          <w:tcPr>
            <w:tcW w:w="405" w:type="pct"/>
            <w:vAlign w:val="center"/>
          </w:tcPr>
          <w:p>
            <w:pPr>
              <w:widowControl/>
              <w:autoSpaceDE w:val="0"/>
              <w:autoSpaceDN w:val="0"/>
              <w:jc w:val="center"/>
              <w:textAlignment w:val="bottom"/>
              <w:rPr>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t>5</w:t>
            </w:r>
          </w:p>
        </w:tc>
        <w:tc>
          <w:tcPr>
            <w:tcW w:w="693" w:type="pct"/>
            <w:vAlign w:val="center"/>
          </w:tcPr>
          <w:p>
            <w:pPr>
              <w:widowControl/>
              <w:autoSpaceDE w:val="0"/>
              <w:autoSpaceDN w:val="0"/>
              <w:jc w:val="center"/>
              <w:textAlignment w:val="bottom"/>
              <w:rPr>
                <w:rFonts w:ascii="宋体" w:hAnsi="宋体"/>
                <w:color w:val="000000" w:themeColor="text1"/>
                <w:szCs w:val="21"/>
                <w14:textFill>
                  <w14:solidFill>
                    <w14:schemeClr w14:val="tx1"/>
                  </w14:solidFill>
                </w14:textFill>
              </w:rPr>
            </w:pPr>
          </w:p>
        </w:tc>
        <w:tc>
          <w:tcPr>
            <w:tcW w:w="1617" w:type="pct"/>
            <w:vAlign w:val="center"/>
          </w:tcPr>
          <w:p>
            <w:pPr>
              <w:widowControl/>
              <w:autoSpaceDE w:val="0"/>
              <w:autoSpaceDN w:val="0"/>
              <w:jc w:val="center"/>
              <w:textAlignment w:val="bottom"/>
              <w:rPr>
                <w:rFonts w:ascii="宋体" w:hAnsi="宋体"/>
                <w:color w:val="000000" w:themeColor="text1"/>
                <w:szCs w:val="21"/>
                <w14:textFill>
                  <w14:solidFill>
                    <w14:schemeClr w14:val="tx1"/>
                  </w14:solidFill>
                </w14:textFill>
              </w:rPr>
            </w:pPr>
          </w:p>
        </w:tc>
        <w:tc>
          <w:tcPr>
            <w:tcW w:w="750" w:type="pct"/>
            <w:vAlign w:val="center"/>
          </w:tcPr>
          <w:p>
            <w:pPr>
              <w:widowControl/>
              <w:autoSpaceDE w:val="0"/>
              <w:autoSpaceDN w:val="0"/>
              <w:jc w:val="center"/>
              <w:textAlignment w:val="bottom"/>
              <w:rPr>
                <w:rFonts w:ascii="宋体" w:hAnsi="宋体"/>
                <w:color w:val="000000" w:themeColor="text1"/>
                <w:szCs w:val="21"/>
                <w14:textFill>
                  <w14:solidFill>
                    <w14:schemeClr w14:val="tx1"/>
                  </w14:solidFill>
                </w14:textFill>
              </w:rPr>
            </w:pPr>
          </w:p>
        </w:tc>
        <w:tc>
          <w:tcPr>
            <w:tcW w:w="1535" w:type="pct"/>
            <w:vAlign w:val="center"/>
          </w:tcPr>
          <w:p>
            <w:pPr>
              <w:widowControl/>
              <w:autoSpaceDE w:val="0"/>
              <w:autoSpaceDN w:val="0"/>
              <w:jc w:val="center"/>
              <w:textAlignment w:val="bottom"/>
              <w:rPr>
                <w:rFonts w:ascii="宋体" w:hAnsi="宋体"/>
                <w:color w:val="000000" w:themeColor="text1"/>
                <w:szCs w:val="21"/>
                <w14:textFill>
                  <w14:solidFill>
                    <w14:schemeClr w14:val="tx1"/>
                  </w14:solidFill>
                </w14:textFill>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496" w:hRule="atLeast"/>
          <w:jc w:val="center"/>
        </w:trPr>
        <w:tc>
          <w:tcPr>
            <w:tcW w:w="405" w:type="pct"/>
            <w:vAlign w:val="center"/>
          </w:tcPr>
          <w:p>
            <w:pPr>
              <w:widowControl/>
              <w:autoSpaceDE w:val="0"/>
              <w:autoSpaceDN w:val="0"/>
              <w:jc w:val="center"/>
              <w:textAlignment w:val="bottom"/>
              <w:rPr>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t>6</w:t>
            </w:r>
          </w:p>
        </w:tc>
        <w:tc>
          <w:tcPr>
            <w:tcW w:w="693" w:type="pct"/>
            <w:vAlign w:val="center"/>
          </w:tcPr>
          <w:p>
            <w:pPr>
              <w:widowControl/>
              <w:autoSpaceDE w:val="0"/>
              <w:autoSpaceDN w:val="0"/>
              <w:jc w:val="center"/>
              <w:textAlignment w:val="bottom"/>
              <w:rPr>
                <w:rFonts w:ascii="宋体" w:hAnsi="宋体"/>
                <w:color w:val="000000" w:themeColor="text1"/>
                <w:szCs w:val="21"/>
                <w14:textFill>
                  <w14:solidFill>
                    <w14:schemeClr w14:val="tx1"/>
                  </w14:solidFill>
                </w14:textFill>
              </w:rPr>
            </w:pPr>
          </w:p>
        </w:tc>
        <w:tc>
          <w:tcPr>
            <w:tcW w:w="1617" w:type="pct"/>
            <w:vAlign w:val="center"/>
          </w:tcPr>
          <w:p>
            <w:pPr>
              <w:widowControl/>
              <w:autoSpaceDE w:val="0"/>
              <w:autoSpaceDN w:val="0"/>
              <w:jc w:val="center"/>
              <w:textAlignment w:val="bottom"/>
              <w:rPr>
                <w:rFonts w:ascii="宋体" w:hAnsi="宋体"/>
                <w:color w:val="000000" w:themeColor="text1"/>
                <w:szCs w:val="21"/>
                <w14:textFill>
                  <w14:solidFill>
                    <w14:schemeClr w14:val="tx1"/>
                  </w14:solidFill>
                </w14:textFill>
              </w:rPr>
            </w:pPr>
          </w:p>
        </w:tc>
        <w:tc>
          <w:tcPr>
            <w:tcW w:w="750" w:type="pct"/>
            <w:vAlign w:val="center"/>
          </w:tcPr>
          <w:p>
            <w:pPr>
              <w:widowControl/>
              <w:autoSpaceDE w:val="0"/>
              <w:autoSpaceDN w:val="0"/>
              <w:jc w:val="center"/>
              <w:textAlignment w:val="bottom"/>
              <w:rPr>
                <w:rFonts w:ascii="宋体" w:hAnsi="宋体"/>
                <w:color w:val="000000" w:themeColor="text1"/>
                <w:szCs w:val="21"/>
                <w14:textFill>
                  <w14:solidFill>
                    <w14:schemeClr w14:val="tx1"/>
                  </w14:solidFill>
                </w14:textFill>
              </w:rPr>
            </w:pPr>
          </w:p>
        </w:tc>
        <w:tc>
          <w:tcPr>
            <w:tcW w:w="1535" w:type="pct"/>
            <w:vAlign w:val="center"/>
          </w:tcPr>
          <w:p>
            <w:pPr>
              <w:widowControl/>
              <w:autoSpaceDE w:val="0"/>
              <w:autoSpaceDN w:val="0"/>
              <w:jc w:val="center"/>
              <w:textAlignment w:val="bottom"/>
              <w:rPr>
                <w:rFonts w:ascii="宋体" w:hAnsi="宋体"/>
                <w:color w:val="000000" w:themeColor="text1"/>
                <w:szCs w:val="21"/>
                <w14:textFill>
                  <w14:solidFill>
                    <w14:schemeClr w14:val="tx1"/>
                  </w14:solidFill>
                </w14:textFill>
              </w:rPr>
            </w:pPr>
          </w:p>
        </w:tc>
      </w:tr>
    </w:tbl>
    <w:p>
      <w:pPr>
        <w:pStyle w:val="42"/>
        <w:adjustRightInd w:val="0"/>
        <w:snapToGrid w:val="0"/>
        <w:spacing w:before="156" w:beforeLines="50" w:line="360" w:lineRule="auto"/>
        <w:jc w:val="right"/>
        <w:rPr>
          <w:rFonts w:hAnsi="宋体" w:cs="宋体-18030"/>
          <w:color w:val="000000" w:themeColor="text1"/>
          <w:kern w:val="2"/>
          <w:sz w:val="21"/>
          <w:szCs w:val="21"/>
          <w14:textFill>
            <w14:solidFill>
              <w14:schemeClr w14:val="tx1"/>
            </w14:solidFill>
          </w14:textFill>
        </w:rPr>
      </w:pPr>
      <w:r>
        <w:rPr>
          <w:rFonts w:hAnsi="宋体" w:cs="宋体-18030"/>
          <w:color w:val="000000" w:themeColor="text1"/>
          <w:kern w:val="2"/>
          <w:sz w:val="21"/>
          <w:szCs w:val="21"/>
          <w14:textFill>
            <w14:solidFill>
              <w14:schemeClr w14:val="tx1"/>
            </w14:solidFill>
          </w14:textFill>
        </w:rPr>
        <w:t>投标方：</w:t>
      </w:r>
      <w:r>
        <w:rPr>
          <w:rFonts w:hAnsi="宋体" w:cs="宋体-18030"/>
          <w:color w:val="000000" w:themeColor="text1"/>
          <w:kern w:val="2"/>
          <w:sz w:val="21"/>
          <w:szCs w:val="21"/>
          <w:u w:val="single"/>
          <w14:textFill>
            <w14:solidFill>
              <w14:schemeClr w14:val="tx1"/>
            </w14:solidFill>
          </w14:textFill>
        </w:rPr>
        <w:t xml:space="preserve">               </w:t>
      </w:r>
      <w:r>
        <w:rPr>
          <w:rFonts w:hAnsi="宋体" w:cs="宋体-18030"/>
          <w:color w:val="000000" w:themeColor="text1"/>
          <w:kern w:val="2"/>
          <w:sz w:val="21"/>
          <w:szCs w:val="21"/>
          <w14:textFill>
            <w14:solidFill>
              <w14:schemeClr w14:val="tx1"/>
            </w14:solidFill>
          </w14:textFill>
        </w:rPr>
        <w:t xml:space="preserve">  盖章：</w:t>
      </w:r>
    </w:p>
    <w:p>
      <w:pPr>
        <w:pStyle w:val="2"/>
        <w:numPr>
          <w:ilvl w:val="0"/>
          <w:numId w:val="0"/>
        </w:numPr>
        <w:snapToGrid/>
        <w:spacing w:before="0" w:beforeLines="0" w:line="480" w:lineRule="auto"/>
        <w:rPr>
          <w:rFonts w:ascii="黑体" w:eastAsia="黑体"/>
          <w:color w:val="000000" w:themeColor="text1"/>
          <w14:textFill>
            <w14:solidFill>
              <w14:schemeClr w14:val="tx1"/>
            </w14:solidFill>
          </w14:textFill>
        </w:rPr>
      </w:pPr>
      <w:bookmarkStart w:id="240" w:name="_Toc283011679"/>
      <w:bookmarkStart w:id="241" w:name="_Toc283142602"/>
      <w:bookmarkStart w:id="242" w:name="_Toc282420857"/>
      <w:bookmarkStart w:id="243" w:name="_Toc177995355"/>
      <w:bookmarkStart w:id="244" w:name="_Toc282421446"/>
      <w:bookmarkStart w:id="245" w:name="_Toc511891227"/>
      <w:bookmarkStart w:id="246" w:name="_Toc292019796"/>
      <w:bookmarkStart w:id="247" w:name="_Toc293332497"/>
      <w:bookmarkStart w:id="248" w:name="_Toc282433727"/>
      <w:r>
        <w:rPr>
          <w:rFonts w:ascii="黑体" w:eastAsia="黑体"/>
          <w:color w:val="000000" w:themeColor="text1"/>
          <w14:textFill>
            <w14:solidFill>
              <w14:schemeClr w14:val="tx1"/>
            </w14:solidFill>
          </w14:textFill>
        </w:rPr>
        <w:t>14</w:t>
      </w:r>
      <w:r>
        <w:rPr>
          <w:rFonts w:hint="eastAsia" w:ascii="黑体" w:eastAsia="黑体"/>
          <w:color w:val="000000" w:themeColor="text1"/>
          <w14:textFill>
            <w14:solidFill>
              <w14:schemeClr w14:val="tx1"/>
            </w14:solidFill>
          </w14:textFill>
        </w:rPr>
        <w:t xml:space="preserve"> 投标方需说明的其他问题</w:t>
      </w:r>
      <w:bookmarkEnd w:id="240"/>
      <w:bookmarkEnd w:id="241"/>
      <w:bookmarkEnd w:id="242"/>
      <w:bookmarkEnd w:id="243"/>
      <w:bookmarkEnd w:id="244"/>
      <w:bookmarkEnd w:id="245"/>
      <w:bookmarkEnd w:id="246"/>
      <w:bookmarkEnd w:id="247"/>
      <w:bookmarkEnd w:id="248"/>
    </w:p>
    <w:p>
      <w:pPr>
        <w:adjustRightInd w:val="0"/>
        <w:snapToGrid w:val="0"/>
        <w:spacing w:line="360" w:lineRule="auto"/>
        <w:ind w:firstLine="420" w:firstLineChars="200"/>
        <w:rPr>
          <w:rFonts w:ascii="宋体" w:hAnsi="宋体" w:cs="宋体-18030"/>
          <w:color w:val="000000" w:themeColor="text1"/>
          <w:szCs w:val="21"/>
          <w14:textFill>
            <w14:solidFill>
              <w14:schemeClr w14:val="tx1"/>
            </w14:solidFill>
          </w14:textFill>
        </w:rPr>
      </w:pPr>
      <w:r>
        <w:rPr>
          <w:rFonts w:hint="eastAsia" w:ascii="宋体" w:hAnsi="宋体" w:cs="宋体-18030"/>
          <w:color w:val="000000" w:themeColor="text1"/>
          <w:szCs w:val="21"/>
          <w14:textFill>
            <w14:solidFill>
              <w14:schemeClr w14:val="tx1"/>
            </w14:solidFill>
          </w14:textFill>
        </w:rPr>
        <w:t>如有需说明的其他问题，投标方应通过书面形式提交，并加盖公章。</w:t>
      </w:r>
    </w:p>
    <w:p>
      <w:pPr>
        <w:adjustRightInd w:val="0"/>
        <w:snapToGrid w:val="0"/>
        <w:spacing w:line="360" w:lineRule="auto"/>
        <w:ind w:firstLine="420" w:firstLineChars="200"/>
        <w:rPr>
          <w:rFonts w:ascii="宋体" w:hAnsi="宋体" w:cs="宋体-18030"/>
          <w:color w:val="000000" w:themeColor="text1"/>
          <w:szCs w:val="21"/>
          <w14:textFill>
            <w14:solidFill>
              <w14:schemeClr w14:val="tx1"/>
            </w14:solidFill>
          </w14:textFill>
        </w:rPr>
      </w:pPr>
    </w:p>
    <w:p>
      <w:pPr>
        <w:rPr>
          <w:color w:val="000000" w:themeColor="text1"/>
          <w14:textFill>
            <w14:solidFill>
              <w14:schemeClr w14:val="tx1"/>
            </w14:solidFill>
          </w14:textFill>
        </w:rPr>
      </w:pPr>
    </w:p>
    <w:sectPr>
      <w:footerReference r:id="rId7" w:type="default"/>
      <w:pgSz w:w="11906" w:h="16838"/>
      <w:pgMar w:top="1440" w:right="1797" w:bottom="1440" w:left="1797"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EFF" w:usb1="C000247B" w:usb2="00000009" w:usb3="00000000" w:csb0="200001FF" w:csb1="00000000"/>
  </w:font>
  <w:font w:name="仿宋_GB2312">
    <w:altName w:val="仿宋"/>
    <w:panose1 w:val="02010609030101010101"/>
    <w:charset w:val="86"/>
    <w:family w:val="modern"/>
    <w:pitch w:val="default"/>
    <w:sig w:usb0="00000000" w:usb1="00000000" w:usb2="00000000" w:usb3="00000000" w:csb0="00040000" w:csb1="00000000"/>
  </w:font>
  <w:font w:name="Cambria">
    <w:panose1 w:val="02040503050406030204"/>
    <w:charset w:val="00"/>
    <w:family w:val="roman"/>
    <w:pitch w:val="default"/>
    <w:sig w:usb0="E00006FF" w:usb1="420024FF" w:usb2="02000000" w:usb3="00000000" w:csb0="2000019F" w:csb1="00000000"/>
  </w:font>
  <w:font w:name="方正书宋简体">
    <w:altName w:val="宋体"/>
    <w:panose1 w:val="00000000000000000000"/>
    <w:charset w:val="86"/>
    <w:family w:val="auto"/>
    <w:pitch w:val="default"/>
    <w:sig w:usb0="00000000" w:usb1="00000000" w:usb2="00000010" w:usb3="00000000" w:csb0="00040000" w:csb1="00000000"/>
  </w:font>
  <w:font w:name="Tahoma">
    <w:panose1 w:val="020B0604030504040204"/>
    <w:charset w:val="00"/>
    <w:family w:val="swiss"/>
    <w:pitch w:val="default"/>
    <w:sig w:usb0="E1002EFF" w:usb1="C000605B" w:usb2="00000029" w:usb3="00000000" w:csb0="200101FF" w:csb1="20280000"/>
  </w:font>
  <w:font w:name="楷体_GB2312">
    <w:altName w:val="楷体"/>
    <w:panose1 w:val="02010609030101010101"/>
    <w:charset w:val="86"/>
    <w:family w:val="modern"/>
    <w:pitch w:val="default"/>
    <w:sig w:usb0="00000000" w:usb1="00000000" w:usb2="00000000" w:usb3="00000000" w:csb0="00040000" w:csb1="00000000"/>
  </w:font>
  <w:font w:name="等线 Light">
    <w:panose1 w:val="02010600030101010101"/>
    <w:charset w:val="86"/>
    <w:family w:val="auto"/>
    <w:pitch w:val="default"/>
    <w:sig w:usb0="A00002BF" w:usb1="38CF7CFA" w:usb2="00000016" w:usb3="00000000" w:csb0="0004000F" w:csb1="00000000"/>
  </w:font>
  <w:font w:name="汉仪大宋简">
    <w:altName w:val="宋体"/>
    <w:panose1 w:val="00000000000000000000"/>
    <w:charset w:val="86"/>
    <w:family w:val="modern"/>
    <w:pitch w:val="default"/>
    <w:sig w:usb0="00000000" w:usb1="00000000" w:usb2="00000012" w:usb3="00000000" w:csb0="00040000" w:csb1="00000000"/>
  </w:font>
  <w:font w:name="Plotter">
    <w:altName w:val="Segoe Print"/>
    <w:panose1 w:val="00000000000000000000"/>
    <w:charset w:val="00"/>
    <w:family w:val="roman"/>
    <w:pitch w:val="default"/>
    <w:sig w:usb0="00000000" w:usb1="00000000" w:usb2="00000000" w:usb3="00000000" w:csb0="00000001" w:csb1="00000000"/>
  </w:font>
  <w:font w:name="华文新魏">
    <w:altName w:val="宋体"/>
    <w:panose1 w:val="02010800040101010101"/>
    <w:charset w:val="86"/>
    <w:family w:val="auto"/>
    <w:pitch w:val="default"/>
    <w:sig w:usb0="00000000" w:usb1="00000000" w:usb2="00000010" w:usb3="00000000" w:csb0="00040000" w:csb1="00000000"/>
  </w:font>
  <w:font w:name="ˎ̥">
    <w:altName w:val="Times New Roman"/>
    <w:panose1 w:val="00000000000000000000"/>
    <w:charset w:val="00"/>
    <w:family w:val="roman"/>
    <w:pitch w:val="default"/>
    <w:sig w:usb0="00000000" w:usb1="00000000" w:usb2="00000000" w:usb3="00000000" w:csb0="00040001" w:csb1="00000000"/>
  </w:font>
  <w:font w:name="Microsoft YaHei UI">
    <w:panose1 w:val="020B0503020204020204"/>
    <w:charset w:val="86"/>
    <w:family w:val="swiss"/>
    <w:pitch w:val="default"/>
    <w:sig w:usb0="80000287" w:usb1="2ACF3C50" w:usb2="00000016" w:usb3="00000000" w:csb0="0004001F" w:csb1="00000000"/>
  </w:font>
  <w:font w:name="等线">
    <w:panose1 w:val="02010600030101010101"/>
    <w:charset w:val="86"/>
    <w:family w:val="auto"/>
    <w:pitch w:val="default"/>
    <w:sig w:usb0="A00002BF" w:usb1="38CF7CFA" w:usb2="00000016" w:usb3="00000000" w:csb0="0004000F" w:csb1="00000000"/>
  </w:font>
  <w:font w:name="宋体-18030">
    <w:altName w:val="宋体"/>
    <w:panose1 w:val="00000000000000000000"/>
    <w:charset w:val="86"/>
    <w:family w:val="modern"/>
    <w:pitch w:val="default"/>
    <w:sig w:usb0="00000000" w:usb1="00000000" w:usb2="000A005E" w:usb3="00000000" w:csb0="00040001" w:csb1="00000000"/>
  </w:font>
  <w:font w:name="Segoe UI Symbol">
    <w:panose1 w:val="020B0502040204020203"/>
    <w:charset w:val="00"/>
    <w:family w:val="swiss"/>
    <w:pitch w:val="default"/>
    <w:sig w:usb0="800001E3" w:usb1="1200FFEF" w:usb2="00040000" w:usb3="04000000" w:csb0="00000001" w:csb1="40000000"/>
  </w:font>
  <w:font w:name="MS Gothic">
    <w:panose1 w:val="020B0609070205080204"/>
    <w:charset w:val="80"/>
    <w:family w:val="modern"/>
    <w:pitch w:val="default"/>
    <w:sig w:usb0="E00002FF" w:usb1="6AC7FDFB" w:usb2="08000012" w:usb3="00000000" w:csb0="4002009F" w:csb1="DFD70000"/>
  </w:font>
  <w:font w:name="仿宋">
    <w:panose1 w:val="02010609060101010101"/>
    <w:charset w:val="86"/>
    <w:family w:val="auto"/>
    <w:pitch w:val="default"/>
    <w:sig w:usb0="800002BF" w:usb1="38CF7CFA" w:usb2="00000016" w:usb3="00000000" w:csb0="00040001" w:csb1="00000000"/>
  </w:font>
  <w:font w:name="楷体">
    <w:panose1 w:val="02010609060101010101"/>
    <w:charset w:val="86"/>
    <w:family w:val="auto"/>
    <w:pitch w:val="default"/>
    <w:sig w:usb0="800002BF" w:usb1="38CF7CFA" w:usb2="00000016" w:usb3="00000000" w:csb0="00040001" w:csb1="00000000"/>
  </w:font>
  <w:font w:name="Segoe Print">
    <w:panose1 w:val="02000600000000000000"/>
    <w:charset w:val="00"/>
    <w:family w:val="auto"/>
    <w:pitch w:val="default"/>
    <w:sig w:usb0="0000028F" w:usb1="00000000" w:usb2="00000000" w:usb3="00000000" w:csb0="2000009F" w:csb1="4701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51"/>
      <w:spacing w:before="120" w:after="120"/>
      <w:jc w:val="right"/>
    </w:pPr>
    <w:r>
      <w:fldChar w:fldCharType="begin"/>
    </w:r>
    <w:r>
      <w:instrText xml:space="preserve"> PAGE   \* MERGEFORMAT </w:instrText>
    </w:r>
    <w:r>
      <w:fldChar w:fldCharType="separate"/>
    </w:r>
    <w:r>
      <w:rPr>
        <w:lang w:val="zh-CN"/>
      </w:rPr>
      <w:t>1</w:t>
    </w:r>
    <w:r>
      <w:fldChar w:fldCharType="end"/>
    </w:r>
  </w:p>
  <w:p>
    <w:pPr>
      <w:pStyle w:val="252"/>
      <w:ind w:right="360" w:firstLine="360"/>
      <w:rPr>
        <w:rStyle w:val="131"/>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45"/>
      <w:ind w:right="360" w:firstLine="360"/>
      <w:jc w:val="center"/>
      <w:rPr>
        <w:rStyle w:val="131"/>
      </w:rPr>
    </w:pPr>
    <w:r>
      <w:rPr>
        <w:kern w:val="2"/>
        <w:szCs w:val="18"/>
      </w:rPr>
      <w:fldChar w:fldCharType="begin"/>
    </w:r>
    <w:r>
      <w:rPr>
        <w:rStyle w:val="131"/>
        <w:kern w:val="2"/>
        <w:szCs w:val="18"/>
      </w:rPr>
      <w:instrText xml:space="preserve"> PAGE </w:instrText>
    </w:r>
    <w:r>
      <w:rPr>
        <w:kern w:val="2"/>
        <w:szCs w:val="18"/>
      </w:rPr>
      <w:fldChar w:fldCharType="separate"/>
    </w:r>
    <w:r>
      <w:rPr>
        <w:rStyle w:val="131"/>
        <w:kern w:val="2"/>
        <w:szCs w:val="18"/>
      </w:rPr>
      <w:t>4</w:t>
    </w:r>
    <w:r>
      <w:rPr>
        <w:kern w:val="2"/>
        <w:szCs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51"/>
      <w:spacing w:before="120" w:after="120"/>
      <w:jc w:val="right"/>
    </w:pPr>
    <w:r>
      <w:fldChar w:fldCharType="begin"/>
    </w:r>
    <w:r>
      <w:instrText xml:space="preserve"> PAGE   \* MERGEFORMAT </w:instrText>
    </w:r>
    <w:r>
      <w:fldChar w:fldCharType="separate"/>
    </w:r>
    <w:r>
      <w:rPr>
        <w:lang w:val="zh-CN"/>
      </w:rPr>
      <w:t>II</w:t>
    </w:r>
    <w:r>
      <w:fldChar w:fldCharType="end"/>
    </w:r>
  </w:p>
  <w:p>
    <w:pPr>
      <w:pStyle w:val="51"/>
      <w:jc w:val="left"/>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51"/>
      <w:spacing w:before="120" w:after="120"/>
      <w:jc w:val="right"/>
    </w:pPr>
    <w:r>
      <w:fldChar w:fldCharType="begin"/>
    </w:r>
    <w:r>
      <w:instrText xml:space="preserve"> PAGE   \* MERGEFORMAT </w:instrText>
    </w:r>
    <w:r>
      <w:fldChar w:fldCharType="separate"/>
    </w:r>
    <w:r>
      <w:rPr>
        <w:lang w:val="zh-CN"/>
      </w:rPr>
      <w:t>17</w:t>
    </w:r>
    <w:r>
      <w:fldChar w:fldCharType="end"/>
    </w:r>
  </w:p>
  <w:p>
    <w:pPr>
      <w:pStyle w:val="51"/>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29"/>
      <w:tabs>
        <w:tab w:val="clear" w:pos="1120"/>
      </w:tabs>
      <w:ind w:firstLine="0"/>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FFFFFF7C"/>
    <w:multiLevelType w:val="singleLevel"/>
    <w:tmpl w:val="FFFFFF7C"/>
    <w:lvl w:ilvl="0" w:tentative="0">
      <w:start w:val="1"/>
      <w:numFmt w:val="decimal"/>
      <w:pStyle w:val="61"/>
      <w:lvlText w:val="%1."/>
      <w:lvlJc w:val="left"/>
      <w:pPr>
        <w:tabs>
          <w:tab w:val="left" w:pos="2040"/>
        </w:tabs>
        <w:ind w:left="2040" w:hanging="360"/>
      </w:pPr>
    </w:lvl>
  </w:abstractNum>
  <w:abstractNum w:abstractNumId="1">
    <w:nsid w:val="FFFFFF7D"/>
    <w:multiLevelType w:val="singleLevel"/>
    <w:tmpl w:val="FFFFFF7D"/>
    <w:lvl w:ilvl="0" w:tentative="0">
      <w:start w:val="1"/>
      <w:numFmt w:val="decimal"/>
      <w:pStyle w:val="44"/>
      <w:lvlText w:val="%1."/>
      <w:lvlJc w:val="left"/>
      <w:pPr>
        <w:tabs>
          <w:tab w:val="left" w:pos="1620"/>
        </w:tabs>
        <w:ind w:left="1620" w:hanging="360"/>
      </w:pPr>
    </w:lvl>
  </w:abstractNum>
  <w:abstractNum w:abstractNumId="2">
    <w:nsid w:val="FFFFFF7E"/>
    <w:multiLevelType w:val="singleLevel"/>
    <w:tmpl w:val="FFFFFF7E"/>
    <w:lvl w:ilvl="0" w:tentative="0">
      <w:start w:val="1"/>
      <w:numFmt w:val="decimal"/>
      <w:pStyle w:val="33"/>
      <w:lvlText w:val="%1."/>
      <w:lvlJc w:val="left"/>
      <w:pPr>
        <w:tabs>
          <w:tab w:val="left" w:pos="1200"/>
        </w:tabs>
        <w:ind w:left="1200" w:hanging="360"/>
      </w:pPr>
    </w:lvl>
  </w:abstractNum>
  <w:abstractNum w:abstractNumId="3">
    <w:nsid w:val="FFFFFF7F"/>
    <w:multiLevelType w:val="singleLevel"/>
    <w:tmpl w:val="FFFFFF7F"/>
    <w:lvl w:ilvl="0" w:tentative="0">
      <w:start w:val="1"/>
      <w:numFmt w:val="decimal"/>
      <w:pStyle w:val="13"/>
      <w:lvlText w:val="%1."/>
      <w:lvlJc w:val="left"/>
      <w:pPr>
        <w:tabs>
          <w:tab w:val="left" w:pos="780"/>
        </w:tabs>
        <w:ind w:left="780" w:hanging="360"/>
      </w:pPr>
    </w:lvl>
  </w:abstractNum>
  <w:abstractNum w:abstractNumId="4">
    <w:nsid w:val="FFFFFF80"/>
    <w:multiLevelType w:val="singleLevel"/>
    <w:tmpl w:val="FFFFFF80"/>
    <w:lvl w:ilvl="0" w:tentative="0">
      <w:start w:val="1"/>
      <w:numFmt w:val="bullet"/>
      <w:pStyle w:val="43"/>
      <w:lvlText w:val=""/>
      <w:lvlJc w:val="left"/>
      <w:pPr>
        <w:tabs>
          <w:tab w:val="left" w:pos="2040"/>
        </w:tabs>
        <w:ind w:left="2040" w:hanging="360"/>
      </w:pPr>
      <w:rPr>
        <w:rFonts w:hint="default" w:ascii="Wingdings" w:hAnsi="Wingdings"/>
      </w:rPr>
    </w:lvl>
  </w:abstractNum>
  <w:abstractNum w:abstractNumId="5">
    <w:nsid w:val="FFFFFF81"/>
    <w:multiLevelType w:val="singleLevel"/>
    <w:tmpl w:val="FFFFFF81"/>
    <w:lvl w:ilvl="0" w:tentative="0">
      <w:start w:val="1"/>
      <w:numFmt w:val="bullet"/>
      <w:pStyle w:val="15"/>
      <w:lvlText w:val=""/>
      <w:lvlJc w:val="left"/>
      <w:pPr>
        <w:tabs>
          <w:tab w:val="left" w:pos="1620"/>
        </w:tabs>
        <w:ind w:left="1620" w:hanging="360"/>
      </w:pPr>
      <w:rPr>
        <w:rFonts w:hint="default" w:ascii="Wingdings" w:hAnsi="Wingdings"/>
      </w:rPr>
    </w:lvl>
  </w:abstractNum>
  <w:abstractNum w:abstractNumId="6">
    <w:nsid w:val="FFFFFF82"/>
    <w:multiLevelType w:val="singleLevel"/>
    <w:tmpl w:val="FFFFFF82"/>
    <w:lvl w:ilvl="0" w:tentative="0">
      <w:start w:val="1"/>
      <w:numFmt w:val="bullet"/>
      <w:pStyle w:val="30"/>
      <w:lvlText w:val=""/>
      <w:lvlJc w:val="left"/>
      <w:pPr>
        <w:tabs>
          <w:tab w:val="left" w:pos="1200"/>
        </w:tabs>
        <w:ind w:left="1200" w:hanging="360"/>
      </w:pPr>
      <w:rPr>
        <w:rFonts w:hint="default" w:ascii="Wingdings" w:hAnsi="Wingdings"/>
      </w:rPr>
    </w:lvl>
  </w:abstractNum>
  <w:abstractNum w:abstractNumId="7">
    <w:nsid w:val="FFFFFF83"/>
    <w:multiLevelType w:val="singleLevel"/>
    <w:tmpl w:val="FFFFFF83"/>
    <w:lvl w:ilvl="0" w:tentative="0">
      <w:start w:val="1"/>
      <w:numFmt w:val="bullet"/>
      <w:pStyle w:val="37"/>
      <w:lvlText w:val=""/>
      <w:lvlJc w:val="left"/>
      <w:pPr>
        <w:tabs>
          <w:tab w:val="left" w:pos="780"/>
        </w:tabs>
        <w:ind w:left="780" w:hanging="360"/>
      </w:pPr>
      <w:rPr>
        <w:rFonts w:hint="default" w:ascii="Wingdings" w:hAnsi="Wingdings"/>
      </w:rPr>
    </w:lvl>
  </w:abstractNum>
  <w:abstractNum w:abstractNumId="8">
    <w:nsid w:val="FFFFFF88"/>
    <w:multiLevelType w:val="singleLevel"/>
    <w:tmpl w:val="FFFFFF88"/>
    <w:lvl w:ilvl="0" w:tentative="0">
      <w:start w:val="1"/>
      <w:numFmt w:val="decimal"/>
      <w:pStyle w:val="18"/>
      <w:lvlText w:val="%1."/>
      <w:lvlJc w:val="left"/>
      <w:pPr>
        <w:tabs>
          <w:tab w:val="left" w:pos="360"/>
        </w:tabs>
        <w:ind w:left="360" w:hanging="360"/>
      </w:pPr>
    </w:lvl>
  </w:abstractNum>
  <w:abstractNum w:abstractNumId="9">
    <w:nsid w:val="FFFFFF89"/>
    <w:multiLevelType w:val="singleLevel"/>
    <w:tmpl w:val="FFFFFF89"/>
    <w:lvl w:ilvl="0" w:tentative="0">
      <w:start w:val="1"/>
      <w:numFmt w:val="bullet"/>
      <w:pStyle w:val="22"/>
      <w:lvlText w:val=""/>
      <w:lvlJc w:val="left"/>
      <w:pPr>
        <w:tabs>
          <w:tab w:val="left" w:pos="360"/>
        </w:tabs>
        <w:ind w:left="360" w:hanging="360"/>
      </w:pPr>
      <w:rPr>
        <w:rFonts w:hint="default" w:ascii="Wingdings" w:hAnsi="Wingdings"/>
      </w:rPr>
    </w:lvl>
  </w:abstractNum>
  <w:abstractNum w:abstractNumId="10">
    <w:nsid w:val="00000006"/>
    <w:multiLevelType w:val="multilevel"/>
    <w:tmpl w:val="00000006"/>
    <w:lvl w:ilvl="0" w:tentative="0">
      <w:start w:val="1"/>
      <w:numFmt w:val="decimal"/>
      <w:pStyle w:val="2"/>
      <w:suff w:val="space"/>
      <w:lvlText w:val="%1"/>
      <w:lvlJc w:val="left"/>
      <w:pPr>
        <w:ind w:left="0" w:firstLine="0"/>
      </w:pPr>
      <w:rPr>
        <w:rFonts w:hint="eastAsia"/>
      </w:rPr>
    </w:lvl>
    <w:lvl w:ilvl="1" w:tentative="0">
      <w:start w:val="1"/>
      <w:numFmt w:val="decimal"/>
      <w:pStyle w:val="3"/>
      <w:suff w:val="space"/>
      <w:lvlText w:val="%1.%2."/>
      <w:lvlJc w:val="left"/>
      <w:pPr>
        <w:ind w:left="0" w:firstLine="0"/>
      </w:pPr>
      <w:rPr>
        <w:rFonts w:hint="eastAsia"/>
      </w:rPr>
    </w:lvl>
    <w:lvl w:ilvl="2" w:tentative="0">
      <w:start w:val="1"/>
      <w:numFmt w:val="decimal"/>
      <w:pStyle w:val="4"/>
      <w:suff w:val="space"/>
      <w:lvlText w:val="%1.%2.%3."/>
      <w:lvlJc w:val="left"/>
      <w:pPr>
        <w:ind w:left="630" w:firstLine="0"/>
      </w:pPr>
      <w:rPr>
        <w:rFonts w:hint="eastAsia"/>
      </w:rPr>
    </w:lvl>
    <w:lvl w:ilvl="3" w:tentative="0">
      <w:start w:val="1"/>
      <w:numFmt w:val="decimal"/>
      <w:pStyle w:val="291"/>
      <w:suff w:val="space"/>
      <w:lvlText w:val="%1.%2.%3.%4."/>
      <w:lvlJc w:val="left"/>
      <w:pPr>
        <w:ind w:left="925" w:hanging="400"/>
      </w:pPr>
      <w:rPr>
        <w:rFonts w:hint="eastAsia"/>
      </w:rPr>
    </w:lvl>
    <w:lvl w:ilvl="4" w:tentative="0">
      <w:start w:val="1"/>
      <w:numFmt w:val="decimal"/>
      <w:suff w:val="space"/>
      <w:lvlText w:val="%1.%2.%3.%4.%5."/>
      <w:lvlJc w:val="left"/>
      <w:pPr>
        <w:ind w:left="3960" w:firstLine="0"/>
      </w:pPr>
      <w:rPr>
        <w:rFonts w:hint="eastAsia"/>
      </w:rPr>
    </w:lvl>
    <w:lvl w:ilvl="5" w:tentative="0">
      <w:start w:val="1"/>
      <w:numFmt w:val="decimal"/>
      <w:suff w:val="space"/>
      <w:lvlText w:val="%1.%2.%3.%4.%5.%6."/>
      <w:lvlJc w:val="left"/>
      <w:pPr>
        <w:ind w:left="400" w:hanging="400"/>
      </w:pPr>
      <w:rPr>
        <w:rFonts w:hint="eastAsia"/>
      </w:rPr>
    </w:lvl>
    <w:lvl w:ilvl="6" w:tentative="0">
      <w:start w:val="1"/>
      <w:numFmt w:val="decimal"/>
      <w:lvlText w:val="%1.%2.%3.%4.%5.%6.%7."/>
      <w:lvlJc w:val="left"/>
      <w:pPr>
        <w:tabs>
          <w:tab w:val="left" w:pos="1276"/>
        </w:tabs>
        <w:ind w:left="1276" w:hanging="1276"/>
      </w:pPr>
      <w:rPr>
        <w:rFonts w:hint="eastAsia"/>
      </w:rPr>
    </w:lvl>
    <w:lvl w:ilvl="7" w:tentative="0">
      <w:start w:val="1"/>
      <w:numFmt w:val="decimal"/>
      <w:lvlText w:val="%1.%2.%3.%4.%5.%6.%7.%8."/>
      <w:lvlJc w:val="left"/>
      <w:pPr>
        <w:tabs>
          <w:tab w:val="left" w:pos="1418"/>
        </w:tabs>
        <w:ind w:left="1418" w:hanging="1418"/>
      </w:pPr>
      <w:rPr>
        <w:rFonts w:hint="eastAsia"/>
      </w:rPr>
    </w:lvl>
    <w:lvl w:ilvl="8" w:tentative="0">
      <w:start w:val="1"/>
      <w:numFmt w:val="decimal"/>
      <w:lvlText w:val="%1.%2.%3.%4.%5.%6.%7.%8.%9."/>
      <w:lvlJc w:val="left"/>
      <w:pPr>
        <w:tabs>
          <w:tab w:val="left" w:pos="1559"/>
        </w:tabs>
        <w:ind w:left="1559" w:hanging="1559"/>
      </w:pPr>
      <w:rPr>
        <w:rFonts w:hint="eastAsia"/>
      </w:rPr>
    </w:lvl>
  </w:abstractNum>
  <w:abstractNum w:abstractNumId="11">
    <w:nsid w:val="0000000B"/>
    <w:multiLevelType w:val="multilevel"/>
    <w:tmpl w:val="0000000B"/>
    <w:lvl w:ilvl="0" w:tentative="0">
      <w:start w:val="1"/>
      <w:numFmt w:val="chineseCountingThousand"/>
      <w:lvlText w:val="%1."/>
      <w:lvlJc w:val="left"/>
      <w:pPr>
        <w:tabs>
          <w:tab w:val="left" w:pos="420"/>
        </w:tabs>
        <w:ind w:left="420" w:hanging="420"/>
      </w:pPr>
      <w:rPr>
        <w:rFonts w:hint="eastAsia"/>
      </w:rPr>
    </w:lvl>
    <w:lvl w:ilvl="1" w:tentative="0">
      <w:start w:val="1"/>
      <w:numFmt w:val="lowerLetter"/>
      <w:lvlText w:val="%2)"/>
      <w:lvlJc w:val="left"/>
      <w:pPr>
        <w:tabs>
          <w:tab w:val="left" w:pos="840"/>
        </w:tabs>
        <w:ind w:left="840" w:hanging="420"/>
      </w:pPr>
    </w:lvl>
    <w:lvl w:ilvl="2" w:tentative="0">
      <w:start w:val="1"/>
      <w:numFmt w:val="lowerRoman"/>
      <w:pStyle w:val="275"/>
      <w:lvlText w:val="%3."/>
      <w:lvlJc w:val="right"/>
      <w:pPr>
        <w:tabs>
          <w:tab w:val="left" w:pos="1260"/>
        </w:tabs>
        <w:ind w:left="1260" w:hanging="420"/>
      </w:pPr>
    </w:lvl>
    <w:lvl w:ilvl="3" w:tentative="0">
      <w:start w:val="1"/>
      <w:numFmt w:val="decimal"/>
      <w:pStyle w:val="271"/>
      <w:lvlText w:val="%4."/>
      <w:lvlJc w:val="left"/>
      <w:pPr>
        <w:tabs>
          <w:tab w:val="left" w:pos="1680"/>
        </w:tabs>
        <w:ind w:left="1680" w:hanging="420"/>
      </w:pPr>
    </w:lvl>
    <w:lvl w:ilvl="4" w:tentative="0">
      <w:start w:val="1"/>
      <w:numFmt w:val="lowerLetter"/>
      <w:pStyle w:val="254"/>
      <w:lvlText w:val="%5)"/>
      <w:lvlJc w:val="left"/>
      <w:pPr>
        <w:tabs>
          <w:tab w:val="left" w:pos="2100"/>
        </w:tabs>
        <w:ind w:left="2100" w:hanging="420"/>
      </w:pPr>
    </w:lvl>
    <w:lvl w:ilvl="5" w:tentative="0">
      <w:start w:val="1"/>
      <w:numFmt w:val="lowerRoman"/>
      <w:pStyle w:val="258"/>
      <w:lvlText w:val="%6."/>
      <w:lvlJc w:val="right"/>
      <w:pPr>
        <w:tabs>
          <w:tab w:val="left" w:pos="2520"/>
        </w:tabs>
        <w:ind w:left="2520" w:hanging="420"/>
      </w:pPr>
    </w:lvl>
    <w:lvl w:ilvl="6" w:tentative="0">
      <w:start w:val="1"/>
      <w:numFmt w:val="decimal"/>
      <w:pStyle w:val="210"/>
      <w:lvlText w:val="%7."/>
      <w:lvlJc w:val="left"/>
      <w:pPr>
        <w:tabs>
          <w:tab w:val="left" w:pos="2940"/>
        </w:tabs>
        <w:ind w:left="2940" w:hanging="420"/>
      </w:pPr>
    </w:lvl>
    <w:lvl w:ilvl="7" w:tentative="0">
      <w:start w:val="1"/>
      <w:numFmt w:val="lowerLetter"/>
      <w:lvlText w:val="%8)"/>
      <w:lvlJc w:val="left"/>
      <w:pPr>
        <w:tabs>
          <w:tab w:val="left" w:pos="3360"/>
        </w:tabs>
        <w:ind w:left="3360" w:hanging="420"/>
      </w:pPr>
    </w:lvl>
    <w:lvl w:ilvl="8" w:tentative="0">
      <w:start w:val="1"/>
      <w:numFmt w:val="lowerRoman"/>
      <w:lvlText w:val="%9."/>
      <w:lvlJc w:val="right"/>
      <w:pPr>
        <w:tabs>
          <w:tab w:val="left" w:pos="3780"/>
        </w:tabs>
        <w:ind w:left="3780" w:hanging="420"/>
      </w:pPr>
    </w:lvl>
  </w:abstractNum>
  <w:abstractNum w:abstractNumId="12">
    <w:nsid w:val="0C176FF9"/>
    <w:multiLevelType w:val="multilevel"/>
    <w:tmpl w:val="0C176FF9"/>
    <w:lvl w:ilvl="0" w:tentative="0">
      <w:start w:val="1"/>
      <w:numFmt w:val="decimal"/>
      <w:lvlText w:val="%1"/>
      <w:lvlJc w:val="left"/>
      <w:pPr>
        <w:tabs>
          <w:tab w:val="left" w:pos="425"/>
        </w:tabs>
        <w:ind w:left="425" w:hanging="425"/>
      </w:pPr>
      <w:rPr>
        <w:rFonts w:hint="eastAsia"/>
      </w:rPr>
    </w:lvl>
    <w:lvl w:ilvl="1" w:tentative="0">
      <w:start w:val="1"/>
      <w:numFmt w:val="decimal"/>
      <w:lvlText w:val="%1.%2"/>
      <w:lvlJc w:val="left"/>
      <w:pPr>
        <w:tabs>
          <w:tab w:val="left" w:pos="992"/>
        </w:tabs>
        <w:ind w:left="992" w:hanging="567"/>
      </w:pPr>
      <w:rPr>
        <w:rFonts w:hint="eastAsia"/>
      </w:rPr>
    </w:lvl>
    <w:lvl w:ilvl="2" w:tentative="0">
      <w:start w:val="4"/>
      <w:numFmt w:val="decimal"/>
      <w:pStyle w:val="330"/>
      <w:lvlText w:val="%1.4.1"/>
      <w:lvlJc w:val="left"/>
      <w:pPr>
        <w:tabs>
          <w:tab w:val="left" w:pos="1571"/>
        </w:tabs>
        <w:ind w:left="1418" w:hanging="567"/>
      </w:pPr>
      <w:rPr>
        <w:rFonts w:hint="eastAsia"/>
      </w:rPr>
    </w:lvl>
    <w:lvl w:ilvl="3" w:tentative="0">
      <w:start w:val="1"/>
      <w:numFmt w:val="decimal"/>
      <w:lvlText w:val="%1.%2.%3.%4"/>
      <w:lvlJc w:val="left"/>
      <w:pPr>
        <w:tabs>
          <w:tab w:val="left" w:pos="2356"/>
        </w:tabs>
        <w:ind w:left="1984" w:hanging="708"/>
      </w:pPr>
      <w:rPr>
        <w:rFonts w:hint="eastAsia"/>
      </w:rPr>
    </w:lvl>
    <w:lvl w:ilvl="4" w:tentative="0">
      <w:start w:val="1"/>
      <w:numFmt w:val="decimal"/>
      <w:lvlText w:val="%1.%2.%3.%4.%5"/>
      <w:lvlJc w:val="left"/>
      <w:pPr>
        <w:tabs>
          <w:tab w:val="left" w:pos="3141"/>
        </w:tabs>
        <w:ind w:left="2551" w:hanging="850"/>
      </w:pPr>
      <w:rPr>
        <w:rFonts w:hint="eastAsia"/>
      </w:rPr>
    </w:lvl>
    <w:lvl w:ilvl="5" w:tentative="0">
      <w:start w:val="1"/>
      <w:numFmt w:val="decimal"/>
      <w:lvlText w:val="%1.%2.%3.%4.%5.%6"/>
      <w:lvlJc w:val="left"/>
      <w:pPr>
        <w:tabs>
          <w:tab w:val="left" w:pos="3926"/>
        </w:tabs>
        <w:ind w:left="3260" w:hanging="1134"/>
      </w:pPr>
      <w:rPr>
        <w:rFonts w:hint="eastAsia"/>
      </w:rPr>
    </w:lvl>
    <w:lvl w:ilvl="6" w:tentative="0">
      <w:start w:val="1"/>
      <w:numFmt w:val="decimal"/>
      <w:lvlText w:val="%1.%2.%3.%4.%5.%6.%7"/>
      <w:lvlJc w:val="left"/>
      <w:pPr>
        <w:tabs>
          <w:tab w:val="left" w:pos="4711"/>
        </w:tabs>
        <w:ind w:left="3827" w:hanging="1276"/>
      </w:pPr>
      <w:rPr>
        <w:rFonts w:hint="eastAsia"/>
      </w:rPr>
    </w:lvl>
    <w:lvl w:ilvl="7" w:tentative="0">
      <w:start w:val="1"/>
      <w:numFmt w:val="decimal"/>
      <w:lvlText w:val="%1.%2.%3.%4.%5.%6.%7.%8"/>
      <w:lvlJc w:val="left"/>
      <w:pPr>
        <w:tabs>
          <w:tab w:val="left" w:pos="5136"/>
        </w:tabs>
        <w:ind w:left="4394" w:hanging="1418"/>
      </w:pPr>
      <w:rPr>
        <w:rFonts w:hint="eastAsia"/>
      </w:rPr>
    </w:lvl>
    <w:lvl w:ilvl="8" w:tentative="0">
      <w:start w:val="1"/>
      <w:numFmt w:val="decimal"/>
      <w:lvlText w:val="%1.%2.%3.%4.%5.%6.%7.%8.%9"/>
      <w:lvlJc w:val="left"/>
      <w:pPr>
        <w:tabs>
          <w:tab w:val="left" w:pos="5922"/>
        </w:tabs>
        <w:ind w:left="5102" w:hanging="1700"/>
      </w:pPr>
      <w:rPr>
        <w:rFonts w:hint="eastAsia"/>
      </w:rPr>
    </w:lvl>
  </w:abstractNum>
  <w:abstractNum w:abstractNumId="13">
    <w:nsid w:val="10914504"/>
    <w:multiLevelType w:val="multilevel"/>
    <w:tmpl w:val="10914504"/>
    <w:lvl w:ilvl="0" w:tentative="0">
      <w:start w:val="1"/>
      <w:numFmt w:val="decimal"/>
      <w:pStyle w:val="239"/>
      <w:lvlText w:val="%1."/>
      <w:lvlJc w:val="left"/>
      <w:pPr>
        <w:tabs>
          <w:tab w:val="left" w:pos="425"/>
        </w:tabs>
        <w:ind w:left="425" w:hanging="425"/>
      </w:pPr>
    </w:lvl>
    <w:lvl w:ilvl="1" w:tentative="0">
      <w:start w:val="1"/>
      <w:numFmt w:val="decimal"/>
      <w:lvlText w:val="%1.%2."/>
      <w:lvlJc w:val="left"/>
      <w:pPr>
        <w:tabs>
          <w:tab w:val="left" w:pos="567"/>
        </w:tabs>
        <w:ind w:left="567" w:hanging="567"/>
      </w:pPr>
    </w:lvl>
    <w:lvl w:ilvl="2" w:tentative="0">
      <w:start w:val="1"/>
      <w:numFmt w:val="decimal"/>
      <w:lvlText w:val="%1.%2.%3."/>
      <w:lvlJc w:val="left"/>
      <w:pPr>
        <w:tabs>
          <w:tab w:val="left" w:pos="709"/>
        </w:tabs>
        <w:ind w:left="709" w:hanging="709"/>
      </w:pPr>
    </w:lvl>
    <w:lvl w:ilvl="3" w:tentative="0">
      <w:start w:val="1"/>
      <w:numFmt w:val="decimal"/>
      <w:lvlText w:val="%1.%2.%3.%4."/>
      <w:lvlJc w:val="left"/>
      <w:pPr>
        <w:tabs>
          <w:tab w:val="left" w:pos="851"/>
        </w:tabs>
        <w:ind w:left="851" w:hanging="851"/>
      </w:pPr>
    </w:lvl>
    <w:lvl w:ilvl="4" w:tentative="0">
      <w:start w:val="1"/>
      <w:numFmt w:val="decimal"/>
      <w:lvlText w:val="%1.%2.%3.%4.%5."/>
      <w:lvlJc w:val="left"/>
      <w:pPr>
        <w:tabs>
          <w:tab w:val="left" w:pos="992"/>
        </w:tabs>
        <w:ind w:left="992" w:hanging="992"/>
      </w:pPr>
    </w:lvl>
    <w:lvl w:ilvl="5" w:tentative="0">
      <w:start w:val="1"/>
      <w:numFmt w:val="decimal"/>
      <w:lvlText w:val="%1.%2.%3.%4.%5.%6."/>
      <w:lvlJc w:val="left"/>
      <w:pPr>
        <w:tabs>
          <w:tab w:val="left" w:pos="1134"/>
        </w:tabs>
        <w:ind w:left="1134" w:hanging="1134"/>
      </w:pPr>
    </w:lvl>
    <w:lvl w:ilvl="6" w:tentative="0">
      <w:start w:val="1"/>
      <w:numFmt w:val="decimal"/>
      <w:lvlText w:val="%1.%2.%3.%4.%5.%6.%7."/>
      <w:lvlJc w:val="left"/>
      <w:pPr>
        <w:tabs>
          <w:tab w:val="left" w:pos="1276"/>
        </w:tabs>
        <w:ind w:left="1276" w:hanging="1276"/>
      </w:pPr>
    </w:lvl>
    <w:lvl w:ilvl="7" w:tentative="0">
      <w:start w:val="1"/>
      <w:numFmt w:val="decimal"/>
      <w:lvlText w:val="%1.%2.%3.%4.%5.%6.%7.%8."/>
      <w:lvlJc w:val="left"/>
      <w:pPr>
        <w:tabs>
          <w:tab w:val="left" w:pos="1418"/>
        </w:tabs>
        <w:ind w:left="1418" w:hanging="1418"/>
      </w:pPr>
    </w:lvl>
    <w:lvl w:ilvl="8" w:tentative="0">
      <w:start w:val="1"/>
      <w:numFmt w:val="decimal"/>
      <w:lvlText w:val="%1.%2.%3.%4.%5.%6.%7.%8.%9."/>
      <w:lvlJc w:val="left"/>
      <w:pPr>
        <w:tabs>
          <w:tab w:val="left" w:pos="1559"/>
        </w:tabs>
        <w:ind w:left="1559" w:hanging="1559"/>
      </w:pPr>
    </w:lvl>
  </w:abstractNum>
  <w:abstractNum w:abstractNumId="14">
    <w:nsid w:val="1D5F6E47"/>
    <w:multiLevelType w:val="multilevel"/>
    <w:tmpl w:val="1D5F6E47"/>
    <w:lvl w:ilvl="0" w:tentative="0">
      <w:start w:val="1"/>
      <w:numFmt w:val="lowerLetter"/>
      <w:pStyle w:val="265"/>
      <w:lvlText w:val="%1)"/>
      <w:lvlJc w:val="left"/>
      <w:pPr>
        <w:ind w:left="840" w:hanging="420"/>
      </w:pPr>
    </w:lvl>
    <w:lvl w:ilvl="1" w:tentative="0">
      <w:start w:val="1"/>
      <w:numFmt w:val="lowerLetter"/>
      <w:pStyle w:val="227"/>
      <w:lvlText w:val="%2)"/>
      <w:lvlJc w:val="left"/>
      <w:pPr>
        <w:ind w:left="1260" w:hanging="420"/>
      </w:pPr>
    </w:lvl>
    <w:lvl w:ilvl="2" w:tentative="0">
      <w:start w:val="1"/>
      <w:numFmt w:val="lowerRoman"/>
      <w:pStyle w:val="226"/>
      <w:lvlText w:val="%3."/>
      <w:lvlJc w:val="right"/>
      <w:pPr>
        <w:ind w:left="1680" w:hanging="420"/>
      </w:pPr>
    </w:lvl>
    <w:lvl w:ilvl="3" w:tentative="0">
      <w:start w:val="1"/>
      <w:numFmt w:val="decimal"/>
      <w:pStyle w:val="225"/>
      <w:lvlText w:val="%4."/>
      <w:lvlJc w:val="left"/>
      <w:pPr>
        <w:ind w:left="2100" w:hanging="420"/>
      </w:pPr>
    </w:lvl>
    <w:lvl w:ilvl="4" w:tentative="0">
      <w:start w:val="1"/>
      <w:numFmt w:val="lowerLetter"/>
      <w:pStyle w:val="224"/>
      <w:lvlText w:val="%5)"/>
      <w:lvlJc w:val="left"/>
      <w:pPr>
        <w:ind w:left="2520" w:hanging="420"/>
      </w:pPr>
    </w:lvl>
    <w:lvl w:ilvl="5" w:tentative="0">
      <w:start w:val="1"/>
      <w:numFmt w:val="lowerRoman"/>
      <w:pStyle w:val="223"/>
      <w:lvlText w:val="%6."/>
      <w:lvlJc w:val="right"/>
      <w:pPr>
        <w:ind w:left="2940" w:hanging="420"/>
      </w:pPr>
    </w:lvl>
    <w:lvl w:ilvl="6" w:tentative="0">
      <w:start w:val="1"/>
      <w:numFmt w:val="decimal"/>
      <w:pStyle w:val="222"/>
      <w:lvlText w:val="%7."/>
      <w:lvlJc w:val="left"/>
      <w:pPr>
        <w:ind w:left="3360" w:hanging="420"/>
      </w:pPr>
    </w:lvl>
    <w:lvl w:ilvl="7" w:tentative="0">
      <w:start w:val="1"/>
      <w:numFmt w:val="lowerLetter"/>
      <w:lvlText w:val="%8)"/>
      <w:lvlJc w:val="left"/>
      <w:pPr>
        <w:ind w:left="3780" w:hanging="420"/>
      </w:pPr>
    </w:lvl>
    <w:lvl w:ilvl="8" w:tentative="0">
      <w:start w:val="1"/>
      <w:numFmt w:val="lowerRoman"/>
      <w:lvlText w:val="%9."/>
      <w:lvlJc w:val="right"/>
      <w:pPr>
        <w:ind w:left="4200" w:hanging="420"/>
      </w:pPr>
    </w:lvl>
  </w:abstractNum>
  <w:abstractNum w:abstractNumId="15">
    <w:nsid w:val="1E2983DD"/>
    <w:multiLevelType w:val="singleLevel"/>
    <w:tmpl w:val="1E2983DD"/>
    <w:lvl w:ilvl="0" w:tentative="0">
      <w:start w:val="1"/>
      <w:numFmt w:val="lowerLetter"/>
      <w:lvlText w:val="%1."/>
      <w:lvlJc w:val="left"/>
      <w:pPr>
        <w:ind w:left="425" w:hanging="425"/>
      </w:pPr>
      <w:rPr>
        <w:rFonts w:hint="default"/>
      </w:rPr>
    </w:lvl>
  </w:abstractNum>
  <w:abstractNum w:abstractNumId="16">
    <w:nsid w:val="496E4D7B"/>
    <w:multiLevelType w:val="multilevel"/>
    <w:tmpl w:val="496E4D7B"/>
    <w:lvl w:ilvl="0" w:tentative="0">
      <w:start w:val="1"/>
      <w:numFmt w:val="none"/>
      <w:pStyle w:val="396"/>
      <w:lvlText w:val="%1注"/>
      <w:lvlJc w:val="left"/>
      <w:pPr>
        <w:tabs>
          <w:tab w:val="left" w:pos="900"/>
        </w:tabs>
        <w:ind w:left="900" w:hanging="500"/>
      </w:pPr>
      <w:rPr>
        <w:rFonts w:hint="eastAsia" w:ascii="宋体" w:hAnsi="Times New Roman" w:eastAsia="宋体"/>
        <w:b w:val="0"/>
        <w:i w:val="0"/>
        <w:sz w:val="18"/>
      </w:rPr>
    </w:lvl>
    <w:lvl w:ilvl="1" w:tentative="0">
      <w:start w:val="1"/>
      <w:numFmt w:val="lowerLetter"/>
      <w:lvlText w:val="%2)"/>
      <w:lvlJc w:val="left"/>
      <w:pPr>
        <w:tabs>
          <w:tab w:val="left" w:pos="840"/>
        </w:tabs>
        <w:ind w:left="840" w:hanging="420"/>
      </w:pPr>
    </w:lvl>
    <w:lvl w:ilvl="2" w:tentative="0">
      <w:start w:val="1"/>
      <w:numFmt w:val="lowerRoman"/>
      <w:lvlText w:val="%3."/>
      <w:lvlJc w:val="right"/>
      <w:pPr>
        <w:tabs>
          <w:tab w:val="left" w:pos="1260"/>
        </w:tabs>
        <w:ind w:left="1260" w:hanging="420"/>
      </w:pPr>
    </w:lvl>
    <w:lvl w:ilvl="3" w:tentative="0">
      <w:start w:val="1"/>
      <w:numFmt w:val="decimal"/>
      <w:lvlText w:val="%4."/>
      <w:lvlJc w:val="left"/>
      <w:pPr>
        <w:tabs>
          <w:tab w:val="left" w:pos="1680"/>
        </w:tabs>
        <w:ind w:left="1680" w:hanging="420"/>
      </w:pPr>
    </w:lvl>
    <w:lvl w:ilvl="4" w:tentative="0">
      <w:start w:val="1"/>
      <w:numFmt w:val="lowerLetter"/>
      <w:lvlText w:val="%5)"/>
      <w:lvlJc w:val="left"/>
      <w:pPr>
        <w:tabs>
          <w:tab w:val="left" w:pos="2100"/>
        </w:tabs>
        <w:ind w:left="2100" w:hanging="420"/>
      </w:pPr>
    </w:lvl>
    <w:lvl w:ilvl="5" w:tentative="0">
      <w:start w:val="1"/>
      <w:numFmt w:val="lowerRoman"/>
      <w:lvlText w:val="%6."/>
      <w:lvlJc w:val="right"/>
      <w:pPr>
        <w:tabs>
          <w:tab w:val="left" w:pos="2520"/>
        </w:tabs>
        <w:ind w:left="2520" w:hanging="420"/>
      </w:pPr>
    </w:lvl>
    <w:lvl w:ilvl="6" w:tentative="0">
      <w:start w:val="1"/>
      <w:numFmt w:val="decimal"/>
      <w:lvlText w:val="%7."/>
      <w:lvlJc w:val="left"/>
      <w:pPr>
        <w:tabs>
          <w:tab w:val="left" w:pos="2940"/>
        </w:tabs>
        <w:ind w:left="2940" w:hanging="420"/>
      </w:pPr>
    </w:lvl>
    <w:lvl w:ilvl="7" w:tentative="0">
      <w:start w:val="1"/>
      <w:numFmt w:val="lowerLetter"/>
      <w:lvlText w:val="%8)"/>
      <w:lvlJc w:val="left"/>
      <w:pPr>
        <w:tabs>
          <w:tab w:val="left" w:pos="3360"/>
        </w:tabs>
        <w:ind w:left="3360" w:hanging="420"/>
      </w:pPr>
    </w:lvl>
    <w:lvl w:ilvl="8" w:tentative="0">
      <w:start w:val="1"/>
      <w:numFmt w:val="lowerRoman"/>
      <w:lvlText w:val="%9."/>
      <w:lvlJc w:val="right"/>
      <w:pPr>
        <w:tabs>
          <w:tab w:val="left" w:pos="3780"/>
        </w:tabs>
        <w:ind w:left="3780" w:hanging="420"/>
      </w:pPr>
    </w:lvl>
  </w:abstractNum>
  <w:abstractNum w:abstractNumId="17">
    <w:nsid w:val="4DD22B5B"/>
    <w:multiLevelType w:val="multilevel"/>
    <w:tmpl w:val="4DD22B5B"/>
    <w:lvl w:ilvl="0" w:tentative="0">
      <w:start w:val="1"/>
      <w:numFmt w:val="decimal"/>
      <w:pStyle w:val="230"/>
      <w:lvlText w:val="%1"/>
      <w:lvlJc w:val="left"/>
      <w:pPr>
        <w:tabs>
          <w:tab w:val="left" w:pos="360"/>
        </w:tabs>
        <w:ind w:left="360" w:hanging="360"/>
      </w:pPr>
      <w:rPr>
        <w:rFonts w:hint="eastAsia"/>
      </w:rPr>
    </w:lvl>
    <w:lvl w:ilvl="1" w:tentative="0">
      <w:start w:val="1"/>
      <w:numFmt w:val="lowerLetter"/>
      <w:lvlText w:val="%2）"/>
      <w:lvlJc w:val="left"/>
      <w:pPr>
        <w:tabs>
          <w:tab w:val="left" w:pos="780"/>
        </w:tabs>
        <w:ind w:left="780" w:hanging="360"/>
      </w:pPr>
      <w:rPr>
        <w:rFonts w:hint="eastAsia"/>
      </w:rPr>
    </w:lvl>
    <w:lvl w:ilvl="2" w:tentative="0">
      <w:start w:val="1"/>
      <w:numFmt w:val="lowerRoman"/>
      <w:lvlText w:val="%3."/>
      <w:lvlJc w:val="right"/>
      <w:pPr>
        <w:tabs>
          <w:tab w:val="left" w:pos="1260"/>
        </w:tabs>
        <w:ind w:left="1260" w:hanging="420"/>
      </w:pPr>
    </w:lvl>
    <w:lvl w:ilvl="3" w:tentative="0">
      <w:start w:val="1"/>
      <w:numFmt w:val="decimal"/>
      <w:lvlText w:val="%4."/>
      <w:lvlJc w:val="left"/>
      <w:pPr>
        <w:tabs>
          <w:tab w:val="left" w:pos="1680"/>
        </w:tabs>
        <w:ind w:left="1680" w:hanging="420"/>
      </w:pPr>
    </w:lvl>
    <w:lvl w:ilvl="4" w:tentative="0">
      <w:start w:val="1"/>
      <w:numFmt w:val="lowerLetter"/>
      <w:lvlText w:val="%5)"/>
      <w:lvlJc w:val="left"/>
      <w:pPr>
        <w:tabs>
          <w:tab w:val="left" w:pos="2100"/>
        </w:tabs>
        <w:ind w:left="2100" w:hanging="420"/>
      </w:pPr>
    </w:lvl>
    <w:lvl w:ilvl="5" w:tentative="0">
      <w:start w:val="1"/>
      <w:numFmt w:val="lowerRoman"/>
      <w:lvlText w:val="%6."/>
      <w:lvlJc w:val="right"/>
      <w:pPr>
        <w:tabs>
          <w:tab w:val="left" w:pos="2520"/>
        </w:tabs>
        <w:ind w:left="2520" w:hanging="420"/>
      </w:pPr>
    </w:lvl>
    <w:lvl w:ilvl="6" w:tentative="0">
      <w:start w:val="1"/>
      <w:numFmt w:val="decimal"/>
      <w:lvlText w:val="%7."/>
      <w:lvlJc w:val="left"/>
      <w:pPr>
        <w:tabs>
          <w:tab w:val="left" w:pos="2940"/>
        </w:tabs>
        <w:ind w:left="2940" w:hanging="420"/>
      </w:pPr>
    </w:lvl>
    <w:lvl w:ilvl="7" w:tentative="0">
      <w:start w:val="1"/>
      <w:numFmt w:val="lowerLetter"/>
      <w:lvlText w:val="%8)"/>
      <w:lvlJc w:val="left"/>
      <w:pPr>
        <w:tabs>
          <w:tab w:val="left" w:pos="3360"/>
        </w:tabs>
        <w:ind w:left="3360" w:hanging="420"/>
      </w:pPr>
    </w:lvl>
    <w:lvl w:ilvl="8" w:tentative="0">
      <w:start w:val="1"/>
      <w:numFmt w:val="lowerRoman"/>
      <w:lvlText w:val="%9."/>
      <w:lvlJc w:val="right"/>
      <w:pPr>
        <w:tabs>
          <w:tab w:val="left" w:pos="3780"/>
        </w:tabs>
        <w:ind w:left="3780" w:hanging="420"/>
      </w:pPr>
    </w:lvl>
  </w:abstractNum>
  <w:abstractNum w:abstractNumId="18">
    <w:nsid w:val="50808D82"/>
    <w:multiLevelType w:val="singleLevel"/>
    <w:tmpl w:val="50808D82"/>
    <w:lvl w:ilvl="0" w:tentative="0">
      <w:start w:val="1"/>
      <w:numFmt w:val="lowerLetter"/>
      <w:lvlText w:val="%1."/>
      <w:lvlJc w:val="left"/>
      <w:pPr>
        <w:ind w:left="425" w:hanging="425"/>
      </w:pPr>
      <w:rPr>
        <w:rFonts w:hint="default"/>
      </w:rPr>
    </w:lvl>
  </w:abstractNum>
  <w:abstractNum w:abstractNumId="19">
    <w:nsid w:val="5B0C14F2"/>
    <w:multiLevelType w:val="multilevel"/>
    <w:tmpl w:val="5B0C14F2"/>
    <w:lvl w:ilvl="0" w:tentative="0">
      <w:start w:val="1"/>
      <w:numFmt w:val="decimal"/>
      <w:pStyle w:val="244"/>
      <w:lvlText w:val="%1"/>
      <w:lvlJc w:val="left"/>
      <w:pPr>
        <w:tabs>
          <w:tab w:val="left" w:pos="425"/>
        </w:tabs>
        <w:ind w:left="425" w:hanging="425"/>
      </w:pPr>
    </w:lvl>
    <w:lvl w:ilvl="1" w:tentative="0">
      <w:start w:val="1"/>
      <w:numFmt w:val="decimal"/>
      <w:lvlText w:val="%1.%2"/>
      <w:lvlJc w:val="left"/>
      <w:pPr>
        <w:tabs>
          <w:tab w:val="left" w:pos="992"/>
        </w:tabs>
        <w:ind w:left="992" w:hanging="567"/>
      </w:pPr>
    </w:lvl>
    <w:lvl w:ilvl="2" w:tentative="0">
      <w:start w:val="1"/>
      <w:numFmt w:val="decimal"/>
      <w:lvlText w:val="%1.%2.%3"/>
      <w:lvlJc w:val="left"/>
      <w:pPr>
        <w:tabs>
          <w:tab w:val="left" w:pos="1571"/>
        </w:tabs>
        <w:ind w:left="1418" w:hanging="567"/>
      </w:pPr>
    </w:lvl>
    <w:lvl w:ilvl="3" w:tentative="0">
      <w:start w:val="1"/>
      <w:numFmt w:val="decimal"/>
      <w:lvlText w:val="%1.%2.%3.%4"/>
      <w:lvlJc w:val="left"/>
      <w:pPr>
        <w:tabs>
          <w:tab w:val="left" w:pos="2356"/>
        </w:tabs>
        <w:ind w:left="1984" w:hanging="708"/>
      </w:pPr>
    </w:lvl>
    <w:lvl w:ilvl="4" w:tentative="0">
      <w:start w:val="1"/>
      <w:numFmt w:val="decimal"/>
      <w:lvlText w:val="%1.%2.%3.%4.%5"/>
      <w:lvlJc w:val="left"/>
      <w:pPr>
        <w:tabs>
          <w:tab w:val="left" w:pos="3141"/>
        </w:tabs>
        <w:ind w:left="2551" w:hanging="850"/>
      </w:pPr>
    </w:lvl>
    <w:lvl w:ilvl="5" w:tentative="0">
      <w:start w:val="1"/>
      <w:numFmt w:val="decimal"/>
      <w:lvlText w:val="%1.%2.%3.%4.%5.%6"/>
      <w:lvlJc w:val="left"/>
      <w:pPr>
        <w:tabs>
          <w:tab w:val="left" w:pos="3926"/>
        </w:tabs>
        <w:ind w:left="3260" w:hanging="1134"/>
      </w:pPr>
    </w:lvl>
    <w:lvl w:ilvl="6" w:tentative="0">
      <w:start w:val="1"/>
      <w:numFmt w:val="decimal"/>
      <w:lvlText w:val="%1.%2.%3.%4.%5.%6.%7"/>
      <w:lvlJc w:val="left"/>
      <w:pPr>
        <w:tabs>
          <w:tab w:val="left" w:pos="4711"/>
        </w:tabs>
        <w:ind w:left="3827" w:hanging="1276"/>
      </w:pPr>
    </w:lvl>
    <w:lvl w:ilvl="7" w:tentative="0">
      <w:start w:val="1"/>
      <w:numFmt w:val="decimal"/>
      <w:lvlText w:val="%1.%2.%3.%4.%5.%6.%7.%8"/>
      <w:lvlJc w:val="left"/>
      <w:pPr>
        <w:tabs>
          <w:tab w:val="left" w:pos="5136"/>
        </w:tabs>
        <w:ind w:left="4394" w:hanging="1418"/>
      </w:pPr>
    </w:lvl>
    <w:lvl w:ilvl="8" w:tentative="0">
      <w:start w:val="1"/>
      <w:numFmt w:val="decimal"/>
      <w:lvlText w:val="%1.%2.%3.%4.%5.%6.%7.%8.%9"/>
      <w:lvlJc w:val="left"/>
      <w:pPr>
        <w:tabs>
          <w:tab w:val="left" w:pos="5922"/>
        </w:tabs>
        <w:ind w:left="5102" w:hanging="1700"/>
      </w:pPr>
    </w:lvl>
  </w:abstractNum>
  <w:abstractNum w:abstractNumId="20">
    <w:nsid w:val="625178CC"/>
    <w:multiLevelType w:val="multilevel"/>
    <w:tmpl w:val="625178CC"/>
    <w:lvl w:ilvl="0" w:tentative="0">
      <w:start w:val="1"/>
      <w:numFmt w:val="decimal"/>
      <w:pStyle w:val="329"/>
      <w:lvlText w:val="%1."/>
      <w:lvlJc w:val="left"/>
      <w:pPr>
        <w:tabs>
          <w:tab w:val="left" w:pos="840"/>
        </w:tabs>
        <w:ind w:left="840" w:hanging="420"/>
      </w:pPr>
    </w:lvl>
    <w:lvl w:ilvl="1" w:tentative="0">
      <w:start w:val="1"/>
      <w:numFmt w:val="lowerLetter"/>
      <w:lvlText w:val="%2)"/>
      <w:lvlJc w:val="left"/>
      <w:pPr>
        <w:tabs>
          <w:tab w:val="left" w:pos="1260"/>
        </w:tabs>
        <w:ind w:left="1260" w:hanging="420"/>
      </w:pPr>
    </w:lvl>
    <w:lvl w:ilvl="2" w:tentative="0">
      <w:start w:val="1"/>
      <w:numFmt w:val="lowerRoman"/>
      <w:lvlText w:val="%3."/>
      <w:lvlJc w:val="right"/>
      <w:pPr>
        <w:tabs>
          <w:tab w:val="left" w:pos="1680"/>
        </w:tabs>
        <w:ind w:left="1680" w:hanging="420"/>
      </w:pPr>
    </w:lvl>
    <w:lvl w:ilvl="3" w:tentative="0">
      <w:start w:val="1"/>
      <w:numFmt w:val="decimal"/>
      <w:lvlText w:val="%4."/>
      <w:lvlJc w:val="left"/>
      <w:pPr>
        <w:tabs>
          <w:tab w:val="left" w:pos="2100"/>
        </w:tabs>
        <w:ind w:left="2100" w:hanging="420"/>
      </w:pPr>
    </w:lvl>
    <w:lvl w:ilvl="4" w:tentative="0">
      <w:start w:val="1"/>
      <w:numFmt w:val="lowerLetter"/>
      <w:lvlText w:val="%5)"/>
      <w:lvlJc w:val="left"/>
      <w:pPr>
        <w:tabs>
          <w:tab w:val="left" w:pos="2520"/>
        </w:tabs>
        <w:ind w:left="2520" w:hanging="420"/>
      </w:pPr>
    </w:lvl>
    <w:lvl w:ilvl="5" w:tentative="0">
      <w:start w:val="1"/>
      <w:numFmt w:val="lowerRoman"/>
      <w:lvlText w:val="%6."/>
      <w:lvlJc w:val="right"/>
      <w:pPr>
        <w:tabs>
          <w:tab w:val="left" w:pos="2940"/>
        </w:tabs>
        <w:ind w:left="2940" w:hanging="420"/>
      </w:pPr>
    </w:lvl>
    <w:lvl w:ilvl="6" w:tentative="0">
      <w:start w:val="1"/>
      <w:numFmt w:val="decimal"/>
      <w:lvlText w:val="%7."/>
      <w:lvlJc w:val="left"/>
      <w:pPr>
        <w:tabs>
          <w:tab w:val="left" w:pos="3360"/>
        </w:tabs>
        <w:ind w:left="3360" w:hanging="420"/>
      </w:pPr>
    </w:lvl>
    <w:lvl w:ilvl="7" w:tentative="0">
      <w:start w:val="1"/>
      <w:numFmt w:val="lowerLetter"/>
      <w:lvlText w:val="%8)"/>
      <w:lvlJc w:val="left"/>
      <w:pPr>
        <w:tabs>
          <w:tab w:val="left" w:pos="3780"/>
        </w:tabs>
        <w:ind w:left="3780" w:hanging="420"/>
      </w:pPr>
    </w:lvl>
    <w:lvl w:ilvl="8" w:tentative="0">
      <w:start w:val="1"/>
      <w:numFmt w:val="lowerRoman"/>
      <w:lvlText w:val="%9."/>
      <w:lvlJc w:val="right"/>
      <w:pPr>
        <w:tabs>
          <w:tab w:val="left" w:pos="4200"/>
        </w:tabs>
        <w:ind w:left="4200" w:hanging="420"/>
      </w:pPr>
    </w:lvl>
  </w:abstractNum>
  <w:num w:numId="1">
    <w:abstractNumId w:val="10"/>
  </w:num>
  <w:num w:numId="2">
    <w:abstractNumId w:val="3"/>
  </w:num>
  <w:num w:numId="3">
    <w:abstractNumId w:val="5"/>
  </w:num>
  <w:num w:numId="4">
    <w:abstractNumId w:val="8"/>
  </w:num>
  <w:num w:numId="5">
    <w:abstractNumId w:val="9"/>
  </w:num>
  <w:num w:numId="6">
    <w:abstractNumId w:val="6"/>
  </w:num>
  <w:num w:numId="7">
    <w:abstractNumId w:val="2"/>
  </w:num>
  <w:num w:numId="8">
    <w:abstractNumId w:val="7"/>
  </w:num>
  <w:num w:numId="9">
    <w:abstractNumId w:val="4"/>
  </w:num>
  <w:num w:numId="10">
    <w:abstractNumId w:val="1"/>
  </w:num>
  <w:num w:numId="11">
    <w:abstractNumId w:val="0"/>
  </w:num>
  <w:num w:numId="12">
    <w:abstractNumId w:val="11"/>
  </w:num>
  <w:num w:numId="13">
    <w:abstractNumId w:val="14"/>
  </w:num>
  <w:num w:numId="14">
    <w:abstractNumId w:val="17"/>
  </w:num>
  <w:num w:numId="15">
    <w:abstractNumId w:val="13"/>
  </w:num>
  <w:num w:numId="16">
    <w:abstractNumId w:val="19"/>
  </w:num>
  <w:num w:numId="17">
    <w:abstractNumId w:val="20"/>
  </w:num>
  <w:num w:numId="18">
    <w:abstractNumId w:val="12"/>
  </w:num>
  <w:num w:numId="19">
    <w:abstractNumId w:val="16"/>
  </w:num>
  <w:num w:numId="20">
    <w:abstractNumId w:val="15"/>
  </w:num>
  <w:num w:numId="21">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90"/>
  <w:doNotDisplayPageBoundaries w:val="1"/>
  <w:bordersDoNotSurroundHeader w:val="1"/>
  <w:bordersDoNotSurroundFooter w:val="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nforcement="0"/>
  <w:defaultTabStop w:val="420"/>
  <w:displayHorizontalDrawingGridEvery w:val="0"/>
  <w:displayVerticalDrawingGridEvery w:val="2"/>
  <w:characterSpacingControl w:val="doNotCompress"/>
  <w:compat>
    <w:balanceSingleByteDoubleByteWidth/>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ZDgzMWJiZGRhMjBkNjQxY2I3MjBjYzQ3MDNjNWY5MTMifQ=="/>
  </w:docVars>
  <w:rsids>
    <w:rsidRoot w:val="00172A27"/>
    <w:rsid w:val="00005C1F"/>
    <w:rsid w:val="0001301B"/>
    <w:rsid w:val="000276EF"/>
    <w:rsid w:val="00030BE9"/>
    <w:rsid w:val="00035C5E"/>
    <w:rsid w:val="00040A18"/>
    <w:rsid w:val="000421ED"/>
    <w:rsid w:val="00046068"/>
    <w:rsid w:val="00046E7D"/>
    <w:rsid w:val="000609D3"/>
    <w:rsid w:val="00066AAA"/>
    <w:rsid w:val="000673CA"/>
    <w:rsid w:val="0006752F"/>
    <w:rsid w:val="00082FC8"/>
    <w:rsid w:val="00083054"/>
    <w:rsid w:val="0008520E"/>
    <w:rsid w:val="000856D7"/>
    <w:rsid w:val="0008673E"/>
    <w:rsid w:val="00093166"/>
    <w:rsid w:val="00093275"/>
    <w:rsid w:val="000963B0"/>
    <w:rsid w:val="000A173B"/>
    <w:rsid w:val="000A7568"/>
    <w:rsid w:val="000B1A66"/>
    <w:rsid w:val="000B7C5C"/>
    <w:rsid w:val="000C17AD"/>
    <w:rsid w:val="000C4E10"/>
    <w:rsid w:val="000E01C1"/>
    <w:rsid w:val="000E07B1"/>
    <w:rsid w:val="000E38DA"/>
    <w:rsid w:val="000E6C82"/>
    <w:rsid w:val="000F0D28"/>
    <w:rsid w:val="000F68C9"/>
    <w:rsid w:val="000F79F4"/>
    <w:rsid w:val="001030B1"/>
    <w:rsid w:val="00105CF8"/>
    <w:rsid w:val="0011207E"/>
    <w:rsid w:val="001171B1"/>
    <w:rsid w:val="00121BB8"/>
    <w:rsid w:val="00142808"/>
    <w:rsid w:val="00142BEB"/>
    <w:rsid w:val="00153644"/>
    <w:rsid w:val="0016096A"/>
    <w:rsid w:val="00162387"/>
    <w:rsid w:val="00162832"/>
    <w:rsid w:val="001647D1"/>
    <w:rsid w:val="001711ED"/>
    <w:rsid w:val="00172A27"/>
    <w:rsid w:val="001904A9"/>
    <w:rsid w:val="00191D3B"/>
    <w:rsid w:val="00197262"/>
    <w:rsid w:val="001A0BB5"/>
    <w:rsid w:val="001A12A7"/>
    <w:rsid w:val="001A59F0"/>
    <w:rsid w:val="001B13CB"/>
    <w:rsid w:val="001B5491"/>
    <w:rsid w:val="001C55C3"/>
    <w:rsid w:val="001D2F97"/>
    <w:rsid w:val="001D6215"/>
    <w:rsid w:val="001E3A62"/>
    <w:rsid w:val="001E7A1F"/>
    <w:rsid w:val="001E7D23"/>
    <w:rsid w:val="001F23D6"/>
    <w:rsid w:val="001F463D"/>
    <w:rsid w:val="00201DB3"/>
    <w:rsid w:val="00207488"/>
    <w:rsid w:val="00210667"/>
    <w:rsid w:val="00213963"/>
    <w:rsid w:val="0022467B"/>
    <w:rsid w:val="00225693"/>
    <w:rsid w:val="00236BD6"/>
    <w:rsid w:val="00245C56"/>
    <w:rsid w:val="002607CF"/>
    <w:rsid w:val="00260AE9"/>
    <w:rsid w:val="00271F04"/>
    <w:rsid w:val="002831E8"/>
    <w:rsid w:val="00287A42"/>
    <w:rsid w:val="00287C80"/>
    <w:rsid w:val="002A61B7"/>
    <w:rsid w:val="002A6737"/>
    <w:rsid w:val="002B0220"/>
    <w:rsid w:val="002B4275"/>
    <w:rsid w:val="002C1EF4"/>
    <w:rsid w:val="002C3A63"/>
    <w:rsid w:val="002C7BBC"/>
    <w:rsid w:val="002D2CE6"/>
    <w:rsid w:val="002D3BCC"/>
    <w:rsid w:val="002D7493"/>
    <w:rsid w:val="002E0A4A"/>
    <w:rsid w:val="002E6260"/>
    <w:rsid w:val="002F06D6"/>
    <w:rsid w:val="002F2C66"/>
    <w:rsid w:val="002F6966"/>
    <w:rsid w:val="002F6EC3"/>
    <w:rsid w:val="00306865"/>
    <w:rsid w:val="00306B95"/>
    <w:rsid w:val="003111D8"/>
    <w:rsid w:val="00316836"/>
    <w:rsid w:val="00317C8F"/>
    <w:rsid w:val="00323F4C"/>
    <w:rsid w:val="00335D26"/>
    <w:rsid w:val="00337642"/>
    <w:rsid w:val="00342EF5"/>
    <w:rsid w:val="00343A35"/>
    <w:rsid w:val="003511D9"/>
    <w:rsid w:val="003578EA"/>
    <w:rsid w:val="00357D39"/>
    <w:rsid w:val="003656F7"/>
    <w:rsid w:val="0037145D"/>
    <w:rsid w:val="00376370"/>
    <w:rsid w:val="00377CC2"/>
    <w:rsid w:val="00384C68"/>
    <w:rsid w:val="00390617"/>
    <w:rsid w:val="00390B7B"/>
    <w:rsid w:val="003A253D"/>
    <w:rsid w:val="003A36FD"/>
    <w:rsid w:val="003A43A0"/>
    <w:rsid w:val="003A4C7A"/>
    <w:rsid w:val="003B05FB"/>
    <w:rsid w:val="003B36CB"/>
    <w:rsid w:val="003C23AA"/>
    <w:rsid w:val="003C3549"/>
    <w:rsid w:val="003C61B5"/>
    <w:rsid w:val="003E56F4"/>
    <w:rsid w:val="003E59F3"/>
    <w:rsid w:val="003E6E33"/>
    <w:rsid w:val="003F1D0F"/>
    <w:rsid w:val="003F1DFE"/>
    <w:rsid w:val="0040516A"/>
    <w:rsid w:val="0041169D"/>
    <w:rsid w:val="004200F4"/>
    <w:rsid w:val="00420B1A"/>
    <w:rsid w:val="004263BE"/>
    <w:rsid w:val="004321F9"/>
    <w:rsid w:val="0043230D"/>
    <w:rsid w:val="004365B7"/>
    <w:rsid w:val="00440F47"/>
    <w:rsid w:val="00443AC2"/>
    <w:rsid w:val="00451C56"/>
    <w:rsid w:val="00463538"/>
    <w:rsid w:val="00463AC9"/>
    <w:rsid w:val="00474BBC"/>
    <w:rsid w:val="0047773C"/>
    <w:rsid w:val="004808CE"/>
    <w:rsid w:val="00481F46"/>
    <w:rsid w:val="004844DB"/>
    <w:rsid w:val="00484BF8"/>
    <w:rsid w:val="00486332"/>
    <w:rsid w:val="00495BA0"/>
    <w:rsid w:val="004B4EEA"/>
    <w:rsid w:val="004B70B2"/>
    <w:rsid w:val="004C3119"/>
    <w:rsid w:val="004D2F56"/>
    <w:rsid w:val="004E1A89"/>
    <w:rsid w:val="004E6FC4"/>
    <w:rsid w:val="00503D79"/>
    <w:rsid w:val="00514540"/>
    <w:rsid w:val="00514C20"/>
    <w:rsid w:val="005268AB"/>
    <w:rsid w:val="005270FB"/>
    <w:rsid w:val="00527A20"/>
    <w:rsid w:val="005309DF"/>
    <w:rsid w:val="005345B9"/>
    <w:rsid w:val="00536735"/>
    <w:rsid w:val="00536C35"/>
    <w:rsid w:val="0055157E"/>
    <w:rsid w:val="0055213C"/>
    <w:rsid w:val="005618FF"/>
    <w:rsid w:val="00567127"/>
    <w:rsid w:val="00571990"/>
    <w:rsid w:val="00571C31"/>
    <w:rsid w:val="005728C4"/>
    <w:rsid w:val="00573869"/>
    <w:rsid w:val="00580B5F"/>
    <w:rsid w:val="005864FE"/>
    <w:rsid w:val="00590550"/>
    <w:rsid w:val="00591F8D"/>
    <w:rsid w:val="0059243F"/>
    <w:rsid w:val="00594F12"/>
    <w:rsid w:val="005A59ED"/>
    <w:rsid w:val="005A702C"/>
    <w:rsid w:val="005B29AA"/>
    <w:rsid w:val="005C2BC7"/>
    <w:rsid w:val="005C7CD0"/>
    <w:rsid w:val="005C7EB2"/>
    <w:rsid w:val="005D46E8"/>
    <w:rsid w:val="005E5038"/>
    <w:rsid w:val="005F2E46"/>
    <w:rsid w:val="005F35F8"/>
    <w:rsid w:val="005F402C"/>
    <w:rsid w:val="0060014D"/>
    <w:rsid w:val="00600A0A"/>
    <w:rsid w:val="006013C4"/>
    <w:rsid w:val="00602045"/>
    <w:rsid w:val="006049C6"/>
    <w:rsid w:val="00606B2D"/>
    <w:rsid w:val="00621849"/>
    <w:rsid w:val="0062736C"/>
    <w:rsid w:val="0063289A"/>
    <w:rsid w:val="0063316A"/>
    <w:rsid w:val="00636D15"/>
    <w:rsid w:val="00640F23"/>
    <w:rsid w:val="00641C93"/>
    <w:rsid w:val="00664203"/>
    <w:rsid w:val="006672E4"/>
    <w:rsid w:val="006709C2"/>
    <w:rsid w:val="00675311"/>
    <w:rsid w:val="00684E74"/>
    <w:rsid w:val="00694D75"/>
    <w:rsid w:val="006A302C"/>
    <w:rsid w:val="006A5CB2"/>
    <w:rsid w:val="006B1D6C"/>
    <w:rsid w:val="006B559A"/>
    <w:rsid w:val="006C25D6"/>
    <w:rsid w:val="006C3205"/>
    <w:rsid w:val="006D357F"/>
    <w:rsid w:val="006E38BE"/>
    <w:rsid w:val="006F49FB"/>
    <w:rsid w:val="006F66E5"/>
    <w:rsid w:val="006F78F0"/>
    <w:rsid w:val="00700863"/>
    <w:rsid w:val="007023E7"/>
    <w:rsid w:val="00711727"/>
    <w:rsid w:val="0071321E"/>
    <w:rsid w:val="00715907"/>
    <w:rsid w:val="00716733"/>
    <w:rsid w:val="007203A5"/>
    <w:rsid w:val="0072198B"/>
    <w:rsid w:val="00731738"/>
    <w:rsid w:val="00731826"/>
    <w:rsid w:val="00735D0A"/>
    <w:rsid w:val="00743F4E"/>
    <w:rsid w:val="0074605D"/>
    <w:rsid w:val="00750636"/>
    <w:rsid w:val="00752269"/>
    <w:rsid w:val="00756A85"/>
    <w:rsid w:val="007661AD"/>
    <w:rsid w:val="00773840"/>
    <w:rsid w:val="0077692B"/>
    <w:rsid w:val="007832F6"/>
    <w:rsid w:val="007833ED"/>
    <w:rsid w:val="00785F46"/>
    <w:rsid w:val="00791189"/>
    <w:rsid w:val="00796D92"/>
    <w:rsid w:val="007A0F96"/>
    <w:rsid w:val="007A64C3"/>
    <w:rsid w:val="007B0BCD"/>
    <w:rsid w:val="007B7B57"/>
    <w:rsid w:val="007C1F94"/>
    <w:rsid w:val="007D0562"/>
    <w:rsid w:val="007D582E"/>
    <w:rsid w:val="007D7B37"/>
    <w:rsid w:val="007F032F"/>
    <w:rsid w:val="007F6021"/>
    <w:rsid w:val="007F7ED4"/>
    <w:rsid w:val="00801E77"/>
    <w:rsid w:val="00812924"/>
    <w:rsid w:val="00824AB6"/>
    <w:rsid w:val="0082609A"/>
    <w:rsid w:val="00826865"/>
    <w:rsid w:val="0083692E"/>
    <w:rsid w:val="00841643"/>
    <w:rsid w:val="00842996"/>
    <w:rsid w:val="0084318B"/>
    <w:rsid w:val="00847E28"/>
    <w:rsid w:val="00855569"/>
    <w:rsid w:val="00857273"/>
    <w:rsid w:val="00857C78"/>
    <w:rsid w:val="00860794"/>
    <w:rsid w:val="00860DAE"/>
    <w:rsid w:val="008677C4"/>
    <w:rsid w:val="008732A4"/>
    <w:rsid w:val="0088336D"/>
    <w:rsid w:val="00890970"/>
    <w:rsid w:val="008937F0"/>
    <w:rsid w:val="00893B00"/>
    <w:rsid w:val="008A1317"/>
    <w:rsid w:val="008A55B2"/>
    <w:rsid w:val="008C09CF"/>
    <w:rsid w:val="008C7378"/>
    <w:rsid w:val="008D4EBE"/>
    <w:rsid w:val="008D6920"/>
    <w:rsid w:val="008F59DC"/>
    <w:rsid w:val="008F6E82"/>
    <w:rsid w:val="009017C0"/>
    <w:rsid w:val="009020DB"/>
    <w:rsid w:val="00906AD2"/>
    <w:rsid w:val="00910DF7"/>
    <w:rsid w:val="00911CA4"/>
    <w:rsid w:val="00915BF8"/>
    <w:rsid w:val="00920F87"/>
    <w:rsid w:val="00924110"/>
    <w:rsid w:val="0093027C"/>
    <w:rsid w:val="00943285"/>
    <w:rsid w:val="009665F8"/>
    <w:rsid w:val="009670CE"/>
    <w:rsid w:val="00967C84"/>
    <w:rsid w:val="00975DA1"/>
    <w:rsid w:val="00983D6D"/>
    <w:rsid w:val="009840A7"/>
    <w:rsid w:val="00991A91"/>
    <w:rsid w:val="00993E1A"/>
    <w:rsid w:val="00994A16"/>
    <w:rsid w:val="009A2B08"/>
    <w:rsid w:val="009B1A4B"/>
    <w:rsid w:val="009B1F53"/>
    <w:rsid w:val="009B20AC"/>
    <w:rsid w:val="009C75F2"/>
    <w:rsid w:val="009D3298"/>
    <w:rsid w:val="009E1E3D"/>
    <w:rsid w:val="009F09A7"/>
    <w:rsid w:val="00A03D11"/>
    <w:rsid w:val="00A1050A"/>
    <w:rsid w:val="00A10D77"/>
    <w:rsid w:val="00A2426E"/>
    <w:rsid w:val="00A24357"/>
    <w:rsid w:val="00A26909"/>
    <w:rsid w:val="00A37D7B"/>
    <w:rsid w:val="00A41A1E"/>
    <w:rsid w:val="00A46B97"/>
    <w:rsid w:val="00A470FF"/>
    <w:rsid w:val="00A503D7"/>
    <w:rsid w:val="00A51A86"/>
    <w:rsid w:val="00A55D62"/>
    <w:rsid w:val="00A60F01"/>
    <w:rsid w:val="00A62186"/>
    <w:rsid w:val="00A65FA7"/>
    <w:rsid w:val="00A767AB"/>
    <w:rsid w:val="00A90C38"/>
    <w:rsid w:val="00A9134A"/>
    <w:rsid w:val="00A9372C"/>
    <w:rsid w:val="00A977A1"/>
    <w:rsid w:val="00A97CE8"/>
    <w:rsid w:val="00AA1F91"/>
    <w:rsid w:val="00AA453F"/>
    <w:rsid w:val="00AA4553"/>
    <w:rsid w:val="00AA4DA9"/>
    <w:rsid w:val="00AA720B"/>
    <w:rsid w:val="00AB0139"/>
    <w:rsid w:val="00AC1F49"/>
    <w:rsid w:val="00AC223F"/>
    <w:rsid w:val="00AE62E4"/>
    <w:rsid w:val="00AE6C6F"/>
    <w:rsid w:val="00AF1A7A"/>
    <w:rsid w:val="00B01FA2"/>
    <w:rsid w:val="00B03643"/>
    <w:rsid w:val="00B06FFA"/>
    <w:rsid w:val="00B07F62"/>
    <w:rsid w:val="00B1216E"/>
    <w:rsid w:val="00B13DE6"/>
    <w:rsid w:val="00B16783"/>
    <w:rsid w:val="00B27535"/>
    <w:rsid w:val="00B41167"/>
    <w:rsid w:val="00B473D2"/>
    <w:rsid w:val="00B60F2F"/>
    <w:rsid w:val="00B63609"/>
    <w:rsid w:val="00B720C7"/>
    <w:rsid w:val="00B77AFA"/>
    <w:rsid w:val="00B83C8A"/>
    <w:rsid w:val="00B933DC"/>
    <w:rsid w:val="00B9574A"/>
    <w:rsid w:val="00BA5DDA"/>
    <w:rsid w:val="00BB425C"/>
    <w:rsid w:val="00BB72B5"/>
    <w:rsid w:val="00BC2C7F"/>
    <w:rsid w:val="00BC4282"/>
    <w:rsid w:val="00BC452E"/>
    <w:rsid w:val="00BD0ED2"/>
    <w:rsid w:val="00BD1A69"/>
    <w:rsid w:val="00BD1BAD"/>
    <w:rsid w:val="00BE1758"/>
    <w:rsid w:val="00BE1805"/>
    <w:rsid w:val="00BE2867"/>
    <w:rsid w:val="00BE39A8"/>
    <w:rsid w:val="00BE506E"/>
    <w:rsid w:val="00BE7DE7"/>
    <w:rsid w:val="00BF1E0F"/>
    <w:rsid w:val="00BF4362"/>
    <w:rsid w:val="00C00C51"/>
    <w:rsid w:val="00C0136B"/>
    <w:rsid w:val="00C05271"/>
    <w:rsid w:val="00C16D2C"/>
    <w:rsid w:val="00C24DA2"/>
    <w:rsid w:val="00C26403"/>
    <w:rsid w:val="00C30B7B"/>
    <w:rsid w:val="00C45AFC"/>
    <w:rsid w:val="00C53B72"/>
    <w:rsid w:val="00C63C41"/>
    <w:rsid w:val="00C71F37"/>
    <w:rsid w:val="00C76BE0"/>
    <w:rsid w:val="00C77656"/>
    <w:rsid w:val="00C9072D"/>
    <w:rsid w:val="00C978DC"/>
    <w:rsid w:val="00CB322A"/>
    <w:rsid w:val="00CB4150"/>
    <w:rsid w:val="00CC125E"/>
    <w:rsid w:val="00CC59C6"/>
    <w:rsid w:val="00CC6466"/>
    <w:rsid w:val="00CD0EFC"/>
    <w:rsid w:val="00CD5B8E"/>
    <w:rsid w:val="00CE4CC5"/>
    <w:rsid w:val="00CE659D"/>
    <w:rsid w:val="00CF1315"/>
    <w:rsid w:val="00D00DD2"/>
    <w:rsid w:val="00D018CD"/>
    <w:rsid w:val="00D159E1"/>
    <w:rsid w:val="00D25940"/>
    <w:rsid w:val="00D261D9"/>
    <w:rsid w:val="00D331CC"/>
    <w:rsid w:val="00D3669D"/>
    <w:rsid w:val="00D6234C"/>
    <w:rsid w:val="00D6289A"/>
    <w:rsid w:val="00D636A2"/>
    <w:rsid w:val="00D64DE8"/>
    <w:rsid w:val="00D6674D"/>
    <w:rsid w:val="00D66CD2"/>
    <w:rsid w:val="00D7050E"/>
    <w:rsid w:val="00D76FB5"/>
    <w:rsid w:val="00D85BBB"/>
    <w:rsid w:val="00D93E0F"/>
    <w:rsid w:val="00DA0922"/>
    <w:rsid w:val="00DA150F"/>
    <w:rsid w:val="00DB0450"/>
    <w:rsid w:val="00DB7372"/>
    <w:rsid w:val="00DC17CD"/>
    <w:rsid w:val="00DC376C"/>
    <w:rsid w:val="00DC5C0D"/>
    <w:rsid w:val="00DD523B"/>
    <w:rsid w:val="00DE7759"/>
    <w:rsid w:val="00DF477E"/>
    <w:rsid w:val="00E06316"/>
    <w:rsid w:val="00E106F4"/>
    <w:rsid w:val="00E114A7"/>
    <w:rsid w:val="00E12863"/>
    <w:rsid w:val="00E230AF"/>
    <w:rsid w:val="00E23CBF"/>
    <w:rsid w:val="00E240F4"/>
    <w:rsid w:val="00E30984"/>
    <w:rsid w:val="00E31D74"/>
    <w:rsid w:val="00E37CDE"/>
    <w:rsid w:val="00E524AD"/>
    <w:rsid w:val="00E556F0"/>
    <w:rsid w:val="00E55E05"/>
    <w:rsid w:val="00E56EAB"/>
    <w:rsid w:val="00E63228"/>
    <w:rsid w:val="00E660C5"/>
    <w:rsid w:val="00E82E03"/>
    <w:rsid w:val="00E86417"/>
    <w:rsid w:val="00E97EFE"/>
    <w:rsid w:val="00EA15D0"/>
    <w:rsid w:val="00EA1DDF"/>
    <w:rsid w:val="00EA5DF4"/>
    <w:rsid w:val="00EA7CDE"/>
    <w:rsid w:val="00EC01EB"/>
    <w:rsid w:val="00EC09F1"/>
    <w:rsid w:val="00EC0BF8"/>
    <w:rsid w:val="00EC5BC7"/>
    <w:rsid w:val="00ED27A6"/>
    <w:rsid w:val="00ED727F"/>
    <w:rsid w:val="00EE483A"/>
    <w:rsid w:val="00EF476C"/>
    <w:rsid w:val="00EF5AC5"/>
    <w:rsid w:val="00EF75BE"/>
    <w:rsid w:val="00F1595A"/>
    <w:rsid w:val="00F17C8B"/>
    <w:rsid w:val="00F17FCA"/>
    <w:rsid w:val="00F30740"/>
    <w:rsid w:val="00F348DF"/>
    <w:rsid w:val="00F53203"/>
    <w:rsid w:val="00F545A6"/>
    <w:rsid w:val="00F61394"/>
    <w:rsid w:val="00F63306"/>
    <w:rsid w:val="00F634C3"/>
    <w:rsid w:val="00F72922"/>
    <w:rsid w:val="00F72C97"/>
    <w:rsid w:val="00F95A82"/>
    <w:rsid w:val="00F95BFD"/>
    <w:rsid w:val="00F97347"/>
    <w:rsid w:val="00FA7281"/>
    <w:rsid w:val="00FA797A"/>
    <w:rsid w:val="00FB4677"/>
    <w:rsid w:val="00FC6C83"/>
    <w:rsid w:val="00FD4439"/>
    <w:rsid w:val="00FE1F81"/>
    <w:rsid w:val="00FE4F11"/>
    <w:rsid w:val="00FF75A5"/>
    <w:rsid w:val="0E5C239D"/>
    <w:rsid w:val="1D524D02"/>
    <w:rsid w:val="24496AA6"/>
    <w:rsid w:val="2612438C"/>
    <w:rsid w:val="267646A0"/>
    <w:rsid w:val="2A103279"/>
    <w:rsid w:val="30E85312"/>
    <w:rsid w:val="33144624"/>
    <w:rsid w:val="33526122"/>
    <w:rsid w:val="3AE136A9"/>
    <w:rsid w:val="3D8C025F"/>
    <w:rsid w:val="3DC722F7"/>
    <w:rsid w:val="45A11EC2"/>
    <w:rsid w:val="47DB138A"/>
    <w:rsid w:val="495067F0"/>
    <w:rsid w:val="4A5B70A9"/>
    <w:rsid w:val="4BE11BD5"/>
    <w:rsid w:val="4E170646"/>
    <w:rsid w:val="581A31D5"/>
    <w:rsid w:val="582347BB"/>
    <w:rsid w:val="5CF87B90"/>
    <w:rsid w:val="61A23E94"/>
    <w:rsid w:val="62A02480"/>
    <w:rsid w:val="73FE0302"/>
    <w:rsid w:val="74B81981"/>
    <w:rsid w:val="75E647EF"/>
    <w:rsid w:val="7EA2361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fillcolor="#FFFFFF" fill="t" stroke="t">
      <v:fill on="t" focussize="0,0"/>
      <v:stroke color="#000000"/>
    </o:shapedefaults>
    <o:shapelayout v:ext="edit">
      <o:idmap v:ext="edit" data="2"/>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nhideWhenUsed="0" w:uiPriority="0" w:semiHidden="0" w:name="heading 4"/>
    <w:lsdException w:qFormat="1" w:unhideWhenUsed="0" w:uiPriority="0" w:semiHidden="0" w:name="heading 5"/>
    <w:lsdException w:qFormat="1" w:unhideWhenUsed="0" w:uiPriority="0" w:semiHidden="0" w:name="heading 6"/>
    <w:lsdException w:qFormat="1" w:unhideWhenUsed="0" w:uiPriority="0" w:semiHidden="0" w:name="heading 7"/>
    <w:lsdException w:qFormat="1" w:unhideWhenUsed="0" w:uiPriority="0" w:semiHidden="0" w:name="heading 8"/>
    <w:lsdException w:qFormat="1" w:unhideWhenUsed="0" w:uiPriority="0" w:semiHidden="0" w:name="heading 9"/>
    <w:lsdException w:qFormat="1" w:unhideWhenUsed="0" w:uiPriority="0" w:name="index 1"/>
    <w:lsdException w:qFormat="1" w:unhideWhenUsed="0" w:uiPriority="0" w:name="index 2"/>
    <w:lsdException w:qFormat="1" w:unhideWhenUsed="0" w:uiPriority="0" w:name="index 3"/>
    <w:lsdException w:qFormat="1" w:unhideWhenUsed="0" w:uiPriority="0" w:name="index 4"/>
    <w:lsdException w:qFormat="1" w:unhideWhenUsed="0" w:uiPriority="0" w:name="index 5"/>
    <w:lsdException w:qFormat="1" w:unhideWhenUsed="0" w:uiPriority="0" w:name="index 6"/>
    <w:lsdException w:qFormat="1" w:unhideWhenUsed="0" w:uiPriority="0" w:name="index 7"/>
    <w:lsdException w:qFormat="1" w:unhideWhenUsed="0" w:uiPriority="0" w:name="index 8"/>
    <w:lsdException w:qFormat="1" w:unhideWhenUsed="0" w:uiPriority="0" w:name="index 9"/>
    <w:lsdException w:qFormat="1" w:unhideWhenUsed="0" w:uiPriority="39" w:semiHidden="0" w:name="toc 1"/>
    <w:lsdException w:qFormat="1" w:unhideWhenUsed="0" w:uiPriority="39" w:semiHidden="0" w:name="toc 2"/>
    <w:lsdException w:qFormat="1" w:unhideWhenUsed="0" w:uiPriority="39" w:semiHidden="0" w:name="toc 3"/>
    <w:lsdException w:qFormat="1" w:unhideWhenUsed="0" w:uiPriority="0" w:semiHidden="0" w:name="toc 4"/>
    <w:lsdException w:qFormat="1" w:unhideWhenUsed="0" w:uiPriority="0" w:semiHidden="0" w:name="toc 5"/>
    <w:lsdException w:qFormat="1" w:unhideWhenUsed="0" w:uiPriority="0" w:semiHidden="0" w:name="toc 6"/>
    <w:lsdException w:qFormat="1" w:unhideWhenUsed="0" w:uiPriority="0" w:semiHidden="0" w:name="toc 7"/>
    <w:lsdException w:qFormat="1" w:unhideWhenUsed="0" w:uiPriority="0" w:semiHidden="0" w:name="toc 8"/>
    <w:lsdException w:qFormat="1" w:unhideWhenUsed="0" w:uiPriority="0" w:semiHidden="0" w:name="toc 9"/>
    <w:lsdException w:qFormat="1" w:unhideWhenUsed="0" w:uiPriority="0" w:semiHidden="0" w:name="Normal Indent"/>
    <w:lsdException w:qFormat="1" w:unhideWhenUsed="0" w:uiPriority="0" w:semiHidden="0" w:name="footnote text"/>
    <w:lsdException w:qFormat="1" w:unhideWhenUsed="0" w:uiPriority="0" w:semiHidden="0" w:name="annotation text"/>
    <w:lsdException w:qFormat="1" w:unhideWhenUsed="0" w:uiPriority="0" w:semiHidden="0" w:name="header"/>
    <w:lsdException w:qFormat="1" w:unhideWhenUsed="0" w:uiPriority="0" w:semiHidden="0" w:name="footer"/>
    <w:lsdException w:qFormat="1" w:unhideWhenUsed="0" w:uiPriority="0" w:name="index heading"/>
    <w:lsdException w:qFormat="1" w:unhideWhenUsed="0" w:uiPriority="0" w:semiHidden="0" w:name="caption"/>
    <w:lsdException w:qFormat="1" w:unhideWhenUsed="0" w:uiPriority="0" w:name="table of figures"/>
    <w:lsdException w:qFormat="1" w:unhideWhenUsed="0" w:uiPriority="0" w:name="envelope address"/>
    <w:lsdException w:qFormat="1" w:unhideWhenUsed="0" w:uiPriority="0" w:name="envelope return"/>
    <w:lsdException w:qFormat="1" w:unhideWhenUsed="0" w:uiPriority="0" w:semiHidden="0" w:name="footnote reference"/>
    <w:lsdException w:qFormat="1" w:unhideWhenUsed="0" w:uiPriority="0" w:semiHidden="0" w:name="annotation reference"/>
    <w:lsdException w:qFormat="1" w:unhideWhenUsed="0" w:uiPriority="0" w:name="line number"/>
    <w:lsdException w:qFormat="1" w:unhideWhenUsed="0" w:uiPriority="0" w:semiHidden="0" w:name="page number"/>
    <w:lsdException w:uiPriority="99" w:name="endnote reference"/>
    <w:lsdException w:uiPriority="99" w:name="endnote text"/>
    <w:lsdException w:uiPriority="99" w:name="table of authorities"/>
    <w:lsdException w:uiPriority="99" w:name="macro"/>
    <w:lsdException w:uiPriority="99" w:name="toa heading"/>
    <w:lsdException w:qFormat="1" w:unhideWhenUsed="0" w:uiPriority="0" w:name="List"/>
    <w:lsdException w:qFormat="1" w:unhideWhenUsed="0" w:uiPriority="0" w:name="List Bullet"/>
    <w:lsdException w:qFormat="1" w:unhideWhenUsed="0" w:uiPriority="0" w:name="List Number"/>
    <w:lsdException w:qFormat="1" w:unhideWhenUsed="0" w:uiPriority="0" w:name="List 2"/>
    <w:lsdException w:qFormat="1" w:unhideWhenUsed="0" w:uiPriority="0" w:name="List 3"/>
    <w:lsdException w:qFormat="1" w:unhideWhenUsed="0" w:uiPriority="0" w:semiHidden="0" w:name="List 4"/>
    <w:lsdException w:qFormat="1" w:unhideWhenUsed="0" w:uiPriority="0" w:name="List 5"/>
    <w:lsdException w:qFormat="1" w:unhideWhenUsed="0" w:uiPriority="0" w:name="List Bullet 2"/>
    <w:lsdException w:qFormat="1" w:unhideWhenUsed="0" w:uiPriority="0" w:name="List Bullet 3"/>
    <w:lsdException w:qFormat="1" w:unhideWhenUsed="0" w:uiPriority="0" w:name="List Bullet 4"/>
    <w:lsdException w:qFormat="1" w:unhideWhenUsed="0" w:uiPriority="0" w:name="List Bullet 5"/>
    <w:lsdException w:qFormat="1" w:unhideWhenUsed="0" w:uiPriority="0" w:name="List Number 2"/>
    <w:lsdException w:qFormat="1" w:unhideWhenUsed="0" w:uiPriority="0" w:name="List Number 3"/>
    <w:lsdException w:qFormat="1" w:unhideWhenUsed="0" w:uiPriority="0" w:name="List Number 4"/>
    <w:lsdException w:qFormat="1" w:unhideWhenUsed="0" w:uiPriority="0" w:name="List Number 5"/>
    <w:lsdException w:qFormat="1" w:unhideWhenUsed="0" w:uiPriority="0" w:semiHidden="0" w:name="Title"/>
    <w:lsdException w:qFormat="1" w:unhideWhenUsed="0" w:uiPriority="0" w:name="Closing"/>
    <w:lsdException w:qFormat="1" w:unhideWhenUsed="0" w:uiPriority="0" w:name="Signature"/>
    <w:lsdException w:qFormat="1" w:uiPriority="1" w:name="Default Paragraph Font"/>
    <w:lsdException w:qFormat="1" w:unhideWhenUsed="0" w:uiPriority="0" w:semiHidden="0" w:name="Body Text"/>
    <w:lsdException w:qFormat="1" w:unhideWhenUsed="0" w:uiPriority="0" w:semiHidden="0" w:name="Body Text Indent"/>
    <w:lsdException w:qFormat="1" w:unhideWhenUsed="0" w:uiPriority="0" w:name="List Continue"/>
    <w:lsdException w:qFormat="1" w:unhideWhenUsed="0" w:uiPriority="0" w:name="List Continue 2"/>
    <w:lsdException w:qFormat="1" w:unhideWhenUsed="0" w:uiPriority="0" w:name="List Continue 3"/>
    <w:lsdException w:qFormat="1" w:unhideWhenUsed="0" w:uiPriority="0" w:name="List Continue 4"/>
    <w:lsdException w:qFormat="1" w:unhideWhenUsed="0" w:uiPriority="0" w:name="List Continue 5"/>
    <w:lsdException w:qFormat="1" w:unhideWhenUsed="0" w:uiPriority="0" w:name="Message Header"/>
    <w:lsdException w:qFormat="1" w:unhideWhenUsed="0" w:uiPriority="0" w:semiHidden="0" w:name="Subtitle"/>
    <w:lsdException w:qFormat="1" w:unhideWhenUsed="0" w:uiPriority="0" w:name="Salutation"/>
    <w:lsdException w:qFormat="1" w:unhideWhenUsed="0" w:uiPriority="0" w:semiHidden="0" w:name="Date"/>
    <w:lsdException w:qFormat="1" w:uiPriority="0" w:semiHidden="0" w:name="Body Text First Indent"/>
    <w:lsdException w:qFormat="1" w:uiPriority="0" w:semiHidden="0" w:name="Body Text First Indent 2"/>
    <w:lsdException w:qFormat="1" w:unhideWhenUsed="0" w:uiPriority="0" w:name="Note Heading"/>
    <w:lsdException w:qFormat="1" w:unhideWhenUsed="0" w:uiPriority="0" w:name="Body Text 2"/>
    <w:lsdException w:qFormat="1" w:unhideWhenUsed="0" w:uiPriority="0" w:name="Body Text 3"/>
    <w:lsdException w:qFormat="1" w:unhideWhenUsed="0" w:uiPriority="0" w:semiHidden="0" w:name="Body Text Indent 2"/>
    <w:lsdException w:qFormat="1" w:unhideWhenUsed="0" w:uiPriority="0" w:name="Body Text Indent 3"/>
    <w:lsdException w:qFormat="1" w:unhideWhenUsed="0" w:uiPriority="0" w:name="Block Text"/>
    <w:lsdException w:qFormat="1" w:unhideWhenUsed="0" w:uiPriority="99" w:semiHidden="0" w:name="Hyperlink"/>
    <w:lsdException w:qFormat="1" w:unhideWhenUsed="0" w:uiPriority="99" w:semiHidden="0" w:name="FollowedHyperlink"/>
    <w:lsdException w:qFormat="1" w:unhideWhenUsed="0" w:uiPriority="0" w:semiHidden="0" w:name="Strong"/>
    <w:lsdException w:qFormat="1" w:unhideWhenUsed="0" w:uiPriority="0" w:semiHidden="0" w:name="Emphasis"/>
    <w:lsdException w:qFormat="1" w:unhideWhenUsed="0" w:uiPriority="0" w:semiHidden="0" w:name="Document Map"/>
    <w:lsdException w:qFormat="1" w:unhideWhenUsed="0" w:uiPriority="0" w:semiHidden="0" w:name="Plain Text"/>
    <w:lsdException w:qFormat="1" w:unhideWhenUsed="0" w:uiPriority="0" w:name="E-mail Signature"/>
    <w:lsdException w:qFormat="1" w:unhideWhenUsed="0" w:uiPriority="99" w:name="Normal (Web)"/>
    <w:lsdException w:qFormat="1" w:unhideWhenUsed="0" w:uiPriority="0" w:semiHidden="0" w:name="HTML Acronym"/>
    <w:lsdException w:qFormat="1" w:unhideWhenUsed="0" w:uiPriority="0" w:semiHidden="0" w:name="HTML Address"/>
    <w:lsdException w:qFormat="1" w:unhideWhenUsed="0" w:uiPriority="0" w:semiHidden="0" w:name="HTML Cite"/>
    <w:lsdException w:qFormat="1" w:unhideWhenUsed="0" w:uiPriority="0" w:semiHidden="0" w:name="HTML Code"/>
    <w:lsdException w:qFormat="1" w:unhideWhenUsed="0" w:uiPriority="0" w:semiHidden="0" w:name="HTML Definition"/>
    <w:lsdException w:qFormat="1" w:unhideWhenUsed="0" w:uiPriority="0" w:semiHidden="0" w:name="HTML Keyboard"/>
    <w:lsdException w:qFormat="1" w:unhideWhenUsed="0" w:uiPriority="0" w:semiHidden="0" w:name="HTML Preformatted"/>
    <w:lsdException w:qFormat="1" w:unhideWhenUsed="0" w:uiPriority="0" w:semiHidden="0" w:name="HTML Sample"/>
    <w:lsdException w:qFormat="1" w:unhideWhenUsed="0" w:uiPriority="0" w:semiHidden="0" w:name="HTML Typewriter"/>
    <w:lsdException w:qFormat="1" w:unhideWhenUsed="0" w:uiPriority="0" w:semiHidden="0" w:name="HTML Variable"/>
    <w:lsdException w:qFormat="1" w:uiPriority="99" w:name="Normal Table"/>
    <w:lsdException w:qFormat="1" w:unhideWhenUsed="0" w:uiPriority="0" w:semiHidden="0" w:name="annotation subject"/>
    <w:lsdException w:qFormat="1" w:unhideWhenUsed="0" w:uiPriority="0" w:name="Table Simple 1"/>
    <w:lsdException w:qFormat="1" w:unhideWhenUsed="0" w:uiPriority="0" w:name="Table Simple 2"/>
    <w:lsdException w:qFormat="1" w:unhideWhenUsed="0" w:uiPriority="0" w:name="Table Simple 3"/>
    <w:lsdException w:qFormat="1" w:unhideWhenUsed="0" w:uiPriority="0" w:name="Table Classic 1"/>
    <w:lsdException w:qFormat="1" w:unhideWhenUsed="0" w:uiPriority="0" w:name="Table Classic 2"/>
    <w:lsdException w:qFormat="1" w:unhideWhenUsed="0" w:uiPriority="0" w:name="Table Classic 3"/>
    <w:lsdException w:qFormat="1" w:unhideWhenUsed="0" w:uiPriority="0" w:name="Table Classic 4"/>
    <w:lsdException w:qFormat="1" w:unhideWhenUsed="0" w:uiPriority="0" w:name="Table Colorful 1"/>
    <w:lsdException w:qFormat="1" w:unhideWhenUsed="0" w:uiPriority="0" w:name="Table Colorful 2"/>
    <w:lsdException w:qFormat="1" w:unhideWhenUsed="0" w:uiPriority="0" w:name="Table Colorful 3"/>
    <w:lsdException w:qFormat="1" w:unhideWhenUsed="0" w:uiPriority="0" w:name="Table Columns 1"/>
    <w:lsdException w:qFormat="1" w:unhideWhenUsed="0" w:uiPriority="0" w:name="Table Columns 2"/>
    <w:lsdException w:qFormat="1" w:unhideWhenUsed="0" w:uiPriority="0" w:name="Table Columns 3"/>
    <w:lsdException w:qFormat="1" w:unhideWhenUsed="0" w:uiPriority="0" w:name="Table Columns 4"/>
    <w:lsdException w:qFormat="1" w:unhideWhenUsed="0" w:uiPriority="0" w:name="Table Columns 5"/>
    <w:lsdException w:qFormat="1" w:unhideWhenUsed="0" w:uiPriority="0" w:name="Table Grid 1"/>
    <w:lsdException w:qFormat="1" w:unhideWhenUsed="0" w:uiPriority="0" w:name="Table Grid 2"/>
    <w:lsdException w:qFormat="1" w:unhideWhenUsed="0" w:uiPriority="0" w:name="Table Grid 3"/>
    <w:lsdException w:qFormat="1" w:unhideWhenUsed="0" w:uiPriority="0" w:name="Table Grid 4"/>
    <w:lsdException w:qFormat="1" w:unhideWhenUsed="0" w:uiPriority="0" w:name="Table Grid 5"/>
    <w:lsdException w:qFormat="1" w:unhideWhenUsed="0" w:uiPriority="0" w:name="Table Grid 6"/>
    <w:lsdException w:qFormat="1" w:unhideWhenUsed="0" w:uiPriority="0" w:name="Table Grid 7"/>
    <w:lsdException w:qFormat="1" w:unhideWhenUsed="0" w:uiPriority="0" w:name="Table Grid 8"/>
    <w:lsdException w:qFormat="1" w:unhideWhenUsed="0" w:uiPriority="0" w:name="Table List 1"/>
    <w:lsdException w:qFormat="1" w:unhideWhenUsed="0" w:uiPriority="0" w:name="Table List 2"/>
    <w:lsdException w:qFormat="1" w:unhideWhenUsed="0" w:uiPriority="0" w:name="Table List 3"/>
    <w:lsdException w:qFormat="1" w:unhideWhenUsed="0" w:uiPriority="0" w:name="Table List 4"/>
    <w:lsdException w:qFormat="1" w:unhideWhenUsed="0" w:uiPriority="0" w:name="Table List 5"/>
    <w:lsdException w:qFormat="1" w:unhideWhenUsed="0" w:uiPriority="0" w:name="Table List 6"/>
    <w:lsdException w:qFormat="1" w:unhideWhenUsed="0" w:uiPriority="0" w:name="Table List 7"/>
    <w:lsdException w:qFormat="1" w:unhideWhenUsed="0" w:uiPriority="0" w:name="Table List 8"/>
    <w:lsdException w:qFormat="1" w:uiPriority="0" w:semiHidden="0" w:name="Table 3D effects 1"/>
    <w:lsdException w:qFormat="1" w:uiPriority="0" w:semiHidden="0" w:name="Table 3D effects 2"/>
    <w:lsdException w:qFormat="1" w:uiPriority="0" w:semiHidden="0" w:name="Table 3D effects 3"/>
    <w:lsdException w:qFormat="1" w:unhideWhenUsed="0" w:uiPriority="0" w:name="Table Contemporary"/>
    <w:lsdException w:qFormat="1" w:unhideWhenUsed="0" w:uiPriority="0" w:name="Table Elegant"/>
    <w:lsdException w:qFormat="1" w:unhideWhenUsed="0" w:uiPriority="0" w:name="Table Professional"/>
    <w:lsdException w:qFormat="1" w:unhideWhenUsed="0" w:uiPriority="0" w:name="Table Subtle 1"/>
    <w:lsdException w:qFormat="1" w:unhideWhenUsed="0" w:uiPriority="0" w:name="Table Subtle 2"/>
    <w:lsdException w:qFormat="1" w:unhideWhenUsed="0" w:uiPriority="0" w:name="Table Web 1"/>
    <w:lsdException w:qFormat="1" w:unhideWhenUsed="0" w:uiPriority="0" w:name="Table Web 2"/>
    <w:lsdException w:qFormat="1" w:unhideWhenUsed="0" w:uiPriority="0" w:name="Table Web 3"/>
    <w:lsdException w:qFormat="1" w:unhideWhenUsed="0" w:uiPriority="0" w:semiHidden="0" w:name="Balloon Text"/>
    <w:lsdException w:qFormat="1" w:unhideWhenUsed="0" w:uiPriority="39" w:semiHidden="0" w:name="Table Grid"/>
    <w:lsdException w:qFormat="1" w:unhideWhenUsed="0"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2">
    <w:name w:val="heading 1"/>
    <w:basedOn w:val="1"/>
    <w:next w:val="1"/>
    <w:link w:val="146"/>
    <w:qFormat/>
    <w:uiPriority w:val="0"/>
    <w:pPr>
      <w:keepNext/>
      <w:keepLines/>
      <w:numPr>
        <w:ilvl w:val="0"/>
        <w:numId w:val="1"/>
      </w:numPr>
      <w:snapToGrid w:val="0"/>
      <w:spacing w:before="312" w:beforeLines="100" w:line="360" w:lineRule="auto"/>
      <w:outlineLvl w:val="0"/>
    </w:pPr>
    <w:rPr>
      <w:rFonts w:ascii="宋体"/>
      <w:b/>
      <w:bCs/>
      <w:kern w:val="44"/>
      <w:szCs w:val="21"/>
    </w:rPr>
  </w:style>
  <w:style w:type="paragraph" w:styleId="3">
    <w:name w:val="heading 2"/>
    <w:basedOn w:val="1"/>
    <w:next w:val="1"/>
    <w:link w:val="147"/>
    <w:qFormat/>
    <w:uiPriority w:val="0"/>
    <w:pPr>
      <w:keepLines/>
      <w:numPr>
        <w:ilvl w:val="1"/>
        <w:numId w:val="1"/>
      </w:numPr>
      <w:adjustRightInd w:val="0"/>
      <w:snapToGrid w:val="0"/>
      <w:spacing w:line="360" w:lineRule="auto"/>
      <w:outlineLvl w:val="1"/>
    </w:pPr>
    <w:rPr>
      <w:rFonts w:ascii="宋体"/>
      <w:bCs/>
      <w:szCs w:val="21"/>
    </w:rPr>
  </w:style>
  <w:style w:type="paragraph" w:styleId="4">
    <w:name w:val="heading 3"/>
    <w:basedOn w:val="1"/>
    <w:next w:val="1"/>
    <w:link w:val="148"/>
    <w:qFormat/>
    <w:uiPriority w:val="0"/>
    <w:pPr>
      <w:numPr>
        <w:ilvl w:val="2"/>
        <w:numId w:val="1"/>
      </w:numPr>
      <w:tabs>
        <w:tab w:val="left" w:pos="1560"/>
      </w:tabs>
      <w:snapToGrid w:val="0"/>
      <w:spacing w:line="360" w:lineRule="auto"/>
      <w:outlineLvl w:val="2"/>
    </w:pPr>
    <w:rPr>
      <w:rFonts w:ascii="宋体"/>
      <w:bCs/>
      <w:szCs w:val="21"/>
    </w:rPr>
  </w:style>
  <w:style w:type="paragraph" w:styleId="5">
    <w:name w:val="heading 4"/>
    <w:basedOn w:val="1"/>
    <w:next w:val="1"/>
    <w:link w:val="149"/>
    <w:qFormat/>
    <w:uiPriority w:val="0"/>
    <w:pPr>
      <w:spacing w:line="360" w:lineRule="auto"/>
      <w:outlineLvl w:val="3"/>
    </w:pPr>
    <w:rPr>
      <w:rFonts w:ascii="宋体"/>
      <w:bCs/>
      <w:kern w:val="0"/>
      <w:sz w:val="20"/>
      <w:szCs w:val="21"/>
    </w:rPr>
  </w:style>
  <w:style w:type="paragraph" w:styleId="6">
    <w:name w:val="heading 5"/>
    <w:basedOn w:val="1"/>
    <w:next w:val="1"/>
    <w:link w:val="150"/>
    <w:qFormat/>
    <w:uiPriority w:val="0"/>
    <w:pPr>
      <w:keepNext/>
      <w:keepLines/>
      <w:tabs>
        <w:tab w:val="left" w:pos="1200"/>
      </w:tabs>
      <w:adjustRightInd w:val="0"/>
      <w:spacing w:line="360" w:lineRule="auto"/>
      <w:ind w:left="1200" w:right="100" w:rightChars="100" w:hanging="360"/>
      <w:textAlignment w:val="baseline"/>
      <w:outlineLvl w:val="4"/>
    </w:pPr>
    <w:rPr>
      <w:bCs/>
      <w:kern w:val="0"/>
      <w:szCs w:val="21"/>
    </w:rPr>
  </w:style>
  <w:style w:type="paragraph" w:styleId="7">
    <w:name w:val="heading 6"/>
    <w:basedOn w:val="1"/>
    <w:next w:val="1"/>
    <w:link w:val="151"/>
    <w:qFormat/>
    <w:uiPriority w:val="0"/>
    <w:pPr>
      <w:keepNext/>
      <w:keepLines/>
      <w:spacing w:before="240" w:after="64" w:line="317" w:lineRule="auto"/>
      <w:outlineLvl w:val="5"/>
    </w:pPr>
    <w:rPr>
      <w:rFonts w:ascii="Arial" w:hAnsi="Arial" w:eastAsia="黑体"/>
      <w:b/>
      <w:bCs/>
      <w:kern w:val="0"/>
      <w:sz w:val="24"/>
    </w:rPr>
  </w:style>
  <w:style w:type="paragraph" w:styleId="8">
    <w:name w:val="heading 7"/>
    <w:basedOn w:val="1"/>
    <w:next w:val="1"/>
    <w:link w:val="152"/>
    <w:qFormat/>
    <w:uiPriority w:val="0"/>
    <w:pPr>
      <w:keepNext/>
      <w:keepLines/>
      <w:spacing w:before="240" w:after="64" w:line="317" w:lineRule="auto"/>
      <w:outlineLvl w:val="6"/>
    </w:pPr>
    <w:rPr>
      <w:b/>
      <w:bCs/>
      <w:kern w:val="0"/>
      <w:sz w:val="24"/>
    </w:rPr>
  </w:style>
  <w:style w:type="paragraph" w:styleId="9">
    <w:name w:val="heading 8"/>
    <w:basedOn w:val="1"/>
    <w:next w:val="1"/>
    <w:link w:val="153"/>
    <w:qFormat/>
    <w:uiPriority w:val="0"/>
    <w:pPr>
      <w:keepNext/>
      <w:keepLines/>
      <w:spacing w:before="240" w:after="64" w:line="317" w:lineRule="auto"/>
      <w:outlineLvl w:val="7"/>
    </w:pPr>
    <w:rPr>
      <w:rFonts w:ascii="Arial" w:hAnsi="Arial" w:eastAsia="黑体"/>
      <w:kern w:val="0"/>
      <w:sz w:val="24"/>
    </w:rPr>
  </w:style>
  <w:style w:type="paragraph" w:styleId="10">
    <w:name w:val="heading 9"/>
    <w:basedOn w:val="1"/>
    <w:next w:val="1"/>
    <w:link w:val="154"/>
    <w:qFormat/>
    <w:uiPriority w:val="0"/>
    <w:pPr>
      <w:keepNext/>
      <w:keepLines/>
      <w:spacing w:before="240" w:after="64" w:line="317" w:lineRule="auto"/>
      <w:outlineLvl w:val="8"/>
    </w:pPr>
    <w:rPr>
      <w:rFonts w:ascii="Arial" w:hAnsi="Arial" w:eastAsia="黑体"/>
      <w:kern w:val="0"/>
      <w:sz w:val="20"/>
      <w:szCs w:val="21"/>
    </w:rPr>
  </w:style>
  <w:style w:type="character" w:default="1" w:styleId="129">
    <w:name w:val="Default Paragraph Font"/>
    <w:semiHidden/>
    <w:unhideWhenUsed/>
    <w:qFormat/>
    <w:uiPriority w:val="1"/>
  </w:style>
  <w:style w:type="table" w:default="1" w:styleId="84">
    <w:name w:val="Normal Table"/>
    <w:semiHidden/>
    <w:unhideWhenUsed/>
    <w:qFormat/>
    <w:uiPriority w:val="99"/>
    <w:tblPr>
      <w:tblCellMar>
        <w:top w:w="0" w:type="dxa"/>
        <w:left w:w="108" w:type="dxa"/>
        <w:bottom w:w="0" w:type="dxa"/>
        <w:right w:w="108" w:type="dxa"/>
      </w:tblCellMar>
    </w:tblPr>
  </w:style>
  <w:style w:type="paragraph" w:styleId="11">
    <w:name w:val="List 3"/>
    <w:basedOn w:val="1"/>
    <w:semiHidden/>
    <w:qFormat/>
    <w:uiPriority w:val="0"/>
    <w:pPr>
      <w:ind w:left="1260" w:hanging="420"/>
    </w:pPr>
  </w:style>
  <w:style w:type="paragraph" w:styleId="12">
    <w:name w:val="toc 7"/>
    <w:basedOn w:val="1"/>
    <w:next w:val="1"/>
    <w:qFormat/>
    <w:uiPriority w:val="0"/>
    <w:pPr>
      <w:ind w:left="1260"/>
      <w:jc w:val="left"/>
    </w:pPr>
    <w:rPr>
      <w:rFonts w:ascii="Calibri" w:hAnsi="Calibri"/>
      <w:sz w:val="18"/>
      <w:szCs w:val="18"/>
    </w:rPr>
  </w:style>
  <w:style w:type="paragraph" w:styleId="13">
    <w:name w:val="List Number 2"/>
    <w:basedOn w:val="1"/>
    <w:semiHidden/>
    <w:qFormat/>
    <w:uiPriority w:val="0"/>
    <w:pPr>
      <w:numPr>
        <w:ilvl w:val="0"/>
        <w:numId w:val="2"/>
      </w:numPr>
    </w:pPr>
  </w:style>
  <w:style w:type="paragraph" w:styleId="14">
    <w:name w:val="Note Heading"/>
    <w:basedOn w:val="1"/>
    <w:next w:val="1"/>
    <w:link w:val="155"/>
    <w:semiHidden/>
    <w:qFormat/>
    <w:uiPriority w:val="0"/>
    <w:pPr>
      <w:jc w:val="center"/>
    </w:pPr>
  </w:style>
  <w:style w:type="paragraph" w:styleId="15">
    <w:name w:val="List Bullet 4"/>
    <w:basedOn w:val="1"/>
    <w:semiHidden/>
    <w:qFormat/>
    <w:uiPriority w:val="0"/>
    <w:pPr>
      <w:numPr>
        <w:ilvl w:val="0"/>
        <w:numId w:val="3"/>
      </w:numPr>
    </w:pPr>
  </w:style>
  <w:style w:type="paragraph" w:styleId="16">
    <w:name w:val="index 8"/>
    <w:basedOn w:val="1"/>
    <w:next w:val="1"/>
    <w:semiHidden/>
    <w:qFormat/>
    <w:uiPriority w:val="0"/>
    <w:pPr>
      <w:ind w:left="1400" w:leftChars="1400"/>
    </w:pPr>
    <w:rPr>
      <w:rFonts w:eastAsia="仿宋_GB2312"/>
      <w:sz w:val="28"/>
    </w:rPr>
  </w:style>
  <w:style w:type="paragraph" w:styleId="17">
    <w:name w:val="E-mail Signature"/>
    <w:basedOn w:val="1"/>
    <w:link w:val="156"/>
    <w:semiHidden/>
    <w:qFormat/>
    <w:uiPriority w:val="0"/>
  </w:style>
  <w:style w:type="paragraph" w:styleId="18">
    <w:name w:val="List Number"/>
    <w:basedOn w:val="1"/>
    <w:semiHidden/>
    <w:qFormat/>
    <w:uiPriority w:val="0"/>
    <w:pPr>
      <w:numPr>
        <w:ilvl w:val="0"/>
        <w:numId w:val="4"/>
      </w:numPr>
    </w:pPr>
  </w:style>
  <w:style w:type="paragraph" w:styleId="19">
    <w:name w:val="Normal Indent"/>
    <w:basedOn w:val="1"/>
    <w:link w:val="157"/>
    <w:qFormat/>
    <w:uiPriority w:val="0"/>
    <w:pPr>
      <w:spacing w:line="360" w:lineRule="auto"/>
      <w:ind w:firstLine="420" w:firstLineChars="200"/>
    </w:pPr>
    <w:rPr>
      <w:kern w:val="0"/>
      <w:sz w:val="20"/>
    </w:rPr>
  </w:style>
  <w:style w:type="paragraph" w:styleId="20">
    <w:name w:val="caption"/>
    <w:basedOn w:val="1"/>
    <w:next w:val="1"/>
    <w:link w:val="158"/>
    <w:qFormat/>
    <w:uiPriority w:val="0"/>
    <w:rPr>
      <w:rFonts w:ascii="Cambria" w:hAnsi="Cambria" w:eastAsia="黑体"/>
      <w:sz w:val="20"/>
      <w:szCs w:val="20"/>
    </w:rPr>
  </w:style>
  <w:style w:type="paragraph" w:styleId="21">
    <w:name w:val="index 5"/>
    <w:basedOn w:val="1"/>
    <w:next w:val="1"/>
    <w:semiHidden/>
    <w:qFormat/>
    <w:uiPriority w:val="0"/>
    <w:pPr>
      <w:ind w:left="800" w:leftChars="800"/>
    </w:pPr>
    <w:rPr>
      <w:rFonts w:eastAsia="仿宋_GB2312"/>
      <w:sz w:val="28"/>
    </w:rPr>
  </w:style>
  <w:style w:type="paragraph" w:styleId="22">
    <w:name w:val="List Bullet"/>
    <w:basedOn w:val="1"/>
    <w:semiHidden/>
    <w:qFormat/>
    <w:uiPriority w:val="0"/>
    <w:pPr>
      <w:numPr>
        <w:ilvl w:val="0"/>
        <w:numId w:val="5"/>
      </w:numPr>
    </w:pPr>
  </w:style>
  <w:style w:type="paragraph" w:styleId="23">
    <w:name w:val="envelope address"/>
    <w:basedOn w:val="1"/>
    <w:semiHidden/>
    <w:qFormat/>
    <w:uiPriority w:val="0"/>
    <w:pPr>
      <w:framePr w:w="7920" w:h="1980" w:hRule="exact" w:hSpace="180" w:wrap="auto" w:vAnchor="margin" w:hAnchor="page" w:xAlign="center" w:yAlign="bottom"/>
      <w:snapToGrid w:val="0"/>
      <w:ind w:left="2880"/>
    </w:pPr>
    <w:rPr>
      <w:rFonts w:ascii="Arial" w:hAnsi="Arial" w:cs="Arial"/>
      <w:sz w:val="24"/>
    </w:rPr>
  </w:style>
  <w:style w:type="paragraph" w:styleId="24">
    <w:name w:val="Document Map"/>
    <w:basedOn w:val="1"/>
    <w:link w:val="159"/>
    <w:qFormat/>
    <w:uiPriority w:val="0"/>
    <w:rPr>
      <w:rFonts w:ascii="宋体"/>
      <w:kern w:val="0"/>
      <w:sz w:val="18"/>
      <w:szCs w:val="18"/>
    </w:rPr>
  </w:style>
  <w:style w:type="paragraph" w:styleId="25">
    <w:name w:val="annotation text"/>
    <w:basedOn w:val="1"/>
    <w:link w:val="160"/>
    <w:qFormat/>
    <w:uiPriority w:val="0"/>
    <w:pPr>
      <w:jc w:val="left"/>
    </w:pPr>
    <w:rPr>
      <w:kern w:val="0"/>
      <w:sz w:val="20"/>
    </w:rPr>
  </w:style>
  <w:style w:type="paragraph" w:styleId="26">
    <w:name w:val="index 6"/>
    <w:basedOn w:val="1"/>
    <w:next w:val="1"/>
    <w:semiHidden/>
    <w:qFormat/>
    <w:uiPriority w:val="0"/>
    <w:pPr>
      <w:ind w:left="1000" w:leftChars="1000"/>
    </w:pPr>
    <w:rPr>
      <w:rFonts w:eastAsia="仿宋_GB2312"/>
      <w:sz w:val="28"/>
    </w:rPr>
  </w:style>
  <w:style w:type="paragraph" w:styleId="27">
    <w:name w:val="Salutation"/>
    <w:basedOn w:val="1"/>
    <w:next w:val="1"/>
    <w:link w:val="161"/>
    <w:semiHidden/>
    <w:qFormat/>
    <w:uiPriority w:val="0"/>
  </w:style>
  <w:style w:type="paragraph" w:styleId="28">
    <w:name w:val="Body Text 3"/>
    <w:basedOn w:val="1"/>
    <w:link w:val="162"/>
    <w:semiHidden/>
    <w:qFormat/>
    <w:uiPriority w:val="0"/>
    <w:pPr>
      <w:spacing w:after="120"/>
    </w:pPr>
    <w:rPr>
      <w:sz w:val="16"/>
      <w:szCs w:val="16"/>
    </w:rPr>
  </w:style>
  <w:style w:type="paragraph" w:styleId="29">
    <w:name w:val="Closing"/>
    <w:basedOn w:val="1"/>
    <w:link w:val="163"/>
    <w:semiHidden/>
    <w:qFormat/>
    <w:uiPriority w:val="0"/>
    <w:pPr>
      <w:ind w:left="4320"/>
    </w:pPr>
  </w:style>
  <w:style w:type="paragraph" w:styleId="30">
    <w:name w:val="List Bullet 3"/>
    <w:basedOn w:val="1"/>
    <w:semiHidden/>
    <w:qFormat/>
    <w:uiPriority w:val="0"/>
    <w:pPr>
      <w:numPr>
        <w:ilvl w:val="0"/>
        <w:numId w:val="6"/>
      </w:numPr>
    </w:pPr>
  </w:style>
  <w:style w:type="paragraph" w:styleId="31">
    <w:name w:val="Body Text"/>
    <w:basedOn w:val="1"/>
    <w:link w:val="164"/>
    <w:qFormat/>
    <w:uiPriority w:val="0"/>
    <w:pPr>
      <w:spacing w:after="120"/>
    </w:pPr>
  </w:style>
  <w:style w:type="paragraph" w:styleId="32">
    <w:name w:val="Body Text Indent"/>
    <w:basedOn w:val="1"/>
    <w:link w:val="165"/>
    <w:qFormat/>
    <w:uiPriority w:val="0"/>
    <w:pPr>
      <w:spacing w:after="120"/>
      <w:ind w:left="420"/>
    </w:pPr>
  </w:style>
  <w:style w:type="paragraph" w:styleId="33">
    <w:name w:val="List Number 3"/>
    <w:basedOn w:val="1"/>
    <w:semiHidden/>
    <w:qFormat/>
    <w:uiPriority w:val="0"/>
    <w:pPr>
      <w:numPr>
        <w:ilvl w:val="0"/>
        <w:numId w:val="7"/>
      </w:numPr>
    </w:pPr>
  </w:style>
  <w:style w:type="paragraph" w:styleId="34">
    <w:name w:val="List 2"/>
    <w:basedOn w:val="1"/>
    <w:semiHidden/>
    <w:qFormat/>
    <w:uiPriority w:val="0"/>
    <w:pPr>
      <w:ind w:left="840" w:hanging="420"/>
    </w:pPr>
  </w:style>
  <w:style w:type="paragraph" w:styleId="35">
    <w:name w:val="List Continue"/>
    <w:basedOn w:val="1"/>
    <w:semiHidden/>
    <w:qFormat/>
    <w:uiPriority w:val="0"/>
    <w:pPr>
      <w:spacing w:after="120"/>
      <w:ind w:left="420"/>
    </w:pPr>
  </w:style>
  <w:style w:type="paragraph" w:styleId="36">
    <w:name w:val="Block Text"/>
    <w:basedOn w:val="1"/>
    <w:semiHidden/>
    <w:qFormat/>
    <w:uiPriority w:val="0"/>
    <w:pPr>
      <w:spacing w:after="120"/>
      <w:ind w:left="1440" w:right="1440"/>
    </w:pPr>
  </w:style>
  <w:style w:type="paragraph" w:styleId="37">
    <w:name w:val="List Bullet 2"/>
    <w:basedOn w:val="1"/>
    <w:semiHidden/>
    <w:qFormat/>
    <w:uiPriority w:val="0"/>
    <w:pPr>
      <w:numPr>
        <w:ilvl w:val="0"/>
        <w:numId w:val="8"/>
      </w:numPr>
    </w:pPr>
  </w:style>
  <w:style w:type="paragraph" w:styleId="38">
    <w:name w:val="HTML Address"/>
    <w:basedOn w:val="1"/>
    <w:link w:val="166"/>
    <w:qFormat/>
    <w:uiPriority w:val="0"/>
    <w:rPr>
      <w:i/>
      <w:iCs/>
      <w:kern w:val="0"/>
      <w:sz w:val="20"/>
    </w:rPr>
  </w:style>
  <w:style w:type="paragraph" w:styleId="39">
    <w:name w:val="index 4"/>
    <w:basedOn w:val="1"/>
    <w:next w:val="1"/>
    <w:semiHidden/>
    <w:qFormat/>
    <w:uiPriority w:val="0"/>
    <w:pPr>
      <w:ind w:left="600" w:leftChars="600"/>
    </w:pPr>
    <w:rPr>
      <w:rFonts w:eastAsia="仿宋_GB2312"/>
      <w:sz w:val="28"/>
    </w:rPr>
  </w:style>
  <w:style w:type="paragraph" w:styleId="40">
    <w:name w:val="toc 5"/>
    <w:basedOn w:val="1"/>
    <w:next w:val="1"/>
    <w:qFormat/>
    <w:uiPriority w:val="0"/>
    <w:pPr>
      <w:ind w:left="840"/>
      <w:jc w:val="left"/>
    </w:pPr>
    <w:rPr>
      <w:rFonts w:ascii="Calibri" w:hAnsi="Calibri"/>
      <w:sz w:val="18"/>
      <w:szCs w:val="18"/>
    </w:rPr>
  </w:style>
  <w:style w:type="paragraph" w:styleId="41">
    <w:name w:val="toc 3"/>
    <w:basedOn w:val="1"/>
    <w:next w:val="1"/>
    <w:qFormat/>
    <w:uiPriority w:val="39"/>
    <w:pPr>
      <w:tabs>
        <w:tab w:val="left" w:pos="1620"/>
        <w:tab w:val="right" w:leader="dot" w:pos="8296"/>
      </w:tabs>
    </w:pPr>
  </w:style>
  <w:style w:type="paragraph" w:styleId="42">
    <w:name w:val="Plain Text"/>
    <w:basedOn w:val="1"/>
    <w:link w:val="167"/>
    <w:qFormat/>
    <w:uiPriority w:val="0"/>
    <w:rPr>
      <w:rFonts w:ascii="宋体" w:hAnsi="Courier New"/>
      <w:kern w:val="0"/>
      <w:sz w:val="20"/>
    </w:rPr>
  </w:style>
  <w:style w:type="paragraph" w:styleId="43">
    <w:name w:val="List Bullet 5"/>
    <w:basedOn w:val="1"/>
    <w:semiHidden/>
    <w:qFormat/>
    <w:uiPriority w:val="0"/>
    <w:pPr>
      <w:numPr>
        <w:ilvl w:val="0"/>
        <w:numId w:val="9"/>
      </w:numPr>
    </w:pPr>
  </w:style>
  <w:style w:type="paragraph" w:styleId="44">
    <w:name w:val="List Number 4"/>
    <w:basedOn w:val="1"/>
    <w:semiHidden/>
    <w:qFormat/>
    <w:uiPriority w:val="0"/>
    <w:pPr>
      <w:numPr>
        <w:ilvl w:val="0"/>
        <w:numId w:val="10"/>
      </w:numPr>
    </w:pPr>
  </w:style>
  <w:style w:type="paragraph" w:styleId="45">
    <w:name w:val="toc 8"/>
    <w:basedOn w:val="1"/>
    <w:next w:val="1"/>
    <w:qFormat/>
    <w:uiPriority w:val="0"/>
    <w:pPr>
      <w:ind w:left="1470"/>
      <w:jc w:val="left"/>
    </w:pPr>
    <w:rPr>
      <w:rFonts w:ascii="Calibri" w:hAnsi="Calibri"/>
      <w:sz w:val="18"/>
      <w:szCs w:val="18"/>
    </w:rPr>
  </w:style>
  <w:style w:type="paragraph" w:styleId="46">
    <w:name w:val="index 3"/>
    <w:basedOn w:val="1"/>
    <w:next w:val="1"/>
    <w:semiHidden/>
    <w:qFormat/>
    <w:uiPriority w:val="0"/>
    <w:pPr>
      <w:ind w:left="400" w:leftChars="400"/>
    </w:pPr>
    <w:rPr>
      <w:rFonts w:eastAsia="仿宋_GB2312"/>
      <w:sz w:val="28"/>
    </w:rPr>
  </w:style>
  <w:style w:type="paragraph" w:styleId="47">
    <w:name w:val="Date"/>
    <w:basedOn w:val="1"/>
    <w:next w:val="1"/>
    <w:link w:val="168"/>
    <w:qFormat/>
    <w:uiPriority w:val="0"/>
    <w:pPr>
      <w:adjustRightInd w:val="0"/>
      <w:spacing w:line="300" w:lineRule="auto"/>
      <w:textAlignment w:val="baseline"/>
    </w:pPr>
    <w:rPr>
      <w:rFonts w:ascii="仿宋_GB2312" w:eastAsia="仿宋_GB2312"/>
      <w:kern w:val="0"/>
      <w:sz w:val="24"/>
      <w:szCs w:val="20"/>
    </w:rPr>
  </w:style>
  <w:style w:type="paragraph" w:styleId="48">
    <w:name w:val="Body Text Indent 2"/>
    <w:basedOn w:val="1"/>
    <w:link w:val="169"/>
    <w:qFormat/>
    <w:uiPriority w:val="0"/>
    <w:pPr>
      <w:adjustRightInd w:val="0"/>
      <w:spacing w:before="120" w:line="300" w:lineRule="auto"/>
      <w:ind w:firstLine="480"/>
      <w:jc w:val="left"/>
      <w:textAlignment w:val="baseline"/>
    </w:pPr>
    <w:rPr>
      <w:rFonts w:eastAsia="仿宋_GB2312"/>
      <w:kern w:val="0"/>
      <w:sz w:val="28"/>
      <w:szCs w:val="20"/>
    </w:rPr>
  </w:style>
  <w:style w:type="paragraph" w:styleId="49">
    <w:name w:val="List Continue 5"/>
    <w:basedOn w:val="1"/>
    <w:semiHidden/>
    <w:qFormat/>
    <w:uiPriority w:val="0"/>
    <w:pPr>
      <w:spacing w:after="120"/>
      <w:ind w:left="2100"/>
    </w:pPr>
  </w:style>
  <w:style w:type="paragraph" w:styleId="50">
    <w:name w:val="Balloon Text"/>
    <w:basedOn w:val="1"/>
    <w:link w:val="170"/>
    <w:qFormat/>
    <w:uiPriority w:val="0"/>
    <w:rPr>
      <w:kern w:val="0"/>
      <w:sz w:val="18"/>
      <w:szCs w:val="18"/>
    </w:rPr>
  </w:style>
  <w:style w:type="paragraph" w:styleId="51">
    <w:name w:val="footer"/>
    <w:basedOn w:val="1"/>
    <w:link w:val="171"/>
    <w:qFormat/>
    <w:uiPriority w:val="0"/>
    <w:pPr>
      <w:tabs>
        <w:tab w:val="center" w:pos="4153"/>
        <w:tab w:val="right" w:pos="8306"/>
      </w:tabs>
      <w:snapToGrid w:val="0"/>
      <w:jc w:val="center"/>
    </w:pPr>
    <w:rPr>
      <w:kern w:val="0"/>
      <w:sz w:val="18"/>
      <w:szCs w:val="18"/>
    </w:rPr>
  </w:style>
  <w:style w:type="paragraph" w:styleId="52">
    <w:name w:val="envelope return"/>
    <w:basedOn w:val="1"/>
    <w:semiHidden/>
    <w:qFormat/>
    <w:uiPriority w:val="0"/>
    <w:pPr>
      <w:snapToGrid w:val="0"/>
    </w:pPr>
    <w:rPr>
      <w:rFonts w:ascii="Arial" w:hAnsi="Arial" w:cs="Arial"/>
    </w:rPr>
  </w:style>
  <w:style w:type="paragraph" w:styleId="53">
    <w:name w:val="header"/>
    <w:basedOn w:val="1"/>
    <w:link w:val="172"/>
    <w:qFormat/>
    <w:uiPriority w:val="0"/>
    <w:pPr>
      <w:pBdr>
        <w:bottom w:val="single" w:color="auto" w:sz="6" w:space="1"/>
      </w:pBdr>
      <w:tabs>
        <w:tab w:val="center" w:pos="4153"/>
        <w:tab w:val="right" w:pos="8306"/>
      </w:tabs>
      <w:snapToGrid w:val="0"/>
      <w:jc w:val="center"/>
    </w:pPr>
    <w:rPr>
      <w:kern w:val="0"/>
      <w:sz w:val="18"/>
      <w:szCs w:val="18"/>
    </w:rPr>
  </w:style>
  <w:style w:type="paragraph" w:styleId="54">
    <w:name w:val="Signature"/>
    <w:basedOn w:val="1"/>
    <w:link w:val="173"/>
    <w:semiHidden/>
    <w:qFormat/>
    <w:uiPriority w:val="0"/>
    <w:pPr>
      <w:ind w:left="4320"/>
    </w:pPr>
  </w:style>
  <w:style w:type="paragraph" w:styleId="55">
    <w:name w:val="toc 1"/>
    <w:basedOn w:val="1"/>
    <w:next w:val="1"/>
    <w:qFormat/>
    <w:uiPriority w:val="39"/>
    <w:pPr>
      <w:spacing w:before="120" w:after="120"/>
      <w:jc w:val="left"/>
    </w:pPr>
    <w:rPr>
      <w:b/>
      <w:bCs/>
      <w:caps/>
      <w:sz w:val="20"/>
      <w:szCs w:val="20"/>
    </w:rPr>
  </w:style>
  <w:style w:type="paragraph" w:styleId="56">
    <w:name w:val="List Continue 4"/>
    <w:basedOn w:val="1"/>
    <w:semiHidden/>
    <w:qFormat/>
    <w:uiPriority w:val="0"/>
    <w:pPr>
      <w:spacing w:after="120"/>
      <w:ind w:left="1680"/>
    </w:pPr>
  </w:style>
  <w:style w:type="paragraph" w:styleId="57">
    <w:name w:val="toc 4"/>
    <w:basedOn w:val="1"/>
    <w:next w:val="1"/>
    <w:qFormat/>
    <w:uiPriority w:val="0"/>
    <w:pPr>
      <w:ind w:left="1260" w:leftChars="600"/>
    </w:pPr>
  </w:style>
  <w:style w:type="paragraph" w:styleId="58">
    <w:name w:val="index heading"/>
    <w:basedOn w:val="1"/>
    <w:next w:val="59"/>
    <w:semiHidden/>
    <w:qFormat/>
    <w:uiPriority w:val="0"/>
    <w:rPr>
      <w:rFonts w:eastAsia="仿宋_GB2312"/>
      <w:sz w:val="28"/>
    </w:rPr>
  </w:style>
  <w:style w:type="paragraph" w:styleId="59">
    <w:name w:val="index 1"/>
    <w:basedOn w:val="1"/>
    <w:next w:val="1"/>
    <w:semiHidden/>
    <w:qFormat/>
    <w:uiPriority w:val="0"/>
    <w:rPr>
      <w:rFonts w:eastAsia="仿宋_GB2312"/>
      <w:sz w:val="28"/>
    </w:rPr>
  </w:style>
  <w:style w:type="paragraph" w:styleId="60">
    <w:name w:val="Subtitle"/>
    <w:basedOn w:val="1"/>
    <w:link w:val="174"/>
    <w:qFormat/>
    <w:uiPriority w:val="0"/>
    <w:pPr>
      <w:spacing w:before="240" w:after="60" w:line="312" w:lineRule="auto"/>
      <w:jc w:val="center"/>
      <w:outlineLvl w:val="1"/>
    </w:pPr>
    <w:rPr>
      <w:rFonts w:ascii="Arial" w:hAnsi="Arial"/>
      <w:b/>
      <w:bCs/>
      <w:kern w:val="28"/>
      <w:sz w:val="32"/>
      <w:szCs w:val="32"/>
    </w:rPr>
  </w:style>
  <w:style w:type="paragraph" w:styleId="61">
    <w:name w:val="List Number 5"/>
    <w:basedOn w:val="1"/>
    <w:semiHidden/>
    <w:qFormat/>
    <w:uiPriority w:val="0"/>
    <w:pPr>
      <w:numPr>
        <w:ilvl w:val="0"/>
        <w:numId w:val="11"/>
      </w:numPr>
    </w:pPr>
  </w:style>
  <w:style w:type="paragraph" w:styleId="62">
    <w:name w:val="List"/>
    <w:basedOn w:val="1"/>
    <w:semiHidden/>
    <w:qFormat/>
    <w:uiPriority w:val="0"/>
    <w:pPr>
      <w:ind w:left="420" w:hanging="420"/>
    </w:pPr>
  </w:style>
  <w:style w:type="paragraph" w:styleId="63">
    <w:name w:val="footnote text"/>
    <w:basedOn w:val="1"/>
    <w:link w:val="175"/>
    <w:qFormat/>
    <w:uiPriority w:val="0"/>
    <w:pPr>
      <w:snapToGrid w:val="0"/>
      <w:jc w:val="left"/>
    </w:pPr>
    <w:rPr>
      <w:kern w:val="0"/>
      <w:sz w:val="18"/>
      <w:szCs w:val="18"/>
    </w:rPr>
  </w:style>
  <w:style w:type="paragraph" w:styleId="64">
    <w:name w:val="toc 6"/>
    <w:basedOn w:val="1"/>
    <w:next w:val="1"/>
    <w:qFormat/>
    <w:uiPriority w:val="0"/>
    <w:pPr>
      <w:ind w:left="1050"/>
      <w:jc w:val="left"/>
    </w:pPr>
    <w:rPr>
      <w:rFonts w:ascii="Calibri" w:hAnsi="Calibri"/>
      <w:sz w:val="18"/>
      <w:szCs w:val="18"/>
    </w:rPr>
  </w:style>
  <w:style w:type="paragraph" w:styleId="65">
    <w:name w:val="List 5"/>
    <w:basedOn w:val="1"/>
    <w:semiHidden/>
    <w:qFormat/>
    <w:uiPriority w:val="0"/>
    <w:pPr>
      <w:ind w:left="2100" w:hanging="420"/>
    </w:pPr>
  </w:style>
  <w:style w:type="paragraph" w:styleId="66">
    <w:name w:val="Body Text Indent 3"/>
    <w:basedOn w:val="1"/>
    <w:link w:val="176"/>
    <w:semiHidden/>
    <w:qFormat/>
    <w:uiPriority w:val="0"/>
    <w:pPr>
      <w:spacing w:after="120"/>
      <w:ind w:left="420"/>
    </w:pPr>
    <w:rPr>
      <w:sz w:val="16"/>
      <w:szCs w:val="16"/>
    </w:rPr>
  </w:style>
  <w:style w:type="paragraph" w:styleId="67">
    <w:name w:val="index 7"/>
    <w:basedOn w:val="1"/>
    <w:next w:val="1"/>
    <w:semiHidden/>
    <w:qFormat/>
    <w:uiPriority w:val="0"/>
    <w:pPr>
      <w:ind w:left="1200" w:leftChars="1200"/>
    </w:pPr>
    <w:rPr>
      <w:rFonts w:eastAsia="仿宋_GB2312"/>
      <w:sz w:val="28"/>
    </w:rPr>
  </w:style>
  <w:style w:type="paragraph" w:styleId="68">
    <w:name w:val="index 9"/>
    <w:basedOn w:val="1"/>
    <w:next w:val="1"/>
    <w:semiHidden/>
    <w:qFormat/>
    <w:uiPriority w:val="0"/>
    <w:pPr>
      <w:ind w:left="1600" w:leftChars="1600"/>
    </w:pPr>
    <w:rPr>
      <w:rFonts w:eastAsia="仿宋_GB2312"/>
      <w:sz w:val="28"/>
    </w:rPr>
  </w:style>
  <w:style w:type="paragraph" w:styleId="69">
    <w:name w:val="table of figures"/>
    <w:basedOn w:val="1"/>
    <w:next w:val="1"/>
    <w:semiHidden/>
    <w:qFormat/>
    <w:uiPriority w:val="0"/>
    <w:pPr>
      <w:ind w:left="200" w:leftChars="200" w:hanging="200" w:hangingChars="200"/>
    </w:pPr>
  </w:style>
  <w:style w:type="paragraph" w:styleId="70">
    <w:name w:val="toc 2"/>
    <w:basedOn w:val="1"/>
    <w:next w:val="1"/>
    <w:qFormat/>
    <w:uiPriority w:val="39"/>
    <w:pPr>
      <w:tabs>
        <w:tab w:val="left" w:pos="900"/>
        <w:tab w:val="right" w:leader="dot" w:pos="8296"/>
      </w:tabs>
      <w:ind w:left="420" w:leftChars="200"/>
    </w:pPr>
    <w:rPr>
      <w:rFonts w:ascii="黑体" w:hAnsi="黑体" w:eastAsia="黑体"/>
    </w:rPr>
  </w:style>
  <w:style w:type="paragraph" w:styleId="71">
    <w:name w:val="toc 9"/>
    <w:basedOn w:val="1"/>
    <w:next w:val="1"/>
    <w:qFormat/>
    <w:uiPriority w:val="0"/>
    <w:pPr>
      <w:ind w:left="1680"/>
      <w:jc w:val="left"/>
    </w:pPr>
    <w:rPr>
      <w:rFonts w:ascii="Calibri" w:hAnsi="Calibri"/>
      <w:sz w:val="18"/>
      <w:szCs w:val="18"/>
    </w:rPr>
  </w:style>
  <w:style w:type="paragraph" w:styleId="72">
    <w:name w:val="Body Text 2"/>
    <w:basedOn w:val="1"/>
    <w:link w:val="177"/>
    <w:semiHidden/>
    <w:qFormat/>
    <w:uiPriority w:val="0"/>
    <w:pPr>
      <w:spacing w:after="120" w:line="480" w:lineRule="auto"/>
    </w:pPr>
  </w:style>
  <w:style w:type="paragraph" w:styleId="73">
    <w:name w:val="List 4"/>
    <w:basedOn w:val="1"/>
    <w:qFormat/>
    <w:uiPriority w:val="0"/>
    <w:pPr>
      <w:ind w:left="100" w:leftChars="600" w:hanging="200" w:hangingChars="200"/>
    </w:pPr>
  </w:style>
  <w:style w:type="paragraph" w:styleId="74">
    <w:name w:val="List Continue 2"/>
    <w:basedOn w:val="1"/>
    <w:semiHidden/>
    <w:qFormat/>
    <w:uiPriority w:val="0"/>
    <w:pPr>
      <w:spacing w:after="120"/>
      <w:ind w:left="840"/>
    </w:pPr>
  </w:style>
  <w:style w:type="paragraph" w:styleId="75">
    <w:name w:val="Message Header"/>
    <w:basedOn w:val="1"/>
    <w:link w:val="178"/>
    <w:semiHidden/>
    <w:qFormat/>
    <w:uiPriority w:val="0"/>
    <w:pPr>
      <w:pBdr>
        <w:top w:val="single" w:color="auto" w:sz="6" w:space="1"/>
        <w:left w:val="single" w:color="auto" w:sz="6" w:space="1"/>
        <w:bottom w:val="single" w:color="auto" w:sz="6" w:space="1"/>
        <w:right w:val="single" w:color="auto" w:sz="6" w:space="1"/>
      </w:pBdr>
      <w:shd w:val="pct20" w:color="auto" w:fill="auto"/>
      <w:ind w:left="1080" w:hanging="1080"/>
    </w:pPr>
    <w:rPr>
      <w:rFonts w:ascii="Arial" w:hAnsi="Arial"/>
      <w:sz w:val="24"/>
    </w:rPr>
  </w:style>
  <w:style w:type="paragraph" w:styleId="76">
    <w:name w:val="HTML Preformatted"/>
    <w:basedOn w:val="1"/>
    <w:link w:val="179"/>
    <w:qFormat/>
    <w:uiPriority w:val="0"/>
    <w:rPr>
      <w:rFonts w:ascii="Courier New" w:hAnsi="Courier New"/>
      <w:kern w:val="0"/>
      <w:sz w:val="20"/>
      <w:szCs w:val="20"/>
    </w:rPr>
  </w:style>
  <w:style w:type="paragraph" w:styleId="77">
    <w:name w:val="Normal (Web)"/>
    <w:basedOn w:val="1"/>
    <w:semiHidden/>
    <w:qFormat/>
    <w:uiPriority w:val="99"/>
    <w:rPr>
      <w:sz w:val="24"/>
    </w:rPr>
  </w:style>
  <w:style w:type="paragraph" w:styleId="78">
    <w:name w:val="List Continue 3"/>
    <w:basedOn w:val="1"/>
    <w:semiHidden/>
    <w:qFormat/>
    <w:uiPriority w:val="0"/>
    <w:pPr>
      <w:spacing w:after="120"/>
      <w:ind w:left="1260"/>
    </w:pPr>
  </w:style>
  <w:style w:type="paragraph" w:styleId="79">
    <w:name w:val="index 2"/>
    <w:basedOn w:val="1"/>
    <w:next w:val="1"/>
    <w:semiHidden/>
    <w:qFormat/>
    <w:uiPriority w:val="0"/>
    <w:pPr>
      <w:ind w:left="200" w:leftChars="200"/>
    </w:pPr>
    <w:rPr>
      <w:rFonts w:eastAsia="仿宋_GB2312"/>
      <w:sz w:val="28"/>
    </w:rPr>
  </w:style>
  <w:style w:type="paragraph" w:styleId="80">
    <w:name w:val="Title"/>
    <w:basedOn w:val="1"/>
    <w:link w:val="180"/>
    <w:qFormat/>
    <w:uiPriority w:val="0"/>
    <w:pPr>
      <w:spacing w:before="240" w:after="60"/>
      <w:jc w:val="center"/>
      <w:outlineLvl w:val="0"/>
    </w:pPr>
    <w:rPr>
      <w:rFonts w:ascii="Arial" w:hAnsi="Arial"/>
      <w:b/>
      <w:bCs/>
      <w:kern w:val="0"/>
      <w:sz w:val="32"/>
      <w:szCs w:val="32"/>
    </w:rPr>
  </w:style>
  <w:style w:type="paragraph" w:styleId="81">
    <w:name w:val="annotation subject"/>
    <w:basedOn w:val="25"/>
    <w:next w:val="25"/>
    <w:link w:val="181"/>
    <w:qFormat/>
    <w:uiPriority w:val="0"/>
    <w:rPr>
      <w:b/>
      <w:bCs/>
    </w:rPr>
  </w:style>
  <w:style w:type="paragraph" w:styleId="82">
    <w:name w:val="Body Text First Indent"/>
    <w:basedOn w:val="31"/>
    <w:link w:val="182"/>
    <w:unhideWhenUsed/>
    <w:qFormat/>
    <w:uiPriority w:val="0"/>
    <w:pPr>
      <w:ind w:firstLine="420" w:firstLineChars="100"/>
    </w:pPr>
  </w:style>
  <w:style w:type="paragraph" w:styleId="83">
    <w:name w:val="Body Text First Indent 2"/>
    <w:basedOn w:val="32"/>
    <w:link w:val="183"/>
    <w:unhideWhenUsed/>
    <w:qFormat/>
    <w:uiPriority w:val="0"/>
    <w:pPr>
      <w:ind w:left="200" w:leftChars="200" w:firstLine="420" w:firstLineChars="200"/>
    </w:pPr>
  </w:style>
  <w:style w:type="table" w:styleId="85">
    <w:name w:val="Table Grid"/>
    <w:basedOn w:val="84"/>
    <w:qFormat/>
    <w:uiPriority w:val="39"/>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styleId="86">
    <w:name w:val="Table Theme"/>
    <w:basedOn w:val="84"/>
    <w:semiHidden/>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styleId="87">
    <w:name w:val="Table Colorful 1"/>
    <w:basedOn w:val="84"/>
    <w:semiHidden/>
    <w:qFormat/>
    <w:uiPriority w:val="0"/>
    <w:pPr>
      <w:widowControl w:val="0"/>
      <w:jc w:val="both"/>
    </w:pPr>
    <w:rPr>
      <w:color w:val="FFFFFF"/>
    </w:rPr>
    <w:tblPr>
      <w:tblBorders>
        <w:top w:val="single" w:color="008080" w:sz="12" w:space="0"/>
        <w:left w:val="single" w:color="008080" w:sz="12" w:space="0"/>
        <w:bottom w:val="single" w:color="008080" w:sz="12" w:space="0"/>
        <w:right w:val="single" w:color="008080" w:sz="12" w:space="0"/>
        <w:insideH w:val="single" w:color="00FFFF" w:sz="6" w:space="0"/>
      </w:tblBorders>
    </w:tblPr>
    <w:tcPr>
      <w:shd w:val="solid" w:color="008080" w:fill="FFFFFF"/>
    </w:tcPr>
    <w:tblStylePr w:type="firstRow">
      <w:rPr>
        <w:b/>
        <w:bCs/>
        <w:i/>
        <w:iCs/>
      </w:rPr>
      <w:tblPr/>
      <w:tcPr>
        <w:tcBorders>
          <w:top w:val="nil"/>
          <w:left w:val="nil"/>
          <w:bottom w:val="nil"/>
          <w:right w:val="nil"/>
          <w:insideH w:val="nil"/>
          <w:insideV w:val="nil"/>
          <w:tl2br w:val="nil"/>
          <w:tr2bl w:val="nil"/>
        </w:tcBorders>
        <w:shd w:val="solid" w:color="000000" w:fill="FFFFFF"/>
      </w:tcPr>
    </w:tblStylePr>
    <w:tblStylePr w:type="firstCol">
      <w:rPr>
        <w:b/>
        <w:bCs/>
        <w:i/>
        <w:iCs/>
      </w:rPr>
      <w:tblPr/>
      <w:tcPr>
        <w:tcBorders>
          <w:top w:val="nil"/>
          <w:left w:val="nil"/>
          <w:bottom w:val="nil"/>
          <w:right w:val="nil"/>
          <w:insideH w:val="nil"/>
          <w:insideV w:val="nil"/>
          <w:tl2br w:val="nil"/>
          <w:tr2bl w:val="nil"/>
        </w:tcBorders>
        <w:shd w:val="solid" w:color="000080" w:fill="FFFFFF"/>
      </w:tcPr>
    </w:tblStylePr>
    <w:tblStylePr w:type="nwCell">
      <w:tblPr/>
      <w:tcPr>
        <w:tcBorders>
          <w:top w:val="nil"/>
          <w:left w:val="nil"/>
          <w:bottom w:val="nil"/>
          <w:right w:val="nil"/>
          <w:insideH w:val="nil"/>
          <w:insideV w:val="nil"/>
          <w:tl2br w:val="nil"/>
          <w:tr2bl w:val="nil"/>
        </w:tcBorders>
        <w:shd w:val="solid" w:color="000000" w:fill="FFFFFF"/>
      </w:tcPr>
    </w:tblStylePr>
    <w:tblStylePr w:type="swCell">
      <w:rPr>
        <w:b/>
        <w:bCs/>
        <w:i w:val="0"/>
        <w:iCs w:val="0"/>
      </w:rPr>
      <w:tblPr/>
      <w:tcPr>
        <w:tcBorders>
          <w:top w:val="nil"/>
          <w:left w:val="nil"/>
          <w:bottom w:val="nil"/>
          <w:right w:val="nil"/>
          <w:insideH w:val="nil"/>
          <w:insideV w:val="nil"/>
          <w:tl2br w:val="nil"/>
          <w:tr2bl w:val="nil"/>
        </w:tcBorders>
      </w:tcPr>
    </w:tblStylePr>
  </w:style>
  <w:style w:type="table" w:styleId="88">
    <w:name w:val="Table Colorful 2"/>
    <w:basedOn w:val="84"/>
    <w:semiHidden/>
    <w:qFormat/>
    <w:uiPriority w:val="0"/>
    <w:pPr>
      <w:widowControl w:val="0"/>
      <w:jc w:val="both"/>
    </w:pPr>
    <w:tblPr>
      <w:tblBorders>
        <w:bottom w:val="single" w:color="000000" w:sz="12" w:space="0"/>
      </w:tblBorders>
    </w:tblPr>
    <w:tcPr>
      <w:shd w:val="pct20" w:color="FFFF00" w:fill="FFFFFF"/>
    </w:tcPr>
    <w:tblStylePr w:type="firstRow">
      <w:rPr>
        <w:b/>
        <w:bCs/>
        <w:i/>
        <w:iCs/>
        <w:color w:val="FFFFFF"/>
      </w:rPr>
      <w:tblPr/>
      <w:tcPr>
        <w:tcBorders>
          <w:top w:val="nil"/>
          <w:left w:val="single" w:color="000000" w:sz="12" w:space="0"/>
          <w:bottom w:val="nil"/>
          <w:right w:val="nil"/>
          <w:insideH w:val="nil"/>
          <w:insideV w:val="nil"/>
          <w:tl2br w:val="nil"/>
          <w:tr2bl w:val="nil"/>
        </w:tcBorders>
        <w:shd w:val="solid" w:color="800000" w:fill="FFFFFF"/>
      </w:tcPr>
    </w:tblStylePr>
    <w:tblStylePr w:type="firstCol">
      <w:rPr>
        <w:b/>
        <w:bCs/>
        <w:i/>
        <w:iCs/>
      </w:rPr>
      <w:tblPr/>
      <w:tcPr>
        <w:tcBorders>
          <w:top w:val="nil"/>
          <w:left w:val="nil"/>
          <w:bottom w:val="nil"/>
          <w:right w:val="nil"/>
          <w:insideH w:val="nil"/>
          <w:insideV w:val="nil"/>
          <w:tl2br w:val="nil"/>
          <w:tr2bl w:val="nil"/>
        </w:tcBorders>
      </w:tcPr>
    </w:tblStylePr>
    <w:tblStylePr w:type="lastCol">
      <w:tblPr/>
      <w:tcPr>
        <w:tcBorders>
          <w:top w:val="nil"/>
          <w:left w:val="nil"/>
          <w:bottom w:val="nil"/>
          <w:right w:val="nil"/>
          <w:insideH w:val="nil"/>
          <w:insideV w:val="nil"/>
          <w:tl2br w:val="nil"/>
          <w:tr2bl w:val="nil"/>
        </w:tcBorders>
        <w:shd w:val="solid" w:color="C0C0C0" w:fill="FFFFFF"/>
      </w:tcPr>
    </w:tblStylePr>
    <w:tblStylePr w:type="swCell">
      <w:rPr>
        <w:b/>
        <w:bCs/>
        <w:i w:val="0"/>
        <w:iCs w:val="0"/>
      </w:rPr>
      <w:tblPr/>
      <w:tcPr>
        <w:tcBorders>
          <w:top w:val="nil"/>
          <w:left w:val="nil"/>
          <w:bottom w:val="nil"/>
          <w:right w:val="nil"/>
          <w:insideH w:val="nil"/>
          <w:insideV w:val="nil"/>
          <w:tl2br w:val="nil"/>
          <w:tr2bl w:val="nil"/>
        </w:tcBorders>
      </w:tcPr>
    </w:tblStylePr>
  </w:style>
  <w:style w:type="table" w:styleId="89">
    <w:name w:val="Table Colorful 3"/>
    <w:basedOn w:val="84"/>
    <w:semiHidden/>
    <w:qFormat/>
    <w:uiPriority w:val="0"/>
    <w:pPr>
      <w:widowControl w:val="0"/>
      <w:jc w:val="both"/>
    </w:pPr>
    <w:tblPr>
      <w:tblBorders>
        <w:top w:val="single" w:color="000000" w:sz="18" w:space="0"/>
        <w:left w:val="single" w:color="000000" w:sz="18" w:space="0"/>
        <w:bottom w:val="single" w:color="000000" w:sz="18" w:space="0"/>
        <w:right w:val="single" w:color="000000" w:sz="18" w:space="0"/>
        <w:insideH w:val="single" w:color="C0C0C0" w:sz="6" w:space="0"/>
      </w:tblBorders>
    </w:tblPr>
    <w:tcPr>
      <w:shd w:val="pct25" w:color="008080" w:fill="FFFFFF"/>
    </w:tcPr>
    <w:tblStylePr w:type="firstRow">
      <w:tblPr/>
      <w:tcPr>
        <w:tcBorders>
          <w:top w:val="nil"/>
          <w:left w:val="single" w:color="000000" w:sz="6" w:space="0"/>
          <w:bottom w:val="nil"/>
          <w:right w:val="nil"/>
          <w:insideH w:val="nil"/>
          <w:insideV w:val="nil"/>
          <w:tl2br w:val="nil"/>
          <w:tr2bl w:val="nil"/>
        </w:tcBorders>
        <w:shd w:val="solid" w:color="008080" w:fill="FFFFFF"/>
      </w:tcPr>
    </w:tblStylePr>
    <w:tblStylePr w:type="firstCol">
      <w:tblPr/>
      <w:tcPr>
        <w:tcBorders>
          <w:top w:val="nil"/>
          <w:left w:val="nil"/>
          <w:bottom w:val="single" w:color="000000" w:sz="36" w:space="0"/>
          <w:right w:val="single" w:color="000000" w:sz="6" w:space="0"/>
          <w:insideH w:val="nil"/>
          <w:insideV w:val="nil"/>
          <w:tl2br w:val="nil"/>
          <w:tr2bl w:val="nil"/>
        </w:tcBorders>
        <w:shd w:val="solid" w:color="008080" w:fill="FFFFFF"/>
      </w:tcPr>
    </w:tblStylePr>
    <w:tblStylePr w:type="nwCell">
      <w:rPr>
        <w:b/>
        <w:bCs/>
        <w:color w:val="FFFFFF"/>
      </w:rPr>
      <w:tblPr/>
      <w:tcPr>
        <w:tcBorders>
          <w:top w:val="nil"/>
          <w:left w:val="nil"/>
          <w:bottom w:val="nil"/>
          <w:right w:val="nil"/>
          <w:insideH w:val="nil"/>
          <w:insideV w:val="nil"/>
          <w:tl2br w:val="nil"/>
          <w:tr2bl w:val="nil"/>
        </w:tcBorders>
        <w:shd w:val="solid" w:color="000000" w:fill="FFFFFF"/>
      </w:tcPr>
    </w:tblStylePr>
  </w:style>
  <w:style w:type="table" w:styleId="90">
    <w:name w:val="Table Elegant"/>
    <w:basedOn w:val="84"/>
    <w:semiHidden/>
    <w:qFormat/>
    <w:uiPriority w:val="0"/>
    <w:pPr>
      <w:widowControl w:val="0"/>
      <w:jc w:val="both"/>
    </w:pPr>
    <w:tblPr>
      <w:tblBorders>
        <w:top w:val="double" w:color="000000" w:sz="6" w:space="0"/>
        <w:left w:val="double" w:color="000000" w:sz="6" w:space="0"/>
        <w:bottom w:val="double" w:color="000000" w:sz="6" w:space="0"/>
        <w:right w:val="double" w:color="000000" w:sz="6" w:space="0"/>
        <w:insideH w:val="single" w:color="000000" w:sz="6" w:space="0"/>
        <w:insideV w:val="single" w:color="000000" w:sz="6" w:space="0"/>
      </w:tblBorders>
    </w:tblPr>
    <w:tcPr>
      <w:shd w:val="clear" w:color="auto" w:fill="auto"/>
    </w:tcPr>
    <w:tblStylePr w:type="firstRow">
      <w:rPr>
        <w:caps/>
        <w:color w:val="auto"/>
      </w:rPr>
      <w:tblPr/>
      <w:tcPr>
        <w:tcBorders>
          <w:top w:val="nil"/>
          <w:left w:val="nil"/>
          <w:bottom w:val="nil"/>
          <w:right w:val="nil"/>
          <w:insideH w:val="nil"/>
          <w:insideV w:val="nil"/>
          <w:tl2br w:val="nil"/>
          <w:tr2bl w:val="nil"/>
        </w:tcBorders>
      </w:tcPr>
    </w:tblStylePr>
  </w:style>
  <w:style w:type="table" w:styleId="91">
    <w:name w:val="Table Classic 1"/>
    <w:basedOn w:val="84"/>
    <w:semiHidden/>
    <w:qFormat/>
    <w:uiPriority w:val="0"/>
    <w:pPr>
      <w:widowControl w:val="0"/>
      <w:jc w:val="both"/>
    </w:pPr>
    <w:tblPr>
      <w:tblBorders>
        <w:top w:val="single" w:color="000000" w:sz="12" w:space="0"/>
        <w:bottom w:val="single" w:color="000000" w:sz="12" w:space="0"/>
      </w:tblBorders>
    </w:tblPr>
    <w:tcPr>
      <w:shd w:val="clear" w:color="auto" w:fill="auto"/>
    </w:tcPr>
    <w:tblStylePr w:type="firstRow">
      <w:rPr>
        <w:i/>
        <w:iCs/>
      </w:rPr>
      <w:tblPr/>
      <w:tcPr>
        <w:tcBorders>
          <w:top w:val="nil"/>
          <w:left w:val="single" w:color="000000" w:sz="6" w:space="0"/>
          <w:bottom w:val="nil"/>
          <w:right w:val="nil"/>
          <w:insideH w:val="nil"/>
          <w:insideV w:val="nil"/>
          <w:tl2br w:val="nil"/>
          <w:tr2bl w:val="nil"/>
        </w:tcBorders>
      </w:tcPr>
    </w:tblStylePr>
    <w:tblStylePr w:type="lastRow">
      <w:rPr>
        <w:color w:val="auto"/>
      </w:rPr>
      <w:tblPr/>
      <w:tcPr>
        <w:tcBorders>
          <w:top w:val="single" w:color="000000" w:sz="6" w:space="0"/>
          <w:left w:val="nil"/>
          <w:bottom w:val="nil"/>
          <w:right w:val="nil"/>
          <w:insideH w:val="nil"/>
          <w:insideV w:val="nil"/>
          <w:tl2br w:val="nil"/>
          <w:tr2bl w:val="nil"/>
        </w:tcBorders>
      </w:tcPr>
    </w:tblStylePr>
    <w:tblStylePr w:type="firstCol">
      <w:tblPr/>
      <w:tcPr>
        <w:tcBorders>
          <w:top w:val="nil"/>
          <w:left w:val="nil"/>
          <w:bottom w:val="nil"/>
          <w:right w:val="single" w:color="000000" w:sz="6" w:space="0"/>
          <w:insideH w:val="nil"/>
          <w:insideV w:val="nil"/>
          <w:tl2br w:val="nil"/>
          <w:tr2bl w:val="nil"/>
        </w:tcBorders>
      </w:tcPr>
    </w:tblStylePr>
    <w:tblStylePr w:type="neCell">
      <w:rPr>
        <w:b/>
        <w:bCs/>
        <w:i w:val="0"/>
        <w:iCs w:val="0"/>
      </w:rPr>
      <w:tblPr/>
      <w:tcPr>
        <w:tcBorders>
          <w:top w:val="nil"/>
          <w:left w:val="nil"/>
          <w:bottom w:val="nil"/>
          <w:right w:val="nil"/>
          <w:insideH w:val="nil"/>
          <w:insideV w:val="nil"/>
          <w:tl2br w:val="nil"/>
          <w:tr2bl w:val="nil"/>
        </w:tcBorders>
      </w:tcPr>
    </w:tblStylePr>
    <w:tblStylePr w:type="swCell">
      <w:rPr>
        <w:b/>
        <w:bCs/>
      </w:rPr>
      <w:tblPr/>
      <w:tcPr>
        <w:tcBorders>
          <w:top w:val="nil"/>
          <w:left w:val="nil"/>
          <w:bottom w:val="nil"/>
          <w:right w:val="nil"/>
          <w:insideH w:val="nil"/>
          <w:insideV w:val="nil"/>
          <w:tl2br w:val="nil"/>
          <w:tr2bl w:val="nil"/>
        </w:tcBorders>
      </w:tcPr>
    </w:tblStylePr>
  </w:style>
  <w:style w:type="table" w:styleId="92">
    <w:name w:val="Table Classic 2"/>
    <w:basedOn w:val="84"/>
    <w:semiHidden/>
    <w:qFormat/>
    <w:uiPriority w:val="0"/>
    <w:pPr>
      <w:widowControl w:val="0"/>
      <w:jc w:val="both"/>
    </w:pPr>
    <w:tblPr>
      <w:tblBorders>
        <w:top w:val="single" w:color="000000" w:sz="12" w:space="0"/>
        <w:bottom w:val="single" w:color="000000" w:sz="12" w:space="0"/>
      </w:tblBorders>
    </w:tblPr>
    <w:tcPr>
      <w:shd w:val="clear" w:color="auto" w:fill="auto"/>
    </w:tcPr>
    <w:tblStylePr w:type="firstRow">
      <w:rPr>
        <w:color w:val="FFFFFF"/>
      </w:rPr>
      <w:tblPr/>
      <w:tcPr>
        <w:tcBorders>
          <w:top w:val="nil"/>
          <w:left w:val="single" w:color="000000" w:sz="6" w:space="0"/>
          <w:bottom w:val="nil"/>
          <w:right w:val="nil"/>
          <w:insideH w:val="nil"/>
          <w:insideV w:val="nil"/>
          <w:tl2br w:val="nil"/>
          <w:tr2bl w:val="nil"/>
        </w:tcBorders>
        <w:shd w:val="solid" w:color="800080" w:fill="FFFFFF"/>
      </w:tcPr>
    </w:tblStylePr>
    <w:tblStylePr w:type="lastRow">
      <w:tblPr/>
      <w:tcPr>
        <w:tcBorders>
          <w:top w:val="single" w:color="000000" w:sz="6" w:space="0"/>
          <w:left w:val="nil"/>
          <w:bottom w:val="nil"/>
          <w:right w:val="nil"/>
          <w:insideH w:val="nil"/>
          <w:insideV w:val="nil"/>
          <w:tl2br w:val="nil"/>
          <w:tr2bl w:val="nil"/>
        </w:tcBorders>
      </w:tcPr>
    </w:tblStylePr>
    <w:tblStylePr w:type="firstCol">
      <w:rPr>
        <w:b/>
        <w:bCs/>
      </w:rPr>
      <w:tblPr/>
      <w:tcPr>
        <w:tcBorders>
          <w:top w:val="nil"/>
          <w:left w:val="nil"/>
          <w:bottom w:val="nil"/>
          <w:right w:val="nil"/>
          <w:insideH w:val="nil"/>
          <w:insideV w:val="nil"/>
          <w:tl2br w:val="nil"/>
          <w:tr2bl w:val="nil"/>
        </w:tcBorders>
        <w:shd w:val="solid" w:color="C0C0C0" w:fill="FFFFFF"/>
      </w:tcPr>
    </w:tblStylePr>
    <w:tblStylePr w:type="neCell">
      <w:rPr>
        <w:b/>
        <w:bCs/>
      </w:rPr>
      <w:tblPr/>
      <w:tcPr>
        <w:tcBorders>
          <w:top w:val="nil"/>
          <w:left w:val="nil"/>
          <w:bottom w:val="nil"/>
          <w:right w:val="nil"/>
          <w:insideH w:val="nil"/>
          <w:insideV w:val="nil"/>
          <w:tl2br w:val="nil"/>
          <w:tr2bl w:val="nil"/>
        </w:tcBorders>
      </w:tcPr>
    </w:tblStylePr>
    <w:tblStylePr w:type="nwCell">
      <w:tblPr/>
      <w:tcPr>
        <w:tcBorders>
          <w:top w:val="nil"/>
          <w:left w:val="nil"/>
          <w:bottom w:val="nil"/>
          <w:right w:val="nil"/>
          <w:insideH w:val="nil"/>
          <w:insideV w:val="nil"/>
          <w:tl2br w:val="nil"/>
          <w:tr2bl w:val="nil"/>
        </w:tcBorders>
        <w:shd w:val="solid" w:color="800080" w:fill="FFFFFF"/>
      </w:tcPr>
    </w:tblStylePr>
    <w:tblStylePr w:type="swCell">
      <w:rPr>
        <w:color w:val="000080"/>
      </w:rPr>
      <w:tblPr/>
      <w:tcPr>
        <w:tcBorders>
          <w:top w:val="nil"/>
          <w:left w:val="nil"/>
          <w:bottom w:val="nil"/>
          <w:right w:val="nil"/>
          <w:insideH w:val="nil"/>
          <w:insideV w:val="nil"/>
          <w:tl2br w:val="nil"/>
          <w:tr2bl w:val="nil"/>
        </w:tcBorders>
      </w:tcPr>
    </w:tblStylePr>
  </w:style>
  <w:style w:type="table" w:styleId="93">
    <w:name w:val="Table Classic 3"/>
    <w:basedOn w:val="84"/>
    <w:semiHidden/>
    <w:qFormat/>
    <w:uiPriority w:val="0"/>
    <w:pPr>
      <w:widowControl w:val="0"/>
      <w:jc w:val="both"/>
    </w:pPr>
    <w:rPr>
      <w:color w:val="000080"/>
    </w:rPr>
    <w:tblPr>
      <w:tblBorders>
        <w:top w:val="single" w:color="000000" w:sz="12" w:space="0"/>
        <w:left w:val="single" w:color="000000" w:sz="12" w:space="0"/>
        <w:bottom w:val="single" w:color="000000" w:sz="12" w:space="0"/>
        <w:right w:val="single" w:color="000000" w:sz="12" w:space="0"/>
      </w:tblBorders>
    </w:tblPr>
    <w:tcPr>
      <w:shd w:val="solid" w:color="C0C0C0" w:fill="FFFFFF"/>
    </w:tcPr>
    <w:tblStylePr w:type="firstRow">
      <w:rPr>
        <w:b/>
        <w:bCs/>
        <w:i/>
        <w:iCs/>
        <w:color w:val="FFFFFF"/>
      </w:rPr>
      <w:tblPr/>
      <w:tcPr>
        <w:tcBorders>
          <w:top w:val="nil"/>
          <w:left w:val="single" w:color="000000" w:sz="6" w:space="0"/>
          <w:bottom w:val="nil"/>
          <w:right w:val="nil"/>
          <w:insideH w:val="nil"/>
          <w:insideV w:val="nil"/>
          <w:tl2br w:val="nil"/>
          <w:tr2bl w:val="nil"/>
        </w:tcBorders>
        <w:shd w:val="solid" w:color="000080" w:fill="FFFFFF"/>
      </w:tcPr>
    </w:tblStylePr>
    <w:tblStylePr w:type="lastRow">
      <w:rPr>
        <w:color w:val="000080"/>
      </w:rPr>
      <w:tblPr/>
      <w:tcPr>
        <w:tcBorders>
          <w:top w:val="single" w:color="000000" w:sz="12" w:space="0"/>
          <w:left w:val="nil"/>
          <w:bottom w:val="nil"/>
          <w:right w:val="nil"/>
          <w:insideH w:val="nil"/>
          <w:insideV w:val="nil"/>
          <w:tl2br w:val="nil"/>
          <w:tr2bl w:val="nil"/>
        </w:tcBorders>
        <w:shd w:val="solid" w:color="FFFFFF" w:fill="FFFFFF"/>
      </w:tcPr>
    </w:tblStylePr>
    <w:tblStylePr w:type="firstCol">
      <w:rPr>
        <w:b/>
        <w:bCs/>
        <w:color w:val="000000"/>
      </w:rPr>
      <w:tblPr/>
      <w:tcPr>
        <w:tcBorders>
          <w:top w:val="nil"/>
          <w:left w:val="nil"/>
          <w:bottom w:val="nil"/>
          <w:right w:val="nil"/>
          <w:insideH w:val="nil"/>
          <w:insideV w:val="nil"/>
          <w:tl2br w:val="nil"/>
          <w:tr2bl w:val="nil"/>
        </w:tcBorders>
      </w:tcPr>
    </w:tblStylePr>
  </w:style>
  <w:style w:type="table" w:styleId="94">
    <w:name w:val="Table Classic 4"/>
    <w:basedOn w:val="84"/>
    <w:semiHidden/>
    <w:qFormat/>
    <w:uiPriority w:val="0"/>
    <w:pPr>
      <w:widowControl w:val="0"/>
      <w:jc w:val="both"/>
    </w:pPr>
    <w:tblPr>
      <w:tblBorders>
        <w:top w:val="single" w:color="000000" w:sz="12" w:space="0"/>
        <w:left w:val="single" w:color="000000" w:sz="6" w:space="0"/>
        <w:bottom w:val="single" w:color="000000" w:sz="12" w:space="0"/>
        <w:right w:val="single" w:color="000000" w:sz="6" w:space="0"/>
      </w:tblBorders>
    </w:tblPr>
    <w:tcPr>
      <w:shd w:val="clear" w:color="auto" w:fill="auto"/>
    </w:tcPr>
    <w:tblStylePr w:type="firstRow">
      <w:rPr>
        <w:b/>
        <w:bCs/>
        <w:i/>
        <w:iCs/>
        <w:color w:val="FFFFFF"/>
      </w:rPr>
      <w:tblPr/>
      <w:tcPr>
        <w:tcBorders>
          <w:top w:val="nil"/>
          <w:left w:val="single" w:color="000000" w:sz="6" w:space="0"/>
          <w:bottom w:val="nil"/>
          <w:right w:val="nil"/>
          <w:insideH w:val="nil"/>
          <w:insideV w:val="nil"/>
          <w:tl2br w:val="nil"/>
          <w:tr2bl w:val="nil"/>
        </w:tcBorders>
        <w:shd w:val="pct50" w:color="000080" w:fill="FFFFFF"/>
      </w:tcPr>
    </w:tblStylePr>
    <w:tblStylePr w:type="lastRow">
      <w:rPr>
        <w:color w:val="000080"/>
      </w:rPr>
      <w:tblPr/>
      <w:tcPr>
        <w:tcBorders>
          <w:top w:val="nil"/>
          <w:left w:val="single" w:color="000000" w:sz="6" w:space="0"/>
          <w:bottom w:val="nil"/>
          <w:right w:val="nil"/>
          <w:insideH w:val="nil"/>
          <w:insideV w:val="nil"/>
          <w:tl2br w:val="nil"/>
          <w:tr2bl w:val="nil"/>
        </w:tcBorders>
        <w:shd w:val="pct50" w:color="000000" w:fill="FFFFFF"/>
      </w:tcPr>
    </w:tblStylePr>
    <w:tblStylePr w:type="firstCol">
      <w:rPr>
        <w:b/>
        <w:bCs/>
      </w:rPr>
      <w:tblPr/>
      <w:tcPr>
        <w:tcBorders>
          <w:top w:val="nil"/>
          <w:left w:val="nil"/>
          <w:bottom w:val="nil"/>
          <w:right w:val="nil"/>
          <w:insideH w:val="nil"/>
          <w:insideV w:val="nil"/>
          <w:tl2br w:val="nil"/>
          <w:tr2bl w:val="nil"/>
        </w:tcBorders>
      </w:tcPr>
    </w:tblStylePr>
    <w:tblStylePr w:type="nwCell">
      <w:rPr>
        <w:b/>
        <w:bCs/>
      </w:rPr>
      <w:tblPr/>
      <w:tcPr>
        <w:tcBorders>
          <w:top w:val="nil"/>
          <w:left w:val="nil"/>
          <w:bottom w:val="nil"/>
          <w:right w:val="nil"/>
          <w:insideH w:val="nil"/>
          <w:insideV w:val="nil"/>
          <w:tl2br w:val="nil"/>
          <w:tr2bl w:val="nil"/>
        </w:tcBorders>
      </w:tcPr>
    </w:tblStylePr>
    <w:tblStylePr w:type="swCell">
      <w:rPr>
        <w:color w:val="000080"/>
      </w:rPr>
      <w:tblPr/>
      <w:tcPr>
        <w:tcBorders>
          <w:top w:val="nil"/>
          <w:left w:val="nil"/>
          <w:bottom w:val="nil"/>
          <w:right w:val="nil"/>
          <w:insideH w:val="nil"/>
          <w:insideV w:val="nil"/>
          <w:tl2br w:val="nil"/>
          <w:tr2bl w:val="nil"/>
        </w:tcBorders>
      </w:tcPr>
    </w:tblStylePr>
  </w:style>
  <w:style w:type="table" w:styleId="95">
    <w:name w:val="Table Simple 1"/>
    <w:basedOn w:val="84"/>
    <w:semiHidden/>
    <w:qFormat/>
    <w:uiPriority w:val="0"/>
    <w:pPr>
      <w:widowControl w:val="0"/>
      <w:jc w:val="both"/>
    </w:pPr>
    <w:tblPr>
      <w:tblBorders>
        <w:top w:val="single" w:color="008000" w:sz="12" w:space="0"/>
        <w:bottom w:val="single" w:color="008000" w:sz="12" w:space="0"/>
      </w:tblBorders>
    </w:tblPr>
    <w:tcPr>
      <w:shd w:val="clear" w:color="auto" w:fill="auto"/>
    </w:tcPr>
    <w:tblStylePr w:type="firstRow">
      <w:tblPr/>
      <w:tcPr>
        <w:tcBorders>
          <w:top w:val="nil"/>
          <w:left w:val="single" w:color="008000" w:sz="6" w:space="0"/>
          <w:bottom w:val="nil"/>
          <w:right w:val="nil"/>
          <w:insideH w:val="nil"/>
          <w:insideV w:val="nil"/>
          <w:tl2br w:val="nil"/>
          <w:tr2bl w:val="nil"/>
        </w:tcBorders>
      </w:tcPr>
    </w:tblStylePr>
    <w:tblStylePr w:type="lastRow">
      <w:tblPr/>
      <w:tcPr>
        <w:tcBorders>
          <w:top w:val="single" w:color="008000" w:sz="6" w:space="0"/>
          <w:left w:val="nil"/>
          <w:bottom w:val="nil"/>
          <w:right w:val="nil"/>
          <w:insideH w:val="nil"/>
          <w:insideV w:val="nil"/>
          <w:tl2br w:val="nil"/>
          <w:tr2bl w:val="nil"/>
        </w:tcBorders>
      </w:tcPr>
    </w:tblStylePr>
  </w:style>
  <w:style w:type="table" w:styleId="96">
    <w:name w:val="Table Simple 2"/>
    <w:basedOn w:val="84"/>
    <w:semiHidden/>
    <w:qFormat/>
    <w:uiPriority w:val="0"/>
    <w:pPr>
      <w:widowControl w:val="0"/>
      <w:jc w:val="both"/>
    </w:pPr>
    <w:tblPr/>
    <w:tblStylePr w:type="firstRow">
      <w:rPr>
        <w:b/>
        <w:bCs/>
      </w:rPr>
      <w:tblPr/>
      <w:tcPr>
        <w:tcBorders>
          <w:top w:val="nil"/>
          <w:left w:val="single" w:color="000000" w:sz="12" w:space="0"/>
          <w:bottom w:val="nil"/>
          <w:right w:val="nil"/>
          <w:insideH w:val="nil"/>
          <w:insideV w:val="nil"/>
          <w:tl2br w:val="nil"/>
          <w:tr2bl w:val="nil"/>
        </w:tcBorders>
      </w:tcPr>
    </w:tblStylePr>
    <w:tblStylePr w:type="lastRow">
      <w:rPr>
        <w:b/>
        <w:bCs/>
        <w:color w:val="auto"/>
      </w:rPr>
      <w:tblPr/>
      <w:tcPr>
        <w:tcBorders>
          <w:top w:val="single" w:color="000000" w:sz="6" w:space="0"/>
          <w:left w:val="nil"/>
          <w:bottom w:val="nil"/>
          <w:right w:val="nil"/>
          <w:insideH w:val="nil"/>
          <w:insideV w:val="nil"/>
          <w:tl2br w:val="nil"/>
          <w:tr2bl w:val="nil"/>
        </w:tcBorders>
      </w:tcPr>
    </w:tblStylePr>
    <w:tblStylePr w:type="firstCol">
      <w:rPr>
        <w:b/>
        <w:bCs/>
      </w:rPr>
      <w:tblPr/>
      <w:tcPr>
        <w:tcBorders>
          <w:top w:val="nil"/>
          <w:left w:val="nil"/>
          <w:bottom w:val="nil"/>
          <w:right w:val="single" w:color="000000" w:sz="12" w:space="0"/>
          <w:insideH w:val="nil"/>
          <w:insideV w:val="nil"/>
          <w:tl2br w:val="nil"/>
          <w:tr2bl w:val="nil"/>
        </w:tcBorders>
      </w:tcPr>
    </w:tblStylePr>
    <w:tblStylePr w:type="lastCol">
      <w:rPr>
        <w:b/>
        <w:bCs/>
      </w:rPr>
      <w:tblPr/>
      <w:tcPr>
        <w:tcBorders>
          <w:top w:val="nil"/>
          <w:left w:val="nil"/>
          <w:bottom w:val="single" w:color="000000" w:sz="6" w:space="0"/>
          <w:right w:val="nil"/>
          <w:insideH w:val="nil"/>
          <w:insideV w:val="nil"/>
          <w:tl2br w:val="nil"/>
          <w:tr2bl w:val="nil"/>
        </w:tcBorders>
      </w:tcPr>
    </w:tblStylePr>
    <w:tblStylePr w:type="neCell">
      <w:rPr>
        <w:b/>
        <w:bCs/>
      </w:rPr>
      <w:tblPr/>
      <w:tcPr>
        <w:tcBorders>
          <w:top w:val="nil"/>
          <w:left w:val="nil"/>
          <w:bottom w:val="nil"/>
          <w:right w:val="nil"/>
          <w:insideH w:val="nil"/>
          <w:insideV w:val="nil"/>
          <w:tl2br w:val="nil"/>
          <w:tr2bl w:val="nil"/>
        </w:tcBorders>
      </w:tcPr>
    </w:tblStylePr>
    <w:tblStylePr w:type="swCell">
      <w:rPr>
        <w:b/>
        <w:bCs/>
      </w:rPr>
      <w:tblPr/>
      <w:tcPr>
        <w:tcBorders>
          <w:top w:val="nil"/>
          <w:left w:val="nil"/>
          <w:bottom w:val="nil"/>
          <w:right w:val="nil"/>
          <w:insideH w:val="nil"/>
          <w:insideV w:val="nil"/>
          <w:tl2br w:val="nil"/>
          <w:tr2bl w:val="nil"/>
        </w:tcBorders>
      </w:tcPr>
    </w:tblStylePr>
  </w:style>
  <w:style w:type="table" w:styleId="97">
    <w:name w:val="Table Simple 3"/>
    <w:basedOn w:val="84"/>
    <w:semiHidden/>
    <w:qFormat/>
    <w:uiPriority w:val="0"/>
    <w:pPr>
      <w:widowControl w:val="0"/>
      <w:jc w:val="both"/>
    </w:pPr>
    <w:tblPr>
      <w:tblBorders>
        <w:top w:val="single" w:color="000000" w:sz="12" w:space="0"/>
        <w:left w:val="single" w:color="000000" w:sz="12" w:space="0"/>
        <w:bottom w:val="single" w:color="000000" w:sz="12" w:space="0"/>
        <w:right w:val="single" w:color="000000" w:sz="12" w:space="0"/>
      </w:tblBorders>
    </w:tblPr>
    <w:tcPr>
      <w:shd w:val="clear" w:color="auto" w:fill="auto"/>
    </w:tcPr>
    <w:tblStylePr w:type="firstRow">
      <w:rPr>
        <w:b/>
        <w:bCs/>
        <w:color w:val="FFFFFF"/>
      </w:rPr>
      <w:tblPr/>
      <w:tcPr>
        <w:tcBorders>
          <w:top w:val="nil"/>
          <w:left w:val="nil"/>
          <w:bottom w:val="nil"/>
          <w:right w:val="nil"/>
          <w:insideH w:val="nil"/>
          <w:insideV w:val="nil"/>
          <w:tl2br w:val="nil"/>
          <w:tr2bl w:val="nil"/>
        </w:tcBorders>
        <w:shd w:val="solid" w:color="000000" w:fill="FFFFFF"/>
      </w:tcPr>
    </w:tblStylePr>
  </w:style>
  <w:style w:type="table" w:styleId="98">
    <w:name w:val="Table Subtle 1"/>
    <w:basedOn w:val="84"/>
    <w:semiHidden/>
    <w:qFormat/>
    <w:uiPriority w:val="0"/>
    <w:pPr>
      <w:widowControl w:val="0"/>
      <w:jc w:val="both"/>
    </w:pPr>
    <w:tblPr>
      <w:tblStyleRowBandSize w:val="1"/>
    </w:tblPr>
    <w:tblStylePr w:type="firstRow">
      <w:tblPr/>
      <w:tcPr>
        <w:tcBorders>
          <w:top w:val="single" w:color="000000" w:sz="6" w:space="0"/>
          <w:left w:val="single" w:color="000000" w:sz="12" w:space="0"/>
          <w:bottom w:val="nil"/>
          <w:right w:val="nil"/>
          <w:insideH w:val="nil"/>
          <w:insideV w:val="nil"/>
          <w:tl2br w:val="nil"/>
          <w:tr2bl w:val="nil"/>
        </w:tcBorders>
      </w:tcPr>
    </w:tblStylePr>
    <w:tblStylePr w:type="lastRow">
      <w:tblPr/>
      <w:tcPr>
        <w:tcBorders>
          <w:top w:val="single" w:color="000000" w:sz="12" w:space="0"/>
          <w:left w:val="nil"/>
          <w:bottom w:val="nil"/>
          <w:right w:val="nil"/>
          <w:insideH w:val="nil"/>
          <w:insideV w:val="nil"/>
          <w:tl2br w:val="nil"/>
          <w:tr2bl w:val="nil"/>
        </w:tcBorders>
        <w:shd w:val="pct25" w:color="800080" w:fill="FFFFFF"/>
      </w:tcPr>
    </w:tblStylePr>
    <w:tblStylePr w:type="firstCol">
      <w:tblPr/>
      <w:tcPr>
        <w:tcBorders>
          <w:top w:val="nil"/>
          <w:left w:val="nil"/>
          <w:bottom w:val="nil"/>
          <w:right w:val="single" w:color="000000" w:sz="12" w:space="0"/>
          <w:insideH w:val="nil"/>
          <w:insideV w:val="nil"/>
          <w:tl2br w:val="nil"/>
          <w:tr2bl w:val="nil"/>
        </w:tcBorders>
      </w:tcPr>
    </w:tblStylePr>
    <w:tblStylePr w:type="lastCol">
      <w:tblPr/>
      <w:tcPr>
        <w:tcBorders>
          <w:top w:val="nil"/>
          <w:left w:val="nil"/>
          <w:bottom w:val="single" w:color="000000" w:sz="12" w:space="0"/>
          <w:right w:val="nil"/>
          <w:insideH w:val="nil"/>
          <w:insideV w:val="nil"/>
          <w:tl2br w:val="nil"/>
          <w:tr2bl w:val="nil"/>
        </w:tcBorders>
      </w:tcPr>
    </w:tblStylePr>
    <w:tblStylePr w:type="band1Horz">
      <w:tblPr/>
      <w:tcPr>
        <w:tcBorders>
          <w:top w:val="nil"/>
          <w:left w:val="single" w:color="000000" w:sz="6" w:space="0"/>
          <w:bottom w:val="nil"/>
          <w:right w:val="nil"/>
          <w:insideH w:val="nil"/>
          <w:insideV w:val="nil"/>
          <w:tl2br w:val="nil"/>
          <w:tr2bl w:val="nil"/>
        </w:tcBorders>
        <w:shd w:val="pct25" w:color="808000" w:fill="FFFFFF"/>
      </w:tcPr>
    </w:tblStylePr>
    <w:tblStylePr w:type="neCell">
      <w:rPr>
        <w:b/>
        <w:bCs/>
      </w:rPr>
      <w:tblPr/>
      <w:tcPr>
        <w:tcBorders>
          <w:top w:val="nil"/>
          <w:left w:val="nil"/>
          <w:bottom w:val="nil"/>
          <w:right w:val="nil"/>
          <w:insideH w:val="nil"/>
          <w:insideV w:val="nil"/>
          <w:tl2br w:val="nil"/>
          <w:tr2bl w:val="nil"/>
        </w:tcBorders>
      </w:tcPr>
    </w:tblStylePr>
    <w:tblStylePr w:type="swCell">
      <w:rPr>
        <w:b/>
        <w:bCs/>
      </w:rPr>
      <w:tblPr/>
      <w:tcPr>
        <w:tcBorders>
          <w:top w:val="nil"/>
          <w:left w:val="nil"/>
          <w:bottom w:val="nil"/>
          <w:right w:val="nil"/>
          <w:insideH w:val="nil"/>
          <w:insideV w:val="nil"/>
          <w:tl2br w:val="nil"/>
          <w:tr2bl w:val="nil"/>
        </w:tcBorders>
      </w:tcPr>
    </w:tblStylePr>
  </w:style>
  <w:style w:type="table" w:styleId="99">
    <w:name w:val="Table Subtle 2"/>
    <w:basedOn w:val="84"/>
    <w:semiHidden/>
    <w:qFormat/>
    <w:uiPriority w:val="0"/>
    <w:pPr>
      <w:widowControl w:val="0"/>
      <w:jc w:val="both"/>
    </w:pPr>
    <w:tblPr>
      <w:tblBorders>
        <w:left w:val="single" w:color="000000" w:sz="6" w:space="0"/>
        <w:right w:val="single" w:color="000000" w:sz="6" w:space="0"/>
      </w:tblBorders>
    </w:tblPr>
    <w:tblStylePr w:type="firstRow">
      <w:tblPr/>
      <w:tcPr>
        <w:tcBorders>
          <w:top w:val="nil"/>
          <w:left w:val="single" w:color="000000" w:sz="12" w:space="0"/>
          <w:bottom w:val="nil"/>
          <w:right w:val="nil"/>
          <w:insideH w:val="nil"/>
          <w:insideV w:val="nil"/>
          <w:tl2br w:val="nil"/>
          <w:tr2bl w:val="nil"/>
        </w:tcBorders>
      </w:tcPr>
    </w:tblStylePr>
    <w:tblStylePr w:type="lastRow">
      <w:tblPr/>
      <w:tcPr>
        <w:tcBorders>
          <w:top w:val="single" w:color="000000" w:sz="12" w:space="0"/>
          <w:left w:val="nil"/>
          <w:bottom w:val="nil"/>
          <w:right w:val="nil"/>
          <w:insideH w:val="nil"/>
          <w:insideV w:val="nil"/>
          <w:tl2br w:val="nil"/>
          <w:tr2bl w:val="nil"/>
        </w:tcBorders>
      </w:tcPr>
    </w:tblStylePr>
    <w:tblStylePr w:type="firstCol">
      <w:tblPr/>
      <w:tcPr>
        <w:tcBorders>
          <w:top w:val="nil"/>
          <w:left w:val="nil"/>
          <w:bottom w:val="nil"/>
          <w:right w:val="single" w:color="000000" w:sz="12" w:space="0"/>
          <w:insideH w:val="nil"/>
          <w:insideV w:val="nil"/>
          <w:tl2br w:val="nil"/>
          <w:tr2bl w:val="nil"/>
        </w:tcBorders>
        <w:shd w:val="pct25" w:color="008000" w:fill="FFFFFF"/>
      </w:tcPr>
    </w:tblStylePr>
    <w:tblStylePr w:type="lastCol">
      <w:tblPr/>
      <w:tcPr>
        <w:tcBorders>
          <w:top w:val="nil"/>
          <w:left w:val="nil"/>
          <w:bottom w:val="single" w:color="000000" w:sz="12" w:space="0"/>
          <w:right w:val="nil"/>
          <w:insideH w:val="nil"/>
          <w:insideV w:val="nil"/>
          <w:tl2br w:val="nil"/>
          <w:tr2bl w:val="nil"/>
        </w:tcBorders>
        <w:shd w:val="pct25" w:color="808000" w:fill="FFFFFF"/>
      </w:tcPr>
    </w:tblStylePr>
    <w:tblStylePr w:type="neCell">
      <w:rPr>
        <w:b/>
        <w:bCs/>
      </w:rPr>
      <w:tblPr/>
      <w:tcPr>
        <w:tcBorders>
          <w:top w:val="nil"/>
          <w:left w:val="nil"/>
          <w:bottom w:val="nil"/>
          <w:right w:val="nil"/>
          <w:insideH w:val="nil"/>
          <w:insideV w:val="nil"/>
          <w:tl2br w:val="nil"/>
          <w:tr2bl w:val="nil"/>
        </w:tcBorders>
      </w:tcPr>
    </w:tblStylePr>
    <w:tblStylePr w:type="swCell">
      <w:rPr>
        <w:b/>
        <w:bCs/>
      </w:rPr>
      <w:tblPr/>
      <w:tcPr>
        <w:tcBorders>
          <w:top w:val="nil"/>
          <w:left w:val="nil"/>
          <w:bottom w:val="nil"/>
          <w:right w:val="nil"/>
          <w:insideH w:val="nil"/>
          <w:insideV w:val="nil"/>
          <w:tl2br w:val="nil"/>
          <w:tr2bl w:val="nil"/>
        </w:tcBorders>
      </w:tcPr>
    </w:tblStylePr>
  </w:style>
  <w:style w:type="table" w:styleId="100">
    <w:name w:val="Table 3D effects 1"/>
    <w:basedOn w:val="84"/>
    <w:unhideWhenUsed/>
    <w:qFormat/>
    <w:uiPriority w:val="0"/>
    <w:pPr>
      <w:widowControl w:val="0"/>
      <w:jc w:val="both"/>
    </w:pPr>
    <w:tblPr/>
    <w:tcPr>
      <w:shd w:val="solid" w:color="C0C0C0" w:fill="FFFFFF"/>
    </w:tcPr>
    <w:tblStylePr w:type="firstRow">
      <w:rPr>
        <w:b/>
        <w:bCs/>
        <w:color w:val="800080"/>
      </w:rPr>
      <w:tblPr/>
      <w:tcPr>
        <w:tcBorders>
          <w:top w:val="nil"/>
          <w:left w:val="single" w:color="808080" w:sz="6" w:space="0"/>
          <w:bottom w:val="nil"/>
          <w:right w:val="nil"/>
          <w:insideH w:val="nil"/>
          <w:insideV w:val="nil"/>
          <w:tl2br w:val="nil"/>
          <w:tr2bl w:val="nil"/>
        </w:tcBorders>
      </w:tcPr>
    </w:tblStylePr>
    <w:tblStylePr w:type="lastRow">
      <w:tblPr/>
      <w:tcPr>
        <w:tcBorders>
          <w:top w:val="single" w:color="FFFFFF" w:sz="6" w:space="0"/>
          <w:left w:val="nil"/>
          <w:bottom w:val="nil"/>
          <w:right w:val="nil"/>
          <w:insideH w:val="nil"/>
          <w:insideV w:val="nil"/>
          <w:tl2br w:val="nil"/>
          <w:tr2bl w:val="nil"/>
        </w:tcBorders>
      </w:tcPr>
    </w:tblStylePr>
    <w:tblStylePr w:type="firstCol">
      <w:rPr>
        <w:b/>
        <w:bCs/>
      </w:rPr>
      <w:tblPr/>
      <w:tcPr>
        <w:tcBorders>
          <w:top w:val="nil"/>
          <w:left w:val="nil"/>
          <w:bottom w:val="nil"/>
          <w:right w:val="single" w:color="808080" w:sz="6" w:space="0"/>
          <w:insideH w:val="nil"/>
          <w:insideV w:val="nil"/>
          <w:tl2br w:val="nil"/>
          <w:tr2bl w:val="nil"/>
        </w:tcBorders>
      </w:tcPr>
    </w:tblStylePr>
    <w:tblStylePr w:type="lastCol">
      <w:tblPr/>
      <w:tcPr>
        <w:tcBorders>
          <w:top w:val="nil"/>
          <w:left w:val="nil"/>
          <w:bottom w:val="single" w:color="FFFFFF" w:sz="6" w:space="0"/>
          <w:right w:val="nil"/>
          <w:insideH w:val="nil"/>
          <w:insideV w:val="nil"/>
          <w:tl2br w:val="nil"/>
          <w:tr2bl w:val="nil"/>
        </w:tcBorders>
      </w:tcPr>
    </w:tblStylePr>
    <w:tblStylePr w:type="neCell">
      <w:tblPr/>
      <w:tcPr>
        <w:tcBorders>
          <w:top w:val="nil"/>
          <w:left w:val="nil"/>
          <w:bottom w:val="nil"/>
          <w:right w:val="nil"/>
          <w:insideH w:val="nil"/>
          <w:insideV w:val="nil"/>
          <w:tl2br w:val="nil"/>
          <w:tr2bl w:val="nil"/>
        </w:tcBorders>
      </w:tcPr>
    </w:tblStylePr>
    <w:tblStylePr w:type="nwCell">
      <w:tblPr/>
      <w:tcPr>
        <w:tcBorders>
          <w:top w:val="nil"/>
          <w:left w:val="nil"/>
          <w:bottom w:val="nil"/>
          <w:right w:val="nil"/>
          <w:insideH w:val="nil"/>
          <w:insideV w:val="nil"/>
          <w:tl2br w:val="nil"/>
          <w:tr2bl w:val="nil"/>
        </w:tcBorders>
      </w:tcPr>
    </w:tblStylePr>
    <w:tblStylePr w:type="seCell">
      <w:tblPr/>
      <w:tcPr>
        <w:tcBorders>
          <w:top w:val="nil"/>
          <w:left w:val="nil"/>
          <w:bottom w:val="nil"/>
          <w:right w:val="nil"/>
          <w:insideH w:val="nil"/>
          <w:insideV w:val="nil"/>
          <w:tl2br w:val="nil"/>
          <w:tr2bl w:val="nil"/>
        </w:tcBorders>
      </w:tcPr>
    </w:tblStylePr>
    <w:tblStylePr w:type="swCell">
      <w:rPr>
        <w:color w:val="000080"/>
      </w:rPr>
      <w:tblPr/>
      <w:tcPr>
        <w:tcBorders>
          <w:top w:val="nil"/>
          <w:left w:val="nil"/>
          <w:bottom w:val="nil"/>
          <w:right w:val="nil"/>
          <w:insideH w:val="nil"/>
          <w:insideV w:val="nil"/>
          <w:tl2br w:val="nil"/>
          <w:tr2bl w:val="nil"/>
        </w:tcBorders>
      </w:tcPr>
    </w:tblStylePr>
  </w:style>
  <w:style w:type="table" w:styleId="101">
    <w:name w:val="Table 3D effects 2"/>
    <w:basedOn w:val="84"/>
    <w:unhideWhenUsed/>
    <w:qFormat/>
    <w:uiPriority w:val="0"/>
    <w:pPr>
      <w:widowControl w:val="0"/>
      <w:jc w:val="both"/>
    </w:pPr>
    <w:tblPr>
      <w:tblStyleRowBandSize w:val="1"/>
    </w:tblPr>
    <w:tcPr>
      <w:shd w:val="solid" w:color="C0C0C0" w:fill="FFFFFF"/>
    </w:tcPr>
    <w:tblStylePr w:type="firstRow">
      <w:rPr>
        <w:b/>
        <w:bCs/>
      </w:rPr>
      <w:tblPr/>
      <w:tcPr>
        <w:tcBorders>
          <w:top w:val="nil"/>
          <w:left w:val="nil"/>
          <w:bottom w:val="nil"/>
          <w:right w:val="nil"/>
          <w:insideH w:val="nil"/>
          <w:insideV w:val="nil"/>
          <w:tl2br w:val="nil"/>
          <w:tr2bl w:val="nil"/>
        </w:tcBorders>
      </w:tcPr>
    </w:tblStylePr>
    <w:tblStylePr w:type="firstCol">
      <w:tblPr/>
      <w:tcPr>
        <w:tcBorders>
          <w:top w:val="nil"/>
          <w:left w:val="nil"/>
          <w:bottom w:val="nil"/>
          <w:right w:val="single" w:color="808080" w:sz="6" w:space="0"/>
          <w:insideH w:val="nil"/>
          <w:insideV w:val="nil"/>
          <w:tl2br w:val="nil"/>
          <w:tr2bl w:val="nil"/>
        </w:tcBorders>
      </w:tcPr>
    </w:tblStylePr>
    <w:tblStylePr w:type="lastCol">
      <w:tblPr/>
      <w:tcPr>
        <w:tcBorders>
          <w:top w:val="nil"/>
          <w:left w:val="nil"/>
          <w:bottom w:val="nil"/>
          <w:right w:val="single" w:color="FFFFFF" w:sz="6" w:space="0"/>
          <w:insideH w:val="nil"/>
          <w:insideV w:val="nil"/>
          <w:tl2br w:val="nil"/>
          <w:tr2bl w:val="nil"/>
        </w:tcBorders>
      </w:tcPr>
    </w:tblStylePr>
    <w:tblStylePr w:type="band1Horz">
      <w:tblPr/>
      <w:tcPr>
        <w:tcBorders>
          <w:top w:val="single" w:color="808080" w:sz="6" w:space="0"/>
          <w:left w:val="single" w:color="FFFFFF" w:sz="6" w:space="0"/>
          <w:bottom w:val="nil"/>
          <w:right w:val="nil"/>
          <w:insideH w:val="nil"/>
          <w:insideV w:val="nil"/>
          <w:tl2br w:val="nil"/>
          <w:tr2bl w:val="nil"/>
        </w:tcBorders>
      </w:tcPr>
    </w:tblStylePr>
    <w:tblStylePr w:type="swCell">
      <w:rPr>
        <w:b/>
        <w:bCs/>
      </w:rPr>
      <w:tblPr/>
      <w:tcPr>
        <w:tcBorders>
          <w:top w:val="nil"/>
          <w:left w:val="nil"/>
          <w:bottom w:val="nil"/>
          <w:right w:val="nil"/>
          <w:insideH w:val="nil"/>
          <w:insideV w:val="nil"/>
          <w:tl2br w:val="nil"/>
          <w:tr2bl w:val="nil"/>
        </w:tcBorders>
      </w:tcPr>
    </w:tblStylePr>
  </w:style>
  <w:style w:type="table" w:styleId="102">
    <w:name w:val="Table 3D effects 3"/>
    <w:basedOn w:val="84"/>
    <w:unhideWhenUsed/>
    <w:qFormat/>
    <w:uiPriority w:val="0"/>
    <w:pPr>
      <w:widowControl w:val="0"/>
      <w:jc w:val="both"/>
    </w:pPr>
    <w:tblPr>
      <w:tblStyleRowBandSize w:val="1"/>
      <w:tblStyleColBandSize w:val="1"/>
    </w:tblPr>
    <w:tblStylePr w:type="firstRow">
      <w:rPr>
        <w:b/>
        <w:bCs/>
      </w:rPr>
      <w:tblPr/>
      <w:tcPr>
        <w:tcBorders>
          <w:top w:val="nil"/>
          <w:left w:val="nil"/>
          <w:bottom w:val="nil"/>
          <w:right w:val="nil"/>
          <w:insideH w:val="nil"/>
          <w:insideV w:val="nil"/>
          <w:tl2br w:val="nil"/>
          <w:tr2bl w:val="nil"/>
        </w:tcBorders>
      </w:tcPr>
    </w:tblStylePr>
    <w:tblStylePr w:type="firstCol">
      <w:tblPr/>
      <w:tcPr>
        <w:tcBorders>
          <w:top w:val="nil"/>
          <w:left w:val="nil"/>
          <w:bottom w:val="nil"/>
          <w:right w:val="single" w:color="808080" w:sz="6" w:space="0"/>
          <w:insideH w:val="nil"/>
          <w:insideV w:val="nil"/>
          <w:tl2br w:val="nil"/>
          <w:tr2bl w:val="nil"/>
        </w:tcBorders>
      </w:tcPr>
    </w:tblStylePr>
    <w:tblStylePr w:type="lastCol">
      <w:tblPr/>
      <w:tcPr>
        <w:tcBorders>
          <w:top w:val="nil"/>
          <w:left w:val="nil"/>
          <w:bottom w:val="nil"/>
          <w:right w:val="single" w:color="FFFFFF" w:sz="6" w:space="0"/>
          <w:insideH w:val="nil"/>
          <w:insideV w:val="nil"/>
          <w:tl2br w:val="nil"/>
          <w:tr2bl w:val="nil"/>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color="808080" w:sz="6" w:space="0"/>
          <w:left w:val="single" w:color="FFFFFF" w:sz="6" w:space="0"/>
          <w:bottom w:val="nil"/>
          <w:right w:val="nil"/>
          <w:insideH w:val="nil"/>
          <w:insideV w:val="nil"/>
          <w:tl2br w:val="nil"/>
          <w:tr2bl w:val="nil"/>
        </w:tcBorders>
      </w:tcPr>
    </w:tblStylePr>
    <w:tblStylePr w:type="swCell">
      <w:rPr>
        <w:b/>
        <w:bCs/>
      </w:rPr>
      <w:tblPr/>
      <w:tcPr>
        <w:tcBorders>
          <w:top w:val="nil"/>
          <w:left w:val="nil"/>
          <w:bottom w:val="nil"/>
          <w:right w:val="nil"/>
          <w:insideH w:val="nil"/>
          <w:insideV w:val="nil"/>
          <w:tl2br w:val="nil"/>
          <w:tr2bl w:val="nil"/>
        </w:tcBorders>
      </w:tcPr>
    </w:tblStylePr>
  </w:style>
  <w:style w:type="table" w:styleId="103">
    <w:name w:val="Table List 1"/>
    <w:basedOn w:val="84"/>
    <w:semiHidden/>
    <w:qFormat/>
    <w:uiPriority w:val="0"/>
    <w:pPr>
      <w:widowControl w:val="0"/>
      <w:jc w:val="both"/>
    </w:pPr>
    <w:tblPr>
      <w:tblBorders>
        <w:top w:val="single" w:color="008080" w:sz="12" w:space="0"/>
        <w:left w:val="single" w:color="008080" w:sz="6" w:space="0"/>
        <w:bottom w:val="single" w:color="008080" w:sz="12" w:space="0"/>
        <w:right w:val="single" w:color="008080" w:sz="6" w:space="0"/>
      </w:tblBorders>
    </w:tblPr>
    <w:tblStylePr w:type="firstRow">
      <w:rPr>
        <w:b/>
        <w:bCs/>
        <w:i/>
        <w:iCs/>
        <w:color w:val="800000"/>
      </w:rPr>
      <w:tblPr/>
      <w:tcPr>
        <w:tcBorders>
          <w:top w:val="nil"/>
          <w:left w:val="single" w:color="000000" w:sz="6" w:space="0"/>
          <w:bottom w:val="nil"/>
          <w:right w:val="nil"/>
          <w:insideH w:val="nil"/>
          <w:insideV w:val="nil"/>
          <w:tl2br w:val="nil"/>
          <w:tr2bl w:val="nil"/>
        </w:tcBorders>
        <w:shd w:val="solid" w:color="C0C0C0" w:fill="FFFFFF"/>
      </w:tcPr>
    </w:tblStylePr>
    <w:tblStylePr w:type="lastRow">
      <w:tblPr/>
      <w:tcPr>
        <w:tcBorders>
          <w:top w:val="single" w:color="000000" w:sz="6" w:space="0"/>
          <w:left w:val="nil"/>
          <w:bottom w:val="nil"/>
          <w:right w:val="nil"/>
          <w:insideH w:val="nil"/>
          <w:insideV w:val="nil"/>
          <w:tl2br w:val="nil"/>
          <w:tr2bl w:val="nil"/>
        </w:tcBorders>
      </w:tcPr>
    </w:tblStylePr>
    <w:tblStylePr w:type="band1Horz">
      <w:rPr>
        <w:color w:val="auto"/>
      </w:rPr>
      <w:tblPr/>
      <w:tcPr>
        <w:tcBorders>
          <w:top w:val="nil"/>
          <w:left w:val="nil"/>
          <w:bottom w:val="nil"/>
          <w:right w:val="nil"/>
          <w:insideH w:val="nil"/>
          <w:insideV w:val="nil"/>
          <w:tl2br w:val="nil"/>
          <w:tr2bl w:val="nil"/>
        </w:tcBorders>
        <w:shd w:val="solid" w:color="C0C0C0" w:fill="FFFFFF"/>
      </w:tcPr>
    </w:tblStylePr>
    <w:tblStylePr w:type="band2Horz">
      <w:rPr>
        <w:color w:val="auto"/>
      </w:rPr>
      <w:tblPr/>
      <w:tcPr>
        <w:tcBorders>
          <w:top w:val="nil"/>
          <w:left w:val="nil"/>
          <w:bottom w:val="nil"/>
          <w:right w:val="nil"/>
          <w:insideH w:val="nil"/>
          <w:insideV w:val="nil"/>
          <w:tl2br w:val="nil"/>
          <w:tr2bl w:val="nil"/>
        </w:tcBorders>
      </w:tcPr>
    </w:tblStylePr>
    <w:tblStylePr w:type="swCell">
      <w:rPr>
        <w:b/>
        <w:bCs/>
      </w:rPr>
      <w:tblPr/>
      <w:tcPr>
        <w:tcBorders>
          <w:top w:val="nil"/>
          <w:left w:val="nil"/>
          <w:bottom w:val="nil"/>
          <w:right w:val="nil"/>
          <w:insideH w:val="nil"/>
          <w:insideV w:val="nil"/>
          <w:tl2br w:val="nil"/>
          <w:tr2bl w:val="nil"/>
        </w:tcBorders>
      </w:tcPr>
    </w:tblStylePr>
  </w:style>
  <w:style w:type="table" w:styleId="104">
    <w:name w:val="Table List 2"/>
    <w:basedOn w:val="84"/>
    <w:semiHidden/>
    <w:qFormat/>
    <w:uiPriority w:val="0"/>
    <w:pPr>
      <w:widowControl w:val="0"/>
      <w:jc w:val="both"/>
    </w:pPr>
    <w:tblPr>
      <w:tblBorders>
        <w:bottom w:val="single" w:color="808080" w:sz="12" w:space="0"/>
      </w:tblBorders>
    </w:tblPr>
    <w:tblStylePr w:type="firstRow">
      <w:rPr>
        <w:b/>
        <w:bCs/>
        <w:color w:val="FFFFFF"/>
      </w:rPr>
      <w:tblPr/>
      <w:tcPr>
        <w:tcBorders>
          <w:top w:val="nil"/>
          <w:left w:val="single" w:color="000000" w:sz="6" w:space="0"/>
          <w:bottom w:val="nil"/>
          <w:right w:val="nil"/>
          <w:insideH w:val="nil"/>
          <w:insideV w:val="nil"/>
          <w:tl2br w:val="nil"/>
          <w:tr2bl w:val="nil"/>
        </w:tcBorders>
        <w:shd w:val="pct75" w:color="008080" w:fill="008000"/>
      </w:tcPr>
    </w:tblStylePr>
    <w:tblStylePr w:type="lastRow">
      <w:tblPr/>
      <w:tcPr>
        <w:tcBorders>
          <w:top w:val="single" w:color="000000" w:sz="6" w:space="0"/>
          <w:left w:val="nil"/>
          <w:bottom w:val="nil"/>
          <w:right w:val="nil"/>
          <w:insideH w:val="nil"/>
          <w:insideV w:val="nil"/>
          <w:tl2br w:val="nil"/>
          <w:tr2bl w:val="nil"/>
        </w:tcBorders>
      </w:tcPr>
    </w:tblStylePr>
    <w:tblStylePr w:type="band1Horz">
      <w:rPr>
        <w:color w:val="auto"/>
      </w:rPr>
      <w:tblPr/>
      <w:tcPr>
        <w:tcBorders>
          <w:top w:val="nil"/>
          <w:left w:val="nil"/>
          <w:bottom w:val="nil"/>
          <w:right w:val="nil"/>
          <w:insideH w:val="nil"/>
          <w:insideV w:val="nil"/>
          <w:tl2br w:val="nil"/>
          <w:tr2bl w:val="nil"/>
        </w:tcBorders>
        <w:shd w:val="pct20" w:color="00FF00" w:fill="FFFFFF"/>
      </w:tcPr>
    </w:tblStylePr>
    <w:tblStylePr w:type="band2Horz">
      <w:rPr>
        <w:color w:val="auto"/>
      </w:rPr>
      <w:tblPr/>
      <w:tcPr>
        <w:tcBorders>
          <w:top w:val="nil"/>
          <w:left w:val="nil"/>
          <w:bottom w:val="nil"/>
          <w:right w:val="nil"/>
          <w:insideH w:val="nil"/>
          <w:insideV w:val="nil"/>
          <w:tl2br w:val="nil"/>
          <w:tr2bl w:val="nil"/>
        </w:tcBorders>
      </w:tcPr>
    </w:tblStylePr>
    <w:tblStylePr w:type="swCell">
      <w:rPr>
        <w:b/>
        <w:bCs/>
      </w:rPr>
      <w:tblPr/>
      <w:tcPr>
        <w:tcBorders>
          <w:top w:val="nil"/>
          <w:left w:val="nil"/>
          <w:bottom w:val="nil"/>
          <w:right w:val="nil"/>
          <w:insideH w:val="nil"/>
          <w:insideV w:val="nil"/>
          <w:tl2br w:val="nil"/>
          <w:tr2bl w:val="nil"/>
        </w:tcBorders>
      </w:tcPr>
    </w:tblStylePr>
  </w:style>
  <w:style w:type="table" w:styleId="105">
    <w:name w:val="Table List 3"/>
    <w:basedOn w:val="84"/>
    <w:semiHidden/>
    <w:qFormat/>
    <w:uiPriority w:val="0"/>
    <w:pPr>
      <w:widowControl w:val="0"/>
      <w:jc w:val="both"/>
    </w:pPr>
    <w:tblPr>
      <w:tblBorders>
        <w:top w:val="single" w:color="000000" w:sz="12" w:space="0"/>
        <w:bottom w:val="single" w:color="000000" w:sz="12" w:space="0"/>
        <w:insideH w:val="single" w:color="000000" w:sz="6" w:space="0"/>
      </w:tblBorders>
    </w:tblPr>
    <w:tcPr>
      <w:shd w:val="clear" w:color="auto" w:fill="auto"/>
    </w:tcPr>
    <w:tblStylePr w:type="firstRow">
      <w:rPr>
        <w:b/>
        <w:bCs/>
        <w:color w:val="000080"/>
      </w:rPr>
      <w:tblPr/>
      <w:tcPr>
        <w:tcBorders>
          <w:top w:val="nil"/>
          <w:left w:val="single" w:color="000000" w:sz="12" w:space="0"/>
          <w:bottom w:val="nil"/>
          <w:right w:val="nil"/>
          <w:insideH w:val="nil"/>
          <w:insideV w:val="nil"/>
          <w:tl2br w:val="nil"/>
          <w:tr2bl w:val="nil"/>
        </w:tcBorders>
      </w:tcPr>
    </w:tblStylePr>
    <w:tblStylePr w:type="lastRow">
      <w:tblPr/>
      <w:tcPr>
        <w:tcBorders>
          <w:top w:val="single" w:color="000000" w:sz="12" w:space="0"/>
          <w:left w:val="nil"/>
          <w:bottom w:val="nil"/>
          <w:right w:val="nil"/>
          <w:insideH w:val="nil"/>
          <w:insideV w:val="nil"/>
          <w:tl2br w:val="nil"/>
          <w:tr2bl w:val="nil"/>
        </w:tcBorders>
      </w:tcPr>
    </w:tblStylePr>
    <w:tblStylePr w:type="swCell">
      <w:rPr>
        <w:i/>
        <w:iCs/>
        <w:color w:val="000080"/>
      </w:rPr>
      <w:tblPr/>
      <w:tcPr>
        <w:tcBorders>
          <w:top w:val="nil"/>
          <w:left w:val="nil"/>
          <w:bottom w:val="nil"/>
          <w:right w:val="nil"/>
          <w:insideH w:val="nil"/>
          <w:insideV w:val="nil"/>
          <w:tl2br w:val="nil"/>
          <w:tr2bl w:val="nil"/>
        </w:tcBorders>
      </w:tcPr>
    </w:tblStylePr>
  </w:style>
  <w:style w:type="table" w:styleId="106">
    <w:name w:val="Table List 4"/>
    <w:basedOn w:val="84"/>
    <w:semiHidden/>
    <w:qFormat/>
    <w:uiPriority w:val="0"/>
    <w:pPr>
      <w:widowControl w:val="0"/>
      <w:jc w:val="both"/>
    </w:pPr>
    <w:tblPr>
      <w:tblBorders>
        <w:top w:val="single" w:color="000000" w:sz="12" w:space="0"/>
        <w:left w:val="single" w:color="000000" w:sz="12" w:space="0"/>
        <w:bottom w:val="single" w:color="000000" w:sz="12" w:space="0"/>
        <w:right w:val="single" w:color="000000" w:sz="12" w:space="0"/>
        <w:insideH w:val="single" w:color="000000" w:sz="6" w:space="0"/>
      </w:tblBorders>
    </w:tblPr>
    <w:tcPr>
      <w:shd w:val="clear" w:color="auto" w:fill="auto"/>
    </w:tcPr>
    <w:tblStylePr w:type="firstRow">
      <w:rPr>
        <w:b/>
        <w:bCs/>
        <w:color w:val="FFFFFF"/>
      </w:rPr>
      <w:tblPr/>
      <w:tcPr>
        <w:tcBorders>
          <w:top w:val="nil"/>
          <w:left w:val="single" w:color="000000" w:sz="12" w:space="0"/>
          <w:bottom w:val="nil"/>
          <w:right w:val="nil"/>
          <w:insideH w:val="nil"/>
          <w:insideV w:val="nil"/>
          <w:tl2br w:val="nil"/>
          <w:tr2bl w:val="nil"/>
        </w:tcBorders>
        <w:shd w:val="solid" w:color="808080" w:fill="FFFFFF"/>
      </w:tcPr>
    </w:tblStylePr>
  </w:style>
  <w:style w:type="table" w:styleId="107">
    <w:name w:val="Table List 5"/>
    <w:basedOn w:val="84"/>
    <w:semiHidden/>
    <w:qFormat/>
    <w:uiPriority w:val="0"/>
    <w:pPr>
      <w:widowControl w:val="0"/>
      <w:jc w:val="both"/>
    </w:pPr>
    <w:tblPr>
      <w:tblBorders>
        <w:top w:val="single" w:color="000000" w:sz="6" w:space="0"/>
        <w:left w:val="single" w:color="000000" w:sz="6" w:space="0"/>
        <w:bottom w:val="single" w:color="000000" w:sz="6" w:space="0"/>
        <w:right w:val="single" w:color="000000" w:sz="6" w:space="0"/>
        <w:insideH w:val="single" w:color="000000" w:sz="6" w:space="0"/>
      </w:tblBorders>
    </w:tblPr>
    <w:tcPr>
      <w:shd w:val="clear" w:color="auto" w:fill="auto"/>
    </w:tcPr>
    <w:tblStylePr w:type="firstRow">
      <w:rPr>
        <w:b/>
        <w:bCs/>
      </w:rPr>
      <w:tblPr/>
      <w:tcPr>
        <w:tcBorders>
          <w:top w:val="nil"/>
          <w:left w:val="single" w:color="000000" w:sz="12" w:space="0"/>
          <w:bottom w:val="nil"/>
          <w:right w:val="nil"/>
          <w:insideH w:val="nil"/>
          <w:insideV w:val="nil"/>
          <w:tl2br w:val="nil"/>
          <w:tr2bl w:val="nil"/>
        </w:tcBorders>
      </w:tcPr>
    </w:tblStylePr>
    <w:tblStylePr w:type="firstCol">
      <w:rPr>
        <w:b/>
        <w:bCs/>
      </w:rPr>
      <w:tblPr/>
      <w:tcPr>
        <w:tcBorders>
          <w:top w:val="nil"/>
          <w:left w:val="nil"/>
          <w:bottom w:val="nil"/>
          <w:right w:val="nil"/>
          <w:insideH w:val="nil"/>
          <w:insideV w:val="nil"/>
          <w:tl2br w:val="nil"/>
          <w:tr2bl w:val="nil"/>
        </w:tcBorders>
      </w:tcPr>
    </w:tblStylePr>
  </w:style>
  <w:style w:type="table" w:styleId="108">
    <w:name w:val="Table List 6"/>
    <w:basedOn w:val="84"/>
    <w:semiHidden/>
    <w:qFormat/>
    <w:uiPriority w:val="0"/>
    <w:pPr>
      <w:widowControl w:val="0"/>
      <w:jc w:val="both"/>
    </w:pPr>
    <w:tblPr>
      <w:tblBorders>
        <w:top w:val="single" w:color="000000" w:sz="6" w:space="0"/>
        <w:left w:val="single" w:color="000000" w:sz="6" w:space="0"/>
        <w:bottom w:val="single" w:color="000000" w:sz="6" w:space="0"/>
        <w:right w:val="single" w:color="000000" w:sz="6" w:space="0"/>
      </w:tblBorders>
    </w:tblPr>
    <w:tcPr>
      <w:shd w:val="pct50" w:color="000000" w:fill="FFFFFF"/>
    </w:tcPr>
    <w:tblStylePr w:type="firstRow">
      <w:rPr>
        <w:b/>
        <w:bCs/>
      </w:rPr>
      <w:tblPr/>
      <w:tcPr>
        <w:tcBorders>
          <w:top w:val="nil"/>
          <w:left w:val="single" w:color="000000" w:sz="12" w:space="0"/>
          <w:bottom w:val="nil"/>
          <w:right w:val="nil"/>
          <w:insideH w:val="nil"/>
          <w:insideV w:val="nil"/>
          <w:tl2br w:val="nil"/>
          <w:tr2bl w:val="nil"/>
        </w:tcBorders>
      </w:tcPr>
    </w:tblStylePr>
    <w:tblStylePr w:type="firstCol">
      <w:rPr>
        <w:b/>
        <w:bCs/>
      </w:rPr>
      <w:tblPr/>
      <w:tcPr>
        <w:tcBorders>
          <w:top w:val="nil"/>
          <w:left w:val="nil"/>
          <w:bottom w:val="nil"/>
          <w:right w:val="single" w:color="000000" w:sz="12" w:space="0"/>
          <w:insideH w:val="nil"/>
          <w:insideV w:val="nil"/>
          <w:tl2br w:val="nil"/>
          <w:tr2bl w:val="nil"/>
        </w:tcBorders>
      </w:tcPr>
    </w:tblStylePr>
    <w:tblStylePr w:type="band1Horz">
      <w:tblPr/>
      <w:tcPr>
        <w:tcBorders>
          <w:top w:val="nil"/>
          <w:left w:val="nil"/>
          <w:bottom w:val="nil"/>
          <w:right w:val="nil"/>
          <w:insideH w:val="nil"/>
          <w:insideV w:val="nil"/>
          <w:tl2br w:val="nil"/>
          <w:tr2bl w:val="nil"/>
        </w:tcBorders>
        <w:shd w:val="pct25" w:color="000000" w:fill="FFFFFF"/>
      </w:tcPr>
    </w:tblStylePr>
    <w:tblStylePr w:type="nwCell">
      <w:tblPr/>
      <w:tcPr>
        <w:tcBorders>
          <w:top w:val="nil"/>
          <w:left w:val="nil"/>
          <w:bottom w:val="nil"/>
          <w:right w:val="nil"/>
          <w:insideH w:val="nil"/>
          <w:insideV w:val="nil"/>
          <w:tl2br w:val="single" w:color="000000" w:sz="6" w:space="0"/>
          <w:tr2bl w:val="nil"/>
        </w:tcBorders>
      </w:tcPr>
    </w:tblStylePr>
  </w:style>
  <w:style w:type="table" w:styleId="109">
    <w:name w:val="Table List 7"/>
    <w:basedOn w:val="84"/>
    <w:semiHidden/>
    <w:qFormat/>
    <w:uiPriority w:val="0"/>
    <w:pPr>
      <w:widowControl w:val="0"/>
      <w:jc w:val="both"/>
    </w:pPr>
    <w:tblPr>
      <w:tblBorders>
        <w:top w:val="single" w:color="008000" w:sz="12" w:space="0"/>
        <w:left w:val="single" w:color="008000" w:sz="6" w:space="0"/>
        <w:bottom w:val="single" w:color="008000" w:sz="12" w:space="0"/>
        <w:right w:val="single" w:color="008000" w:sz="6" w:space="0"/>
        <w:insideH w:val="single" w:color="000000" w:sz="6" w:space="0"/>
      </w:tblBorders>
    </w:tblPr>
    <w:tblStylePr w:type="firstRow">
      <w:rPr>
        <w:b/>
        <w:bCs/>
      </w:rPr>
      <w:tblPr/>
      <w:tcPr>
        <w:tcBorders>
          <w:top w:val="nil"/>
          <w:left w:val="single" w:color="008000" w:sz="12" w:space="0"/>
          <w:bottom w:val="nil"/>
          <w:right w:val="nil"/>
          <w:insideH w:val="nil"/>
          <w:insideV w:val="nil"/>
          <w:tl2br w:val="nil"/>
          <w:tr2bl w:val="nil"/>
        </w:tcBorders>
        <w:shd w:val="solid" w:color="C0C0C0" w:fill="FFFFFF"/>
      </w:tcPr>
    </w:tblStylePr>
    <w:tblStylePr w:type="lastRow">
      <w:rPr>
        <w:b/>
        <w:bCs/>
      </w:rPr>
      <w:tblPr/>
      <w:tcPr>
        <w:tcBorders>
          <w:top w:val="single" w:color="008000" w:sz="12" w:space="0"/>
          <w:left w:val="nil"/>
          <w:bottom w:val="nil"/>
          <w:right w:val="nil"/>
          <w:insideH w:val="nil"/>
          <w:insideV w:val="nil"/>
          <w:tl2br w:val="nil"/>
          <w:tr2bl w:val="nil"/>
        </w:tcBorders>
      </w:tcPr>
    </w:tblStylePr>
    <w:tblStylePr w:type="firstCol">
      <w:rPr>
        <w:b/>
        <w:bCs/>
      </w:rPr>
      <w:tblPr/>
      <w:tcPr>
        <w:tcBorders>
          <w:top w:val="nil"/>
          <w:left w:val="nil"/>
          <w:bottom w:val="nil"/>
          <w:right w:val="nil"/>
          <w:insideH w:val="nil"/>
          <w:insideV w:val="nil"/>
          <w:tl2br w:val="nil"/>
          <w:tr2bl w:val="nil"/>
        </w:tcBorders>
      </w:tcPr>
    </w:tblStylePr>
    <w:tblStylePr w:type="lastCol">
      <w:rPr>
        <w:b/>
        <w:bCs/>
      </w:rPr>
      <w:tblPr/>
      <w:tcPr>
        <w:tcBorders>
          <w:top w:val="nil"/>
          <w:left w:val="nil"/>
          <w:bottom w:val="nil"/>
          <w:right w:val="nil"/>
          <w:insideH w:val="nil"/>
          <w:insideV w:val="nil"/>
          <w:tl2br w:val="nil"/>
          <w:tr2bl w:val="nil"/>
        </w:tcBorders>
      </w:tcPr>
    </w:tblStylePr>
    <w:tblStylePr w:type="band1Horz">
      <w:rPr>
        <w:color w:val="auto"/>
      </w:rPr>
      <w:tblPr/>
      <w:tcPr>
        <w:tcBorders>
          <w:top w:val="nil"/>
          <w:left w:val="nil"/>
          <w:bottom w:val="nil"/>
          <w:right w:val="nil"/>
          <w:insideH w:val="nil"/>
          <w:insideV w:val="nil"/>
          <w:tl2br w:val="nil"/>
          <w:tr2bl w:val="nil"/>
        </w:tcBorders>
        <w:shd w:val="pct20" w:color="000000" w:fill="FFFFFF"/>
      </w:tcPr>
    </w:tblStylePr>
    <w:tblStylePr w:type="band2Horz">
      <w:tblPr/>
      <w:tcPr>
        <w:tcBorders>
          <w:top w:val="nil"/>
          <w:left w:val="nil"/>
          <w:bottom w:val="nil"/>
          <w:right w:val="nil"/>
          <w:insideH w:val="nil"/>
          <w:insideV w:val="nil"/>
          <w:tl2br w:val="nil"/>
          <w:tr2bl w:val="nil"/>
        </w:tcBorders>
        <w:shd w:val="pct25" w:color="FFFF00" w:fill="FFFFFF"/>
      </w:tcPr>
    </w:tblStylePr>
  </w:style>
  <w:style w:type="table" w:styleId="110">
    <w:name w:val="Table List 8"/>
    <w:basedOn w:val="84"/>
    <w:semiHidden/>
    <w:qFormat/>
    <w:uiPriority w:val="0"/>
    <w:pPr>
      <w:widowControl w:val="0"/>
      <w:jc w:val="both"/>
    </w:pPr>
    <w:tblPr>
      <w:tblBorders>
        <w:top w:val="single" w:color="000000" w:sz="6" w:space="0"/>
        <w:left w:val="single" w:color="000000" w:sz="6" w:space="0"/>
        <w:bottom w:val="single" w:color="000000" w:sz="6" w:space="0"/>
        <w:right w:val="single" w:color="000000" w:sz="6" w:space="0"/>
        <w:insideV w:val="single" w:color="000000" w:sz="6" w:space="0"/>
      </w:tblBorders>
    </w:tblPr>
    <w:tblStylePr w:type="firstRow">
      <w:rPr>
        <w:b/>
        <w:bCs/>
        <w:i/>
        <w:iCs/>
      </w:rPr>
      <w:tblPr/>
      <w:tcPr>
        <w:tcBorders>
          <w:top w:val="nil"/>
          <w:left w:val="single" w:color="000000" w:sz="6" w:space="0"/>
          <w:bottom w:val="nil"/>
          <w:right w:val="nil"/>
          <w:insideH w:val="nil"/>
          <w:insideV w:val="nil"/>
          <w:tl2br w:val="nil"/>
          <w:tr2bl w:val="nil"/>
        </w:tcBorders>
        <w:shd w:val="solid" w:color="FFFF00" w:fill="FFFFFF"/>
      </w:tcPr>
    </w:tblStylePr>
    <w:tblStylePr w:type="lastRow">
      <w:rPr>
        <w:b/>
        <w:bCs/>
      </w:rPr>
      <w:tblPr/>
      <w:tcPr>
        <w:tcBorders>
          <w:top w:val="single" w:color="000000" w:sz="6" w:space="0"/>
          <w:left w:val="nil"/>
          <w:bottom w:val="nil"/>
          <w:right w:val="nil"/>
          <w:insideH w:val="nil"/>
          <w:insideV w:val="nil"/>
          <w:tl2br w:val="nil"/>
          <w:tr2bl w:val="nil"/>
        </w:tcBorders>
      </w:tcPr>
    </w:tblStylePr>
    <w:tblStylePr w:type="firstCol">
      <w:rPr>
        <w:b/>
        <w:bCs/>
      </w:rPr>
      <w:tblPr/>
      <w:tcPr>
        <w:tcBorders>
          <w:top w:val="nil"/>
          <w:left w:val="nil"/>
          <w:bottom w:val="nil"/>
          <w:right w:val="nil"/>
          <w:insideH w:val="nil"/>
          <w:insideV w:val="nil"/>
          <w:tl2br w:val="nil"/>
          <w:tr2bl w:val="nil"/>
        </w:tcBorders>
      </w:tcPr>
    </w:tblStylePr>
    <w:tblStylePr w:type="lastCol">
      <w:rPr>
        <w:b/>
        <w:bCs/>
      </w:rPr>
      <w:tblPr/>
      <w:tcPr>
        <w:tcBorders>
          <w:top w:val="nil"/>
          <w:left w:val="nil"/>
          <w:bottom w:val="nil"/>
          <w:right w:val="nil"/>
          <w:insideH w:val="nil"/>
          <w:insideV w:val="nil"/>
          <w:tl2br w:val="nil"/>
          <w:tr2bl w:val="nil"/>
        </w:tcBorders>
      </w:tcPr>
    </w:tblStylePr>
    <w:tblStylePr w:type="band1Horz">
      <w:rPr>
        <w:color w:val="auto"/>
      </w:rPr>
      <w:tblPr/>
      <w:tcPr>
        <w:tcBorders>
          <w:top w:val="nil"/>
          <w:left w:val="nil"/>
          <w:bottom w:val="nil"/>
          <w:right w:val="nil"/>
          <w:insideH w:val="nil"/>
          <w:insideV w:val="nil"/>
          <w:tl2br w:val="nil"/>
          <w:tr2bl w:val="nil"/>
        </w:tcBorders>
        <w:shd w:val="pct25" w:color="FFFF00" w:fill="FFFFFF"/>
      </w:tcPr>
    </w:tblStylePr>
    <w:tblStylePr w:type="band2Horz">
      <w:tblPr/>
      <w:tcPr>
        <w:tcBorders>
          <w:top w:val="nil"/>
          <w:left w:val="nil"/>
          <w:bottom w:val="nil"/>
          <w:right w:val="nil"/>
          <w:insideH w:val="nil"/>
          <w:insideV w:val="nil"/>
          <w:tl2br w:val="nil"/>
          <w:tr2bl w:val="nil"/>
        </w:tcBorders>
        <w:shd w:val="pct50" w:color="FF0000" w:fill="FFFFFF"/>
      </w:tcPr>
    </w:tblStylePr>
    <w:tblStylePr w:type="nwCell">
      <w:tblPr/>
      <w:tcPr>
        <w:tcBorders>
          <w:top w:val="nil"/>
          <w:left w:val="nil"/>
          <w:bottom w:val="nil"/>
          <w:right w:val="nil"/>
          <w:insideH w:val="nil"/>
          <w:insideV w:val="nil"/>
          <w:tl2br w:val="single" w:color="auto" w:sz="6" w:space="0"/>
          <w:tr2bl w:val="nil"/>
        </w:tcBorders>
      </w:tcPr>
    </w:tblStylePr>
  </w:style>
  <w:style w:type="table" w:styleId="111">
    <w:name w:val="Table Contemporary"/>
    <w:basedOn w:val="84"/>
    <w:semiHidden/>
    <w:qFormat/>
    <w:uiPriority w:val="0"/>
    <w:pPr>
      <w:widowControl w:val="0"/>
      <w:jc w:val="both"/>
    </w:pPr>
    <w:tblPr>
      <w:tblBorders>
        <w:insideH w:val="single" w:color="FFFFFF" w:sz="18" w:space="0"/>
        <w:insideV w:val="single" w:color="FFFFFF" w:sz="18" w:space="0"/>
      </w:tblBorders>
    </w:tblPr>
    <w:tblStylePr w:type="firstRow">
      <w:rPr>
        <w:b/>
        <w:bCs/>
        <w:color w:val="auto"/>
      </w:rPr>
      <w:tblPr/>
      <w:tcPr>
        <w:tcBorders>
          <w:top w:val="nil"/>
          <w:left w:val="nil"/>
          <w:bottom w:val="nil"/>
          <w:right w:val="nil"/>
          <w:insideH w:val="nil"/>
          <w:insideV w:val="nil"/>
          <w:tl2br w:val="nil"/>
          <w:tr2bl w:val="nil"/>
        </w:tcBorders>
        <w:shd w:val="pct20" w:color="000000" w:fill="FFFFFF"/>
      </w:tcPr>
    </w:tblStylePr>
    <w:tblStylePr w:type="band1Horz">
      <w:rPr>
        <w:color w:val="auto"/>
      </w:rPr>
      <w:tblPr/>
      <w:tcPr>
        <w:tcBorders>
          <w:top w:val="nil"/>
          <w:left w:val="nil"/>
          <w:bottom w:val="nil"/>
          <w:right w:val="nil"/>
          <w:insideH w:val="nil"/>
          <w:insideV w:val="nil"/>
          <w:tl2br w:val="nil"/>
          <w:tr2bl w:val="nil"/>
        </w:tcBorders>
        <w:shd w:val="pct5" w:color="000000" w:fill="FFFFFF"/>
      </w:tcPr>
    </w:tblStylePr>
    <w:tblStylePr w:type="band2Horz">
      <w:rPr>
        <w:color w:val="auto"/>
      </w:rPr>
      <w:tblPr/>
      <w:tcPr>
        <w:tcBorders>
          <w:top w:val="nil"/>
          <w:left w:val="nil"/>
          <w:bottom w:val="nil"/>
          <w:right w:val="nil"/>
          <w:insideH w:val="nil"/>
          <w:insideV w:val="nil"/>
          <w:tl2br w:val="nil"/>
          <w:tr2bl w:val="nil"/>
        </w:tcBorders>
        <w:shd w:val="pct20" w:color="000000" w:fill="FFFFFF"/>
      </w:tcPr>
    </w:tblStylePr>
  </w:style>
  <w:style w:type="table" w:styleId="112">
    <w:name w:val="Table Columns 1"/>
    <w:basedOn w:val="84"/>
    <w:semiHidden/>
    <w:qFormat/>
    <w:uiPriority w:val="0"/>
    <w:pPr>
      <w:widowControl w:val="0"/>
      <w:jc w:val="both"/>
    </w:pPr>
    <w:rPr>
      <w:b/>
      <w:bCs/>
    </w:rPr>
    <w:tblPr>
      <w:tblBorders>
        <w:top w:val="single" w:color="000000" w:sz="12" w:space="0"/>
        <w:left w:val="single" w:color="000000" w:sz="12" w:space="0"/>
        <w:bottom w:val="single" w:color="000000" w:sz="12" w:space="0"/>
        <w:right w:val="single" w:color="000000" w:sz="12" w:space="0"/>
      </w:tblBorders>
    </w:tblPr>
    <w:tblStylePr w:type="firstRow">
      <w:rPr>
        <w:b w:val="0"/>
        <w:bCs w:val="0"/>
      </w:rPr>
      <w:tblPr/>
      <w:tcPr>
        <w:tcBorders>
          <w:top w:val="nil"/>
          <w:left w:val="double" w:color="000000" w:sz="6" w:space="0"/>
          <w:bottom w:val="nil"/>
          <w:right w:val="nil"/>
          <w:insideH w:val="nil"/>
          <w:insideV w:val="nil"/>
          <w:tl2br w:val="nil"/>
          <w:tr2bl w:val="nil"/>
        </w:tcBorders>
      </w:tcPr>
    </w:tblStylePr>
    <w:tblStylePr w:type="lastRow">
      <w:rPr>
        <w:b w:val="0"/>
        <w:bCs w:val="0"/>
      </w:rPr>
      <w:tblPr/>
      <w:tcPr>
        <w:tcBorders>
          <w:top w:val="nil"/>
          <w:left w:val="nil"/>
          <w:bottom w:val="nil"/>
          <w:right w:val="nil"/>
          <w:insideH w:val="nil"/>
          <w:insideV w:val="nil"/>
          <w:tl2br w:val="nil"/>
          <w:tr2bl w:val="nil"/>
        </w:tcBorders>
      </w:tcPr>
    </w:tblStylePr>
    <w:tblStylePr w:type="firstCol">
      <w:rPr>
        <w:b w:val="0"/>
        <w:bCs w:val="0"/>
      </w:rPr>
      <w:tblPr/>
      <w:tcPr>
        <w:tcBorders>
          <w:top w:val="nil"/>
          <w:left w:val="nil"/>
          <w:bottom w:val="nil"/>
          <w:right w:val="nil"/>
          <w:insideH w:val="nil"/>
          <w:insideV w:val="nil"/>
          <w:tl2br w:val="nil"/>
          <w:tr2bl w:val="nil"/>
        </w:tcBorders>
      </w:tcPr>
    </w:tblStylePr>
    <w:tblStylePr w:type="lastCol">
      <w:rPr>
        <w:b w:val="0"/>
        <w:bCs w:val="0"/>
      </w:rPr>
      <w:tblPr/>
      <w:tcPr>
        <w:tcBorders>
          <w:top w:val="nil"/>
          <w:left w:val="nil"/>
          <w:bottom w:val="nil"/>
          <w:right w:val="nil"/>
          <w:insideH w:val="nil"/>
          <w:insideV w:val="nil"/>
          <w:tl2br w:val="nil"/>
          <w:tr2bl w:val="nil"/>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op w:val="nil"/>
          <w:left w:val="nil"/>
          <w:bottom w:val="nil"/>
          <w:right w:val="nil"/>
          <w:insideH w:val="nil"/>
          <w:insideV w:val="nil"/>
          <w:tl2br w:val="nil"/>
          <w:tr2bl w:val="nil"/>
        </w:tcBorders>
      </w:tcPr>
    </w:tblStylePr>
    <w:tblStylePr w:type="swCell">
      <w:rPr>
        <w:b/>
        <w:bCs/>
      </w:rPr>
      <w:tblPr/>
      <w:tcPr>
        <w:tcBorders>
          <w:top w:val="nil"/>
          <w:left w:val="nil"/>
          <w:bottom w:val="nil"/>
          <w:right w:val="nil"/>
          <w:insideH w:val="nil"/>
          <w:insideV w:val="nil"/>
          <w:tl2br w:val="nil"/>
          <w:tr2bl w:val="nil"/>
        </w:tcBorders>
      </w:tcPr>
    </w:tblStylePr>
  </w:style>
  <w:style w:type="table" w:styleId="113">
    <w:name w:val="Table Columns 2"/>
    <w:basedOn w:val="84"/>
    <w:semiHidden/>
    <w:qFormat/>
    <w:uiPriority w:val="0"/>
    <w:pPr>
      <w:widowControl w:val="0"/>
      <w:jc w:val="both"/>
    </w:pPr>
    <w:rPr>
      <w:b/>
      <w:bCs/>
    </w:rPr>
    <w:tblPr>
      <w:tblStyleColBandSize w:val="1"/>
    </w:tblPr>
    <w:tblStylePr w:type="firstRow">
      <w:rPr>
        <w:color w:val="FFFFFF"/>
      </w:rPr>
      <w:tblPr/>
      <w:tcPr>
        <w:tcBorders>
          <w:top w:val="nil"/>
          <w:left w:val="nil"/>
          <w:bottom w:val="nil"/>
          <w:right w:val="nil"/>
          <w:insideH w:val="nil"/>
          <w:insideV w:val="nil"/>
          <w:tl2br w:val="nil"/>
          <w:tr2bl w:val="nil"/>
        </w:tcBorders>
        <w:shd w:val="solid" w:color="000080" w:fill="FFFFFF"/>
      </w:tcPr>
    </w:tblStylePr>
    <w:tblStylePr w:type="lastRow">
      <w:rPr>
        <w:b w:val="0"/>
        <w:bCs w:val="0"/>
      </w:rPr>
      <w:tblPr/>
      <w:tcPr>
        <w:tcBorders>
          <w:top w:val="nil"/>
          <w:left w:val="nil"/>
          <w:bottom w:val="nil"/>
          <w:right w:val="nil"/>
          <w:insideH w:val="nil"/>
          <w:insideV w:val="nil"/>
          <w:tl2br w:val="nil"/>
          <w:tr2bl w:val="nil"/>
        </w:tcBorders>
      </w:tcPr>
    </w:tblStylePr>
    <w:tblStylePr w:type="firstCol">
      <w:rPr>
        <w:b w:val="0"/>
        <w:bCs w:val="0"/>
        <w:color w:val="000000"/>
      </w:rPr>
      <w:tblPr/>
      <w:tcPr>
        <w:tcBorders>
          <w:top w:val="nil"/>
          <w:left w:val="nil"/>
          <w:bottom w:val="nil"/>
          <w:right w:val="nil"/>
          <w:insideH w:val="nil"/>
          <w:insideV w:val="nil"/>
          <w:tl2br w:val="nil"/>
          <w:tr2bl w:val="nil"/>
        </w:tcBorders>
      </w:tcPr>
    </w:tblStylePr>
    <w:tblStylePr w:type="lastCol">
      <w:rPr>
        <w:b w:val="0"/>
        <w:bCs w:val="0"/>
      </w:rPr>
      <w:tblPr/>
      <w:tcPr>
        <w:tcBorders>
          <w:top w:val="nil"/>
          <w:left w:val="nil"/>
          <w:bottom w:val="nil"/>
          <w:right w:val="nil"/>
          <w:insideH w:val="nil"/>
          <w:insideV w:val="nil"/>
          <w:tl2br w:val="nil"/>
          <w:tr2bl w:val="nil"/>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op w:val="nil"/>
          <w:left w:val="nil"/>
          <w:bottom w:val="nil"/>
          <w:right w:val="nil"/>
          <w:insideH w:val="nil"/>
          <w:insideV w:val="nil"/>
          <w:tl2br w:val="nil"/>
          <w:tr2bl w:val="nil"/>
        </w:tcBorders>
      </w:tcPr>
    </w:tblStylePr>
    <w:tblStylePr w:type="swCell">
      <w:rPr>
        <w:b/>
        <w:bCs/>
      </w:rPr>
      <w:tblPr/>
      <w:tcPr>
        <w:tcBorders>
          <w:top w:val="nil"/>
          <w:left w:val="nil"/>
          <w:bottom w:val="nil"/>
          <w:right w:val="nil"/>
          <w:insideH w:val="nil"/>
          <w:insideV w:val="nil"/>
          <w:tl2br w:val="nil"/>
          <w:tr2bl w:val="nil"/>
        </w:tcBorders>
      </w:tcPr>
    </w:tblStylePr>
  </w:style>
  <w:style w:type="table" w:styleId="114">
    <w:name w:val="Table Columns 3"/>
    <w:basedOn w:val="84"/>
    <w:semiHidden/>
    <w:qFormat/>
    <w:uiPriority w:val="0"/>
    <w:pPr>
      <w:widowControl w:val="0"/>
      <w:jc w:val="both"/>
    </w:pPr>
    <w:rPr>
      <w:b/>
      <w:bCs/>
    </w:rPr>
    <w:tblPr>
      <w:tblBorders>
        <w:top w:val="single" w:color="000080" w:sz="6" w:space="0"/>
        <w:left w:val="single" w:color="000080" w:sz="6" w:space="0"/>
        <w:bottom w:val="single" w:color="000080" w:sz="6" w:space="0"/>
        <w:right w:val="single" w:color="000080" w:sz="6" w:space="0"/>
        <w:insideV w:val="single" w:color="000080" w:sz="6" w:space="0"/>
      </w:tblBorders>
    </w:tblPr>
    <w:tblStylePr w:type="firstRow">
      <w:rPr>
        <w:color w:val="FFFFFF"/>
      </w:rPr>
      <w:tblPr/>
      <w:tcPr>
        <w:tcBorders>
          <w:top w:val="nil"/>
          <w:left w:val="nil"/>
          <w:bottom w:val="nil"/>
          <w:right w:val="nil"/>
          <w:insideH w:val="nil"/>
          <w:insideV w:val="nil"/>
          <w:tl2br w:val="nil"/>
          <w:tr2bl w:val="nil"/>
        </w:tcBorders>
        <w:shd w:val="solid" w:color="000080" w:fill="FFFFFF"/>
      </w:tcPr>
    </w:tblStylePr>
    <w:tblStylePr w:type="lastRow">
      <w:rPr>
        <w:b w:val="0"/>
        <w:bCs w:val="0"/>
      </w:rPr>
      <w:tblPr/>
      <w:tcPr>
        <w:tcBorders>
          <w:top w:val="single" w:color="000080" w:sz="6" w:space="0"/>
          <w:left w:val="nil"/>
          <w:bottom w:val="nil"/>
          <w:right w:val="nil"/>
          <w:insideH w:val="nil"/>
          <w:insideV w:val="nil"/>
          <w:tl2br w:val="nil"/>
          <w:tr2bl w:val="nil"/>
        </w:tcBorders>
      </w:tcPr>
    </w:tblStylePr>
    <w:tblStylePr w:type="firstCol">
      <w:rPr>
        <w:b w:val="0"/>
        <w:bCs w:val="0"/>
      </w:rPr>
      <w:tblPr/>
      <w:tcPr>
        <w:tcBorders>
          <w:top w:val="nil"/>
          <w:left w:val="nil"/>
          <w:bottom w:val="nil"/>
          <w:right w:val="nil"/>
          <w:insideH w:val="nil"/>
          <w:insideV w:val="nil"/>
          <w:tl2br w:val="nil"/>
          <w:tr2bl w:val="nil"/>
        </w:tcBorders>
      </w:tcPr>
    </w:tblStylePr>
    <w:tblStylePr w:type="lastCol">
      <w:rPr>
        <w:b w:val="0"/>
        <w:bCs w:val="0"/>
      </w:rPr>
      <w:tblPr/>
      <w:tcPr>
        <w:tcBorders>
          <w:top w:val="nil"/>
          <w:left w:val="nil"/>
          <w:bottom w:val="nil"/>
          <w:right w:val="nil"/>
          <w:insideH w:val="nil"/>
          <w:insideV w:val="nil"/>
          <w:tl2br w:val="nil"/>
          <w:tr2bl w:val="nil"/>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op w:val="nil"/>
          <w:left w:val="nil"/>
          <w:bottom w:val="nil"/>
          <w:right w:val="nil"/>
          <w:insideH w:val="nil"/>
          <w:insideV w:val="nil"/>
          <w:tl2br w:val="nil"/>
          <w:tr2bl w:val="nil"/>
        </w:tcBorders>
      </w:tcPr>
    </w:tblStylePr>
  </w:style>
  <w:style w:type="table" w:styleId="115">
    <w:name w:val="Table Columns 4"/>
    <w:basedOn w:val="84"/>
    <w:semiHidden/>
    <w:qFormat/>
    <w:uiPriority w:val="0"/>
    <w:pPr>
      <w:widowControl w:val="0"/>
      <w:jc w:val="both"/>
    </w:pPr>
    <w:tblPr>
      <w:tblStyleColBandSize w:val="1"/>
    </w:tblPr>
    <w:tblStylePr w:type="firstRow">
      <w:rPr>
        <w:color w:val="FFFFFF"/>
      </w:rPr>
      <w:tblPr/>
      <w:tcPr>
        <w:tcBorders>
          <w:top w:val="nil"/>
          <w:left w:val="nil"/>
          <w:bottom w:val="nil"/>
          <w:right w:val="nil"/>
          <w:insideH w:val="nil"/>
          <w:insideV w:val="nil"/>
          <w:tl2br w:val="nil"/>
          <w:tr2bl w:val="nil"/>
        </w:tcBorders>
        <w:shd w:val="solid" w:color="000000" w:fill="FFFFFF"/>
      </w:tcPr>
    </w:tblStylePr>
    <w:tblStylePr w:type="lastRow">
      <w:rPr>
        <w:b/>
        <w:bCs/>
      </w:rPr>
      <w:tblPr/>
      <w:tcPr>
        <w:tcBorders>
          <w:top w:val="nil"/>
          <w:left w:val="nil"/>
          <w:bottom w:val="nil"/>
          <w:right w:val="nil"/>
          <w:insideH w:val="nil"/>
          <w:insideV w:val="nil"/>
          <w:tl2br w:val="nil"/>
          <w:tr2bl w:val="nil"/>
        </w:tcBorders>
      </w:tcPr>
    </w:tblStylePr>
    <w:tblStylePr w:type="lastCol">
      <w:rPr>
        <w:b/>
        <w:bCs/>
      </w:rPr>
      <w:tblPr/>
      <w:tcPr>
        <w:tcBorders>
          <w:top w:val="nil"/>
          <w:left w:val="nil"/>
          <w:bottom w:val="nil"/>
          <w:right w:val="nil"/>
          <w:insideH w:val="nil"/>
          <w:insideV w:val="nil"/>
          <w:tl2br w:val="nil"/>
          <w:tr2bl w:val="nil"/>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116">
    <w:name w:val="Table Columns 5"/>
    <w:basedOn w:val="84"/>
    <w:semiHidden/>
    <w:qFormat/>
    <w:uiPriority w:val="0"/>
    <w:pPr>
      <w:widowControl w:val="0"/>
      <w:jc w:val="both"/>
    </w:pPr>
    <w:tblPr>
      <w:tblBorders>
        <w:top w:val="single" w:color="808080" w:sz="12" w:space="0"/>
        <w:left w:val="single" w:color="808080" w:sz="12" w:space="0"/>
        <w:bottom w:val="single" w:color="808080" w:sz="12" w:space="0"/>
        <w:right w:val="single" w:color="808080" w:sz="12" w:space="0"/>
        <w:insideV w:val="single" w:color="C0C0C0" w:sz="6" w:space="0"/>
      </w:tblBorders>
    </w:tblPr>
    <w:tblStylePr w:type="firstRow">
      <w:rPr>
        <w:b/>
        <w:bCs/>
        <w:i/>
        <w:iCs/>
      </w:rPr>
      <w:tblPr/>
      <w:tcPr>
        <w:tcBorders>
          <w:top w:val="nil"/>
          <w:left w:val="single" w:color="808080" w:sz="6" w:space="0"/>
          <w:bottom w:val="nil"/>
          <w:right w:val="nil"/>
          <w:insideH w:val="nil"/>
          <w:insideV w:val="nil"/>
          <w:tl2br w:val="nil"/>
          <w:tr2bl w:val="nil"/>
        </w:tcBorders>
      </w:tcPr>
    </w:tblStylePr>
    <w:tblStylePr w:type="lastRow">
      <w:rPr>
        <w:b/>
        <w:bCs/>
      </w:rPr>
      <w:tblPr/>
      <w:tcPr>
        <w:tcBorders>
          <w:top w:val="single" w:color="808080" w:sz="6" w:space="0"/>
          <w:left w:val="nil"/>
          <w:bottom w:val="nil"/>
          <w:right w:val="nil"/>
          <w:insideH w:val="nil"/>
          <w:insideV w:val="nil"/>
          <w:tl2br w:val="nil"/>
          <w:tr2bl w:val="nil"/>
        </w:tcBorders>
      </w:tcPr>
    </w:tblStylePr>
    <w:tblStylePr w:type="firstCol">
      <w:rPr>
        <w:b/>
        <w:bCs/>
      </w:rPr>
      <w:tblPr/>
      <w:tcPr>
        <w:tcBorders>
          <w:top w:val="nil"/>
          <w:left w:val="nil"/>
          <w:bottom w:val="nil"/>
          <w:right w:val="nil"/>
          <w:insideH w:val="nil"/>
          <w:insideV w:val="nil"/>
          <w:tl2br w:val="nil"/>
          <w:tr2bl w:val="nil"/>
        </w:tcBorders>
      </w:tcPr>
    </w:tblStylePr>
    <w:tblStylePr w:type="lastCol">
      <w:rPr>
        <w:b/>
        <w:bCs/>
      </w:rPr>
      <w:tblPr/>
      <w:tcPr>
        <w:tcBorders>
          <w:top w:val="nil"/>
          <w:left w:val="nil"/>
          <w:bottom w:val="nil"/>
          <w:right w:val="nil"/>
          <w:insideH w:val="nil"/>
          <w:insideV w:val="nil"/>
          <w:tl2br w:val="nil"/>
          <w:tr2bl w:val="nil"/>
        </w:tcBorders>
      </w:tcPr>
    </w:tblStylePr>
    <w:tblStylePr w:type="band1Vert">
      <w:rPr>
        <w:color w:val="auto"/>
      </w:rPr>
      <w:tblPr/>
      <w:tcPr>
        <w:shd w:val="solid" w:color="C0C0C0" w:fill="FFFFFF"/>
      </w:tcPr>
    </w:tblStylePr>
    <w:tblStylePr w:type="band2Vert">
      <w:rPr>
        <w:color w:val="auto"/>
      </w:rPr>
    </w:tblStylePr>
  </w:style>
  <w:style w:type="table" w:styleId="117">
    <w:name w:val="Table Grid 1"/>
    <w:basedOn w:val="84"/>
    <w:semiHidden/>
    <w:qFormat/>
    <w:uiPriority w:val="0"/>
    <w:pPr>
      <w:widowControl w:val="0"/>
      <w:jc w:val="both"/>
    </w:pPr>
    <w:tblP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
    <w:tcPr>
      <w:shd w:val="clear" w:color="auto" w:fill="auto"/>
    </w:tcPr>
    <w:tblStylePr w:type="lastRow">
      <w:rPr>
        <w:i/>
        <w:iCs/>
      </w:rPr>
      <w:tblPr/>
      <w:tcPr>
        <w:tcBorders>
          <w:top w:val="nil"/>
          <w:left w:val="nil"/>
          <w:bottom w:val="nil"/>
          <w:right w:val="nil"/>
          <w:insideH w:val="nil"/>
          <w:insideV w:val="nil"/>
          <w:tl2br w:val="nil"/>
          <w:tr2bl w:val="nil"/>
        </w:tcBorders>
      </w:tcPr>
    </w:tblStylePr>
    <w:tblStylePr w:type="lastCol">
      <w:rPr>
        <w:i/>
        <w:iCs/>
      </w:rPr>
      <w:tblPr/>
      <w:tcPr>
        <w:tcBorders>
          <w:top w:val="nil"/>
          <w:left w:val="nil"/>
          <w:bottom w:val="nil"/>
          <w:right w:val="nil"/>
          <w:insideH w:val="nil"/>
          <w:insideV w:val="nil"/>
          <w:tl2br w:val="nil"/>
          <w:tr2bl w:val="nil"/>
        </w:tcBorders>
      </w:tcPr>
    </w:tblStylePr>
    <w:tblStylePr w:type="nwCell">
      <w:tblPr/>
      <w:tcPr>
        <w:tcBorders>
          <w:top w:val="nil"/>
          <w:left w:val="nil"/>
          <w:bottom w:val="nil"/>
          <w:right w:val="nil"/>
          <w:insideH w:val="nil"/>
          <w:insideV w:val="nil"/>
          <w:tl2br w:val="single" w:color="000000" w:sz="6" w:space="0"/>
          <w:tr2bl w:val="nil"/>
        </w:tcBorders>
      </w:tcPr>
    </w:tblStylePr>
  </w:style>
  <w:style w:type="table" w:styleId="118">
    <w:name w:val="Table Grid 2"/>
    <w:basedOn w:val="84"/>
    <w:semiHidden/>
    <w:qFormat/>
    <w:uiPriority w:val="0"/>
    <w:pPr>
      <w:widowControl w:val="0"/>
      <w:jc w:val="both"/>
    </w:pPr>
    <w:tblPr>
      <w:tblBorders>
        <w:insideH w:val="single" w:color="000000" w:sz="6" w:space="0"/>
        <w:insideV w:val="single" w:color="000000" w:sz="6" w:space="0"/>
      </w:tblBorders>
    </w:tblPr>
    <w:tcPr>
      <w:shd w:val="clear" w:color="auto" w:fill="auto"/>
    </w:tcPr>
    <w:tblStylePr w:type="firstRow">
      <w:rPr>
        <w:b/>
        <w:bCs/>
      </w:rPr>
      <w:tblPr/>
      <w:tcPr>
        <w:tcBorders>
          <w:top w:val="nil"/>
          <w:left w:val="nil"/>
          <w:bottom w:val="nil"/>
          <w:right w:val="nil"/>
          <w:insideH w:val="nil"/>
          <w:insideV w:val="nil"/>
          <w:tl2br w:val="nil"/>
          <w:tr2bl w:val="nil"/>
        </w:tcBorders>
      </w:tcPr>
    </w:tblStylePr>
    <w:tblStylePr w:type="lastRow">
      <w:rPr>
        <w:b/>
        <w:bCs/>
      </w:rPr>
      <w:tblPr/>
      <w:tcPr>
        <w:tcBorders>
          <w:top w:val="single" w:color="000000" w:sz="6" w:space="0"/>
          <w:left w:val="nil"/>
          <w:bottom w:val="nil"/>
          <w:right w:val="nil"/>
          <w:insideH w:val="nil"/>
          <w:insideV w:val="nil"/>
          <w:tl2br w:val="nil"/>
          <w:tr2bl w:val="nil"/>
        </w:tcBorders>
      </w:tcPr>
    </w:tblStylePr>
    <w:tblStylePr w:type="firstCol">
      <w:rPr>
        <w:b/>
        <w:bCs/>
      </w:rPr>
      <w:tblPr/>
      <w:tcPr>
        <w:tcBorders>
          <w:top w:val="nil"/>
          <w:left w:val="nil"/>
          <w:bottom w:val="nil"/>
          <w:right w:val="nil"/>
          <w:insideH w:val="nil"/>
          <w:insideV w:val="nil"/>
          <w:tl2br w:val="nil"/>
          <w:tr2bl w:val="nil"/>
        </w:tcBorders>
      </w:tcPr>
    </w:tblStylePr>
    <w:tblStylePr w:type="lastCol">
      <w:rPr>
        <w:b/>
        <w:bCs/>
      </w:rPr>
      <w:tblPr/>
      <w:tcPr>
        <w:tcBorders>
          <w:top w:val="nil"/>
          <w:left w:val="nil"/>
          <w:bottom w:val="nil"/>
          <w:right w:val="nil"/>
          <w:insideH w:val="nil"/>
          <w:insideV w:val="nil"/>
          <w:tl2br w:val="nil"/>
          <w:tr2bl w:val="nil"/>
        </w:tcBorders>
      </w:tcPr>
    </w:tblStylePr>
  </w:style>
  <w:style w:type="table" w:styleId="119">
    <w:name w:val="Table Grid 3"/>
    <w:basedOn w:val="84"/>
    <w:semiHidden/>
    <w:qFormat/>
    <w:uiPriority w:val="0"/>
    <w:pPr>
      <w:widowControl w:val="0"/>
      <w:jc w:val="both"/>
    </w:pPr>
    <w:tblPr>
      <w:tblBorders>
        <w:top w:val="single" w:color="000000" w:sz="6" w:space="0"/>
        <w:left w:val="single" w:color="000000" w:sz="12" w:space="0"/>
        <w:bottom w:val="single" w:color="000000" w:sz="6" w:space="0"/>
        <w:right w:val="single" w:color="000000" w:sz="12" w:space="0"/>
        <w:insideV w:val="single" w:color="000000" w:sz="6" w:space="0"/>
      </w:tblBorders>
    </w:tblPr>
    <w:tcPr>
      <w:shd w:val="clear" w:color="auto" w:fill="auto"/>
    </w:tcPr>
    <w:tblStylePr w:type="firstRow">
      <w:tblPr/>
      <w:tcPr>
        <w:tcBorders>
          <w:top w:val="nil"/>
          <w:left w:val="single" w:color="000000" w:sz="6" w:space="0"/>
          <w:bottom w:val="nil"/>
          <w:right w:val="nil"/>
          <w:insideH w:val="nil"/>
          <w:insideV w:val="nil"/>
          <w:tl2br w:val="nil"/>
          <w:tr2bl w:val="nil"/>
        </w:tcBorders>
        <w:shd w:val="pct30" w:color="FFFF00" w:fill="FFFFFF"/>
      </w:tcPr>
    </w:tblStylePr>
    <w:tblStylePr w:type="lastRow">
      <w:rPr>
        <w:b/>
        <w:bCs/>
      </w:rPr>
      <w:tblPr/>
      <w:tcPr>
        <w:tcBorders>
          <w:top w:val="nil"/>
          <w:left w:val="nil"/>
          <w:bottom w:val="nil"/>
          <w:right w:val="nil"/>
          <w:insideH w:val="nil"/>
          <w:insideV w:val="nil"/>
          <w:tl2br w:val="nil"/>
          <w:tr2bl w:val="nil"/>
        </w:tcBorders>
      </w:tcPr>
    </w:tblStylePr>
    <w:tblStylePr w:type="lastCol">
      <w:rPr>
        <w:b/>
        <w:bCs/>
      </w:rPr>
      <w:tblPr/>
      <w:tcPr>
        <w:tcBorders>
          <w:top w:val="nil"/>
          <w:left w:val="nil"/>
          <w:bottom w:val="nil"/>
          <w:right w:val="nil"/>
          <w:insideH w:val="nil"/>
          <w:insideV w:val="nil"/>
          <w:tl2br w:val="nil"/>
          <w:tr2bl w:val="nil"/>
        </w:tcBorders>
      </w:tcPr>
    </w:tblStylePr>
    <w:tblStylePr w:type="nwCell">
      <w:tblPr/>
      <w:tcPr>
        <w:tcBorders>
          <w:top w:val="nil"/>
          <w:left w:val="nil"/>
          <w:bottom w:val="nil"/>
          <w:right w:val="nil"/>
          <w:insideH w:val="nil"/>
          <w:insideV w:val="nil"/>
          <w:tl2br w:val="single" w:color="000000" w:sz="6" w:space="0"/>
          <w:tr2bl w:val="nil"/>
        </w:tcBorders>
      </w:tcPr>
    </w:tblStylePr>
  </w:style>
  <w:style w:type="table" w:styleId="120">
    <w:name w:val="Table Grid 4"/>
    <w:basedOn w:val="84"/>
    <w:semiHidden/>
    <w:qFormat/>
    <w:uiPriority w:val="0"/>
    <w:pPr>
      <w:widowControl w:val="0"/>
      <w:jc w:val="both"/>
    </w:pPr>
    <w:tblPr>
      <w:tblBorders>
        <w:left w:val="single" w:color="000000" w:sz="12" w:space="0"/>
        <w:right w:val="single" w:color="000000" w:sz="12" w:space="0"/>
        <w:insideH w:val="single" w:color="000000" w:sz="6" w:space="0"/>
        <w:insideV w:val="single" w:color="000000" w:sz="6" w:space="0"/>
      </w:tblBorders>
    </w:tblPr>
    <w:tcPr>
      <w:shd w:val="clear" w:color="auto" w:fill="auto"/>
    </w:tcPr>
    <w:tblStylePr w:type="firstRow">
      <w:rPr>
        <w:color w:val="auto"/>
      </w:rPr>
      <w:tblPr/>
      <w:tcPr>
        <w:tcBorders>
          <w:top w:val="nil"/>
          <w:left w:val="single" w:color="000000" w:sz="6" w:space="0"/>
          <w:bottom w:val="nil"/>
          <w:right w:val="nil"/>
          <w:insideH w:val="nil"/>
          <w:insideV w:val="nil"/>
          <w:tl2br w:val="nil"/>
          <w:tr2bl w:val="nil"/>
        </w:tcBorders>
        <w:shd w:val="pct30" w:color="FFFF00" w:fill="FFFFFF"/>
      </w:tcPr>
    </w:tblStylePr>
    <w:tblStylePr w:type="lastRow">
      <w:rPr>
        <w:b/>
        <w:bCs/>
        <w:color w:val="auto"/>
      </w:rPr>
      <w:tblPr/>
      <w:tcPr>
        <w:tcBorders>
          <w:top w:val="single" w:color="000000" w:sz="6" w:space="0"/>
          <w:left w:val="nil"/>
          <w:bottom w:val="nil"/>
          <w:right w:val="nil"/>
          <w:insideH w:val="nil"/>
          <w:insideV w:val="nil"/>
          <w:tl2br w:val="nil"/>
          <w:tr2bl w:val="nil"/>
        </w:tcBorders>
        <w:shd w:val="pct30" w:color="FFFF00" w:fill="FFFFFF"/>
      </w:tcPr>
    </w:tblStylePr>
    <w:tblStylePr w:type="lastCol">
      <w:rPr>
        <w:b/>
        <w:bCs/>
        <w:color w:val="auto"/>
      </w:rPr>
      <w:tblPr/>
      <w:tcPr>
        <w:tcBorders>
          <w:top w:val="nil"/>
          <w:left w:val="nil"/>
          <w:bottom w:val="nil"/>
          <w:right w:val="nil"/>
          <w:insideH w:val="nil"/>
          <w:insideV w:val="nil"/>
          <w:tl2br w:val="nil"/>
          <w:tr2bl w:val="nil"/>
        </w:tcBorders>
      </w:tcPr>
    </w:tblStylePr>
  </w:style>
  <w:style w:type="table" w:styleId="121">
    <w:name w:val="Table Grid 5"/>
    <w:basedOn w:val="84"/>
    <w:semiHidden/>
    <w:qFormat/>
    <w:uiPriority w:val="0"/>
    <w:pPr>
      <w:widowControl w:val="0"/>
      <w:jc w:val="both"/>
    </w:pPr>
    <w:tblPr>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Pr>
    <w:tcPr>
      <w:shd w:val="clear" w:color="auto" w:fill="auto"/>
    </w:tcPr>
    <w:tblStylePr w:type="firstRow">
      <w:tblPr/>
      <w:tcPr>
        <w:tcBorders>
          <w:top w:val="nil"/>
          <w:left w:val="single" w:color="000000" w:sz="12" w:space="0"/>
          <w:bottom w:val="nil"/>
          <w:right w:val="nil"/>
          <w:insideH w:val="nil"/>
          <w:insideV w:val="nil"/>
          <w:tl2br w:val="nil"/>
          <w:tr2bl w:val="nil"/>
        </w:tcBorders>
      </w:tcPr>
    </w:tblStylePr>
    <w:tblStylePr w:type="lastRow">
      <w:rPr>
        <w:b/>
        <w:bCs/>
      </w:rPr>
      <w:tblPr/>
      <w:tcPr>
        <w:tcBorders>
          <w:top w:val="nil"/>
          <w:left w:val="nil"/>
          <w:bottom w:val="nil"/>
          <w:right w:val="nil"/>
          <w:insideH w:val="nil"/>
          <w:insideV w:val="nil"/>
          <w:tl2br w:val="nil"/>
          <w:tr2bl w:val="nil"/>
        </w:tcBorders>
      </w:tcPr>
    </w:tblStylePr>
    <w:tblStylePr w:type="lastCol">
      <w:rPr>
        <w:b/>
        <w:bCs/>
      </w:rPr>
      <w:tblPr/>
      <w:tcPr>
        <w:tcBorders>
          <w:top w:val="nil"/>
          <w:left w:val="nil"/>
          <w:bottom w:val="nil"/>
          <w:right w:val="nil"/>
          <w:insideH w:val="nil"/>
          <w:insideV w:val="nil"/>
          <w:tl2br w:val="nil"/>
          <w:tr2bl w:val="nil"/>
        </w:tcBorders>
      </w:tcPr>
    </w:tblStylePr>
    <w:tblStylePr w:type="nwCell">
      <w:tblPr/>
      <w:tcPr>
        <w:tcBorders>
          <w:top w:val="nil"/>
          <w:left w:val="nil"/>
          <w:bottom w:val="nil"/>
          <w:right w:val="nil"/>
          <w:insideH w:val="nil"/>
          <w:insideV w:val="nil"/>
          <w:tl2br w:val="single" w:color="000000" w:sz="6" w:space="0"/>
          <w:tr2bl w:val="nil"/>
        </w:tcBorders>
      </w:tcPr>
    </w:tblStylePr>
  </w:style>
  <w:style w:type="table" w:styleId="122">
    <w:name w:val="Table Grid 6"/>
    <w:basedOn w:val="84"/>
    <w:semiHidden/>
    <w:qFormat/>
    <w:uiPriority w:val="0"/>
    <w:pPr>
      <w:widowControl w:val="0"/>
      <w:jc w:val="both"/>
    </w:pPr>
    <w:tblPr>
      <w:tblBorders>
        <w:top w:val="single" w:color="000000" w:sz="12" w:space="0"/>
        <w:left w:val="single" w:color="000000" w:sz="12" w:space="0"/>
        <w:bottom w:val="single" w:color="000000" w:sz="12" w:space="0"/>
        <w:right w:val="single" w:color="000000" w:sz="12" w:space="0"/>
        <w:insideV w:val="single" w:color="000000" w:sz="6" w:space="0"/>
      </w:tblBorders>
    </w:tblPr>
    <w:tcPr>
      <w:shd w:val="clear" w:color="auto" w:fill="auto"/>
    </w:tcPr>
    <w:tblStylePr w:type="firstRow">
      <w:rPr>
        <w:b/>
        <w:bCs/>
      </w:rPr>
      <w:tblPr/>
      <w:tcPr>
        <w:tcBorders>
          <w:top w:val="nil"/>
          <w:left w:val="single" w:color="000000" w:sz="6" w:space="0"/>
          <w:bottom w:val="nil"/>
          <w:right w:val="nil"/>
          <w:insideH w:val="nil"/>
          <w:insideV w:val="nil"/>
          <w:tl2br w:val="nil"/>
          <w:tr2bl w:val="nil"/>
        </w:tcBorders>
      </w:tcPr>
    </w:tblStylePr>
    <w:tblStylePr w:type="lastRow">
      <w:rPr>
        <w:color w:val="auto"/>
      </w:rPr>
      <w:tblPr/>
      <w:tcPr>
        <w:tcBorders>
          <w:top w:val="single" w:color="000000" w:sz="6" w:space="0"/>
          <w:left w:val="nil"/>
          <w:bottom w:val="nil"/>
          <w:right w:val="nil"/>
          <w:insideH w:val="nil"/>
          <w:insideV w:val="nil"/>
          <w:tl2br w:val="nil"/>
          <w:tr2bl w:val="nil"/>
        </w:tcBorders>
      </w:tcPr>
    </w:tblStylePr>
    <w:tblStylePr w:type="firstCol">
      <w:rPr>
        <w:b/>
        <w:bCs/>
      </w:rPr>
      <w:tblPr/>
      <w:tcPr>
        <w:tcBorders>
          <w:top w:val="nil"/>
          <w:left w:val="nil"/>
          <w:bottom w:val="nil"/>
          <w:right w:val="nil"/>
          <w:insideH w:val="nil"/>
          <w:insideV w:val="nil"/>
          <w:tl2br w:val="nil"/>
          <w:tr2bl w:val="nil"/>
        </w:tcBorders>
      </w:tcPr>
    </w:tblStylePr>
    <w:tblStylePr w:type="nwCell">
      <w:tblPr/>
      <w:tcPr>
        <w:tcBorders>
          <w:top w:val="nil"/>
          <w:left w:val="nil"/>
          <w:bottom w:val="nil"/>
          <w:right w:val="nil"/>
          <w:insideH w:val="nil"/>
          <w:insideV w:val="nil"/>
          <w:tl2br w:val="single" w:color="000000" w:sz="6" w:space="0"/>
          <w:tr2bl w:val="nil"/>
        </w:tcBorders>
      </w:tcPr>
    </w:tblStylePr>
  </w:style>
  <w:style w:type="table" w:styleId="123">
    <w:name w:val="Table Grid 7"/>
    <w:basedOn w:val="84"/>
    <w:semiHidden/>
    <w:qFormat/>
    <w:uiPriority w:val="0"/>
    <w:pPr>
      <w:widowControl w:val="0"/>
      <w:jc w:val="both"/>
    </w:pPr>
    <w:rPr>
      <w:b/>
      <w:bCs/>
    </w:rPr>
    <w:tblPr>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Pr>
    <w:tcPr>
      <w:shd w:val="clear" w:color="auto" w:fill="auto"/>
    </w:tcPr>
    <w:tblStylePr w:type="firstRow">
      <w:rPr>
        <w:b w:val="0"/>
        <w:bCs w:val="0"/>
      </w:rPr>
      <w:tblPr/>
      <w:tcPr>
        <w:tcBorders>
          <w:top w:val="nil"/>
          <w:left w:val="single" w:color="000000" w:sz="12" w:space="0"/>
          <w:bottom w:val="nil"/>
          <w:right w:val="nil"/>
          <w:insideH w:val="nil"/>
          <w:insideV w:val="nil"/>
          <w:tl2br w:val="nil"/>
          <w:tr2bl w:val="nil"/>
        </w:tcBorders>
      </w:tcPr>
    </w:tblStylePr>
    <w:tblStylePr w:type="lastRow">
      <w:rPr>
        <w:b w:val="0"/>
        <w:bCs w:val="0"/>
      </w:rPr>
      <w:tblPr/>
      <w:tcPr>
        <w:tcBorders>
          <w:top w:val="single" w:color="000000" w:sz="6" w:space="0"/>
          <w:left w:val="nil"/>
          <w:bottom w:val="nil"/>
          <w:right w:val="nil"/>
          <w:insideH w:val="nil"/>
          <w:insideV w:val="nil"/>
          <w:tl2br w:val="nil"/>
          <w:tr2bl w:val="nil"/>
        </w:tcBorders>
      </w:tcPr>
    </w:tblStylePr>
    <w:tblStylePr w:type="firstCol">
      <w:rPr>
        <w:b w:val="0"/>
        <w:bCs w:val="0"/>
      </w:rPr>
      <w:tblPr/>
      <w:tcPr>
        <w:tcBorders>
          <w:top w:val="nil"/>
          <w:left w:val="nil"/>
          <w:bottom w:val="nil"/>
          <w:right w:val="nil"/>
          <w:insideH w:val="nil"/>
          <w:insideV w:val="nil"/>
          <w:tl2br w:val="nil"/>
          <w:tr2bl w:val="nil"/>
        </w:tcBorders>
      </w:tcPr>
    </w:tblStylePr>
    <w:tblStylePr w:type="lastCol">
      <w:rPr>
        <w:b w:val="0"/>
        <w:bCs w:val="0"/>
      </w:rPr>
      <w:tblPr/>
      <w:tcPr>
        <w:tcBorders>
          <w:top w:val="nil"/>
          <w:left w:val="nil"/>
          <w:bottom w:val="nil"/>
          <w:right w:val="nil"/>
          <w:insideH w:val="nil"/>
          <w:insideV w:val="nil"/>
          <w:tl2br w:val="nil"/>
          <w:tr2bl w:val="nil"/>
        </w:tcBorders>
      </w:tcPr>
    </w:tblStylePr>
    <w:tblStylePr w:type="nwCell">
      <w:tblPr/>
      <w:tcPr>
        <w:tcBorders>
          <w:top w:val="nil"/>
          <w:left w:val="nil"/>
          <w:bottom w:val="nil"/>
          <w:right w:val="nil"/>
          <w:insideH w:val="nil"/>
          <w:insideV w:val="nil"/>
          <w:tl2br w:val="single" w:color="000000" w:sz="6" w:space="0"/>
          <w:tr2bl w:val="nil"/>
        </w:tcBorders>
      </w:tcPr>
    </w:tblStylePr>
  </w:style>
  <w:style w:type="table" w:styleId="124">
    <w:name w:val="Table Grid 8"/>
    <w:basedOn w:val="84"/>
    <w:semiHidden/>
    <w:qFormat/>
    <w:uiPriority w:val="0"/>
    <w:pPr>
      <w:widowControl w:val="0"/>
      <w:jc w:val="both"/>
    </w:pPr>
    <w:tblPr>
      <w:tblBorders>
        <w:top w:val="single" w:color="000080" w:sz="6" w:space="0"/>
        <w:left w:val="single" w:color="000080" w:sz="6" w:space="0"/>
        <w:bottom w:val="single" w:color="000080" w:sz="6" w:space="0"/>
        <w:right w:val="single" w:color="000080" w:sz="6" w:space="0"/>
        <w:insideH w:val="single" w:color="000080" w:sz="6" w:space="0"/>
        <w:insideV w:val="single" w:color="000080" w:sz="6" w:space="0"/>
      </w:tblBorders>
    </w:tblPr>
    <w:tcPr>
      <w:shd w:val="clear" w:color="auto" w:fill="auto"/>
    </w:tcPr>
    <w:tblStylePr w:type="firstRow">
      <w:rPr>
        <w:b/>
        <w:bCs/>
        <w:color w:val="FFFFFF"/>
      </w:rPr>
      <w:tblPr/>
      <w:tcPr>
        <w:tcBorders>
          <w:top w:val="nil"/>
          <w:left w:val="nil"/>
          <w:bottom w:val="nil"/>
          <w:right w:val="nil"/>
          <w:insideH w:val="nil"/>
          <w:insideV w:val="nil"/>
          <w:tl2br w:val="nil"/>
          <w:tr2bl w:val="nil"/>
        </w:tcBorders>
        <w:shd w:val="solid" w:color="000080" w:fill="FFFFFF"/>
      </w:tcPr>
    </w:tblStylePr>
    <w:tblStylePr w:type="lastRow">
      <w:rPr>
        <w:b/>
        <w:bCs/>
        <w:color w:val="auto"/>
      </w:rPr>
      <w:tblPr/>
      <w:tcPr>
        <w:tcBorders>
          <w:top w:val="nil"/>
          <w:left w:val="nil"/>
          <w:bottom w:val="nil"/>
          <w:right w:val="nil"/>
          <w:insideH w:val="nil"/>
          <w:insideV w:val="nil"/>
          <w:tl2br w:val="nil"/>
          <w:tr2bl w:val="nil"/>
        </w:tcBorders>
      </w:tcPr>
    </w:tblStylePr>
    <w:tblStylePr w:type="lastCol">
      <w:rPr>
        <w:b/>
        <w:bCs/>
        <w:color w:val="auto"/>
      </w:rPr>
      <w:tblPr/>
      <w:tcPr>
        <w:tcBorders>
          <w:top w:val="nil"/>
          <w:left w:val="nil"/>
          <w:bottom w:val="nil"/>
          <w:right w:val="nil"/>
          <w:insideH w:val="nil"/>
          <w:insideV w:val="nil"/>
          <w:tl2br w:val="nil"/>
          <w:tr2bl w:val="nil"/>
        </w:tcBorders>
      </w:tcPr>
    </w:tblStylePr>
  </w:style>
  <w:style w:type="table" w:styleId="125">
    <w:name w:val="Table Web 1"/>
    <w:basedOn w:val="84"/>
    <w:semiHidden/>
    <w:qFormat/>
    <w:uiPriority w:val="0"/>
    <w:pPr>
      <w:widowControl w:val="0"/>
      <w:jc w:val="both"/>
    </w:pPr>
    <w:tblPr>
      <w:tblCellSpacing w:w="20" w:type="dxa"/>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Pr>
    <w:trPr>
      <w:tblCellSpacing w:w="20" w:type="dxa"/>
    </w:trPr>
    <w:tcPr>
      <w:shd w:val="clear" w:color="auto" w:fill="auto"/>
    </w:tcPr>
    <w:tblStylePr w:type="firstRow">
      <w:rPr>
        <w:color w:val="auto"/>
      </w:rPr>
      <w:tblPr/>
      <w:tcPr>
        <w:tcBorders>
          <w:top w:val="nil"/>
          <w:left w:val="nil"/>
          <w:bottom w:val="nil"/>
          <w:right w:val="nil"/>
          <w:insideH w:val="nil"/>
          <w:insideV w:val="nil"/>
          <w:tl2br w:val="nil"/>
          <w:tr2bl w:val="nil"/>
        </w:tcBorders>
      </w:tcPr>
    </w:tblStylePr>
  </w:style>
  <w:style w:type="table" w:styleId="126">
    <w:name w:val="Table Web 2"/>
    <w:basedOn w:val="84"/>
    <w:semiHidden/>
    <w:qFormat/>
    <w:uiPriority w:val="0"/>
    <w:pPr>
      <w:widowControl w:val="0"/>
      <w:jc w:val="both"/>
    </w:pPr>
    <w:tblPr>
      <w:tblCellSpacing w:w="20" w:type="dxa"/>
      <w:tblBorders>
        <w:top w:val="inset" w:color="auto" w:sz="6" w:space="0"/>
        <w:left w:val="inset" w:color="auto" w:sz="6" w:space="0"/>
        <w:bottom w:val="inset" w:color="auto" w:sz="6" w:space="0"/>
        <w:right w:val="inset" w:color="auto" w:sz="6" w:space="0"/>
        <w:insideH w:val="inset" w:color="auto" w:sz="6" w:space="0"/>
        <w:insideV w:val="inset" w:color="auto" w:sz="6" w:space="0"/>
      </w:tblBorders>
    </w:tblPr>
    <w:trPr>
      <w:tblCellSpacing w:w="20" w:type="dxa"/>
    </w:trPr>
    <w:tcPr>
      <w:shd w:val="clear" w:color="auto" w:fill="auto"/>
    </w:tcPr>
    <w:tblStylePr w:type="firstRow">
      <w:rPr>
        <w:color w:val="auto"/>
      </w:rPr>
      <w:tblPr/>
      <w:tcPr>
        <w:tcBorders>
          <w:top w:val="nil"/>
          <w:left w:val="nil"/>
          <w:bottom w:val="nil"/>
          <w:right w:val="nil"/>
          <w:insideH w:val="nil"/>
          <w:insideV w:val="nil"/>
          <w:tl2br w:val="nil"/>
          <w:tr2bl w:val="nil"/>
        </w:tcBorders>
      </w:tcPr>
    </w:tblStylePr>
  </w:style>
  <w:style w:type="table" w:styleId="127">
    <w:name w:val="Table Web 3"/>
    <w:basedOn w:val="84"/>
    <w:semiHidden/>
    <w:qFormat/>
    <w:uiPriority w:val="0"/>
    <w:pPr>
      <w:widowControl w:val="0"/>
      <w:jc w:val="both"/>
    </w:pPr>
    <w:tblPr>
      <w:tblCellSpacing w:w="20" w:type="dxa"/>
      <w:tblBorders>
        <w:top w:val="outset" w:color="auto" w:sz="24" w:space="0"/>
        <w:left w:val="outset" w:color="auto" w:sz="24" w:space="0"/>
        <w:bottom w:val="outset" w:color="auto" w:sz="24" w:space="0"/>
        <w:right w:val="outset" w:color="auto" w:sz="24" w:space="0"/>
        <w:insideH w:val="outset" w:color="auto" w:sz="6" w:space="0"/>
        <w:insideV w:val="outset" w:color="auto" w:sz="6" w:space="0"/>
      </w:tblBorders>
    </w:tblPr>
    <w:trPr>
      <w:tblCellSpacing w:w="20" w:type="dxa"/>
    </w:trPr>
    <w:tcPr>
      <w:shd w:val="clear" w:color="auto" w:fill="auto"/>
    </w:tcPr>
    <w:tblStylePr w:type="firstRow">
      <w:rPr>
        <w:color w:val="auto"/>
      </w:rPr>
      <w:tblPr/>
      <w:tcPr>
        <w:tcBorders>
          <w:top w:val="nil"/>
          <w:left w:val="nil"/>
          <w:bottom w:val="nil"/>
          <w:right w:val="nil"/>
          <w:insideH w:val="nil"/>
          <w:insideV w:val="nil"/>
          <w:tl2br w:val="nil"/>
          <w:tr2bl w:val="nil"/>
        </w:tcBorders>
      </w:tcPr>
    </w:tblStylePr>
  </w:style>
  <w:style w:type="table" w:styleId="128">
    <w:name w:val="Table Professional"/>
    <w:basedOn w:val="84"/>
    <w:semiHidden/>
    <w:qFormat/>
    <w:uiPriority w:val="0"/>
    <w:pPr>
      <w:widowControl w:val="0"/>
      <w:jc w:val="both"/>
    </w:pPr>
    <w:tblP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
    <w:tcPr>
      <w:shd w:val="clear" w:color="auto" w:fill="auto"/>
    </w:tcPr>
    <w:tblStylePr w:type="firstRow">
      <w:rPr>
        <w:b/>
        <w:bCs/>
        <w:color w:val="auto"/>
      </w:rPr>
      <w:tblPr/>
      <w:tcPr>
        <w:tcBorders>
          <w:top w:val="nil"/>
          <w:left w:val="nil"/>
          <w:bottom w:val="nil"/>
          <w:right w:val="nil"/>
          <w:insideH w:val="nil"/>
          <w:insideV w:val="nil"/>
          <w:tl2br w:val="nil"/>
          <w:tr2bl w:val="nil"/>
        </w:tcBorders>
        <w:shd w:val="solid" w:color="000000" w:fill="FFFFFF"/>
      </w:tcPr>
    </w:tblStylePr>
  </w:style>
  <w:style w:type="character" w:styleId="130">
    <w:name w:val="Strong"/>
    <w:qFormat/>
    <w:uiPriority w:val="0"/>
    <w:rPr>
      <w:b/>
      <w:bCs/>
    </w:rPr>
  </w:style>
  <w:style w:type="character" w:styleId="131">
    <w:name w:val="page number"/>
    <w:qFormat/>
    <w:uiPriority w:val="0"/>
  </w:style>
  <w:style w:type="character" w:styleId="132">
    <w:name w:val="FollowedHyperlink"/>
    <w:qFormat/>
    <w:uiPriority w:val="99"/>
    <w:rPr>
      <w:color w:val="800080"/>
      <w:u w:val="single"/>
    </w:rPr>
  </w:style>
  <w:style w:type="character" w:styleId="133">
    <w:name w:val="Emphasis"/>
    <w:qFormat/>
    <w:uiPriority w:val="0"/>
    <w:rPr>
      <w:color w:val="CC0000"/>
    </w:rPr>
  </w:style>
  <w:style w:type="character" w:styleId="134">
    <w:name w:val="line number"/>
    <w:semiHidden/>
    <w:qFormat/>
    <w:uiPriority w:val="0"/>
  </w:style>
  <w:style w:type="character" w:styleId="135">
    <w:name w:val="HTML Definition"/>
    <w:qFormat/>
    <w:uiPriority w:val="0"/>
    <w:rPr>
      <w:i/>
      <w:iCs/>
    </w:rPr>
  </w:style>
  <w:style w:type="character" w:styleId="136">
    <w:name w:val="HTML Typewriter"/>
    <w:qFormat/>
    <w:uiPriority w:val="0"/>
    <w:rPr>
      <w:rFonts w:ascii="Courier New" w:hAnsi="Courier New"/>
      <w:sz w:val="20"/>
      <w:szCs w:val="20"/>
    </w:rPr>
  </w:style>
  <w:style w:type="character" w:styleId="137">
    <w:name w:val="HTML Acronym"/>
    <w:qFormat/>
    <w:uiPriority w:val="0"/>
  </w:style>
  <w:style w:type="character" w:styleId="138">
    <w:name w:val="HTML Variable"/>
    <w:qFormat/>
    <w:uiPriority w:val="0"/>
    <w:rPr>
      <w:i/>
      <w:iCs/>
    </w:rPr>
  </w:style>
  <w:style w:type="character" w:styleId="139">
    <w:name w:val="Hyperlink"/>
    <w:qFormat/>
    <w:uiPriority w:val="99"/>
    <w:rPr>
      <w:color w:val="0000FF"/>
      <w:u w:val="single"/>
    </w:rPr>
  </w:style>
  <w:style w:type="character" w:styleId="140">
    <w:name w:val="HTML Code"/>
    <w:qFormat/>
    <w:uiPriority w:val="0"/>
    <w:rPr>
      <w:rFonts w:ascii="Courier New" w:hAnsi="Courier New"/>
      <w:sz w:val="20"/>
      <w:szCs w:val="20"/>
    </w:rPr>
  </w:style>
  <w:style w:type="character" w:styleId="141">
    <w:name w:val="annotation reference"/>
    <w:qFormat/>
    <w:uiPriority w:val="0"/>
    <w:rPr>
      <w:sz w:val="21"/>
      <w:szCs w:val="21"/>
    </w:rPr>
  </w:style>
  <w:style w:type="character" w:styleId="142">
    <w:name w:val="HTML Cite"/>
    <w:qFormat/>
    <w:uiPriority w:val="0"/>
    <w:rPr>
      <w:i/>
      <w:iCs/>
    </w:rPr>
  </w:style>
  <w:style w:type="character" w:styleId="143">
    <w:name w:val="footnote reference"/>
    <w:qFormat/>
    <w:uiPriority w:val="0"/>
    <w:rPr>
      <w:vertAlign w:val="superscript"/>
    </w:rPr>
  </w:style>
  <w:style w:type="character" w:styleId="144">
    <w:name w:val="HTML Keyboard"/>
    <w:qFormat/>
    <w:uiPriority w:val="0"/>
    <w:rPr>
      <w:rFonts w:ascii="Courier New" w:hAnsi="Courier New"/>
      <w:sz w:val="20"/>
      <w:szCs w:val="20"/>
    </w:rPr>
  </w:style>
  <w:style w:type="character" w:styleId="145">
    <w:name w:val="HTML Sample"/>
    <w:qFormat/>
    <w:uiPriority w:val="0"/>
    <w:rPr>
      <w:rFonts w:ascii="Courier New" w:hAnsi="Courier New"/>
    </w:rPr>
  </w:style>
  <w:style w:type="character" w:customStyle="1" w:styleId="146">
    <w:name w:val="标题 1 字符"/>
    <w:link w:val="2"/>
    <w:qFormat/>
    <w:uiPriority w:val="0"/>
    <w:rPr>
      <w:rFonts w:ascii="宋体" w:hAnsi="Times New Roman"/>
      <w:b/>
      <w:bCs/>
      <w:kern w:val="44"/>
      <w:sz w:val="21"/>
      <w:szCs w:val="21"/>
    </w:rPr>
  </w:style>
  <w:style w:type="character" w:customStyle="1" w:styleId="147">
    <w:name w:val="标题 2 字符"/>
    <w:link w:val="3"/>
    <w:qFormat/>
    <w:uiPriority w:val="0"/>
    <w:rPr>
      <w:rFonts w:ascii="宋体" w:hAnsi="Times New Roman"/>
      <w:bCs/>
      <w:kern w:val="2"/>
      <w:sz w:val="21"/>
      <w:szCs w:val="21"/>
    </w:rPr>
  </w:style>
  <w:style w:type="character" w:customStyle="1" w:styleId="148">
    <w:name w:val="标题 3 字符"/>
    <w:link w:val="4"/>
    <w:qFormat/>
    <w:uiPriority w:val="0"/>
    <w:rPr>
      <w:rFonts w:ascii="宋体" w:hAnsi="Times New Roman"/>
      <w:bCs/>
      <w:kern w:val="2"/>
      <w:sz w:val="21"/>
      <w:szCs w:val="21"/>
    </w:rPr>
  </w:style>
  <w:style w:type="character" w:customStyle="1" w:styleId="149">
    <w:name w:val="标题 4 字符"/>
    <w:link w:val="5"/>
    <w:qFormat/>
    <w:uiPriority w:val="0"/>
    <w:rPr>
      <w:rFonts w:ascii="宋体" w:hAnsi="Times New Roman" w:eastAsia="宋体" w:cs="Times New Roman"/>
      <w:bCs/>
      <w:szCs w:val="21"/>
    </w:rPr>
  </w:style>
  <w:style w:type="character" w:customStyle="1" w:styleId="150">
    <w:name w:val="标题 5 字符"/>
    <w:link w:val="6"/>
    <w:qFormat/>
    <w:uiPriority w:val="0"/>
    <w:rPr>
      <w:rFonts w:ascii="Times New Roman" w:hAnsi="Times New Roman"/>
      <w:bCs/>
      <w:sz w:val="21"/>
      <w:szCs w:val="21"/>
    </w:rPr>
  </w:style>
  <w:style w:type="character" w:customStyle="1" w:styleId="151">
    <w:name w:val="标题 6 字符"/>
    <w:link w:val="7"/>
    <w:qFormat/>
    <w:uiPriority w:val="0"/>
    <w:rPr>
      <w:rFonts w:ascii="Arial" w:hAnsi="Arial" w:eastAsia="黑体" w:cs="Times New Roman"/>
      <w:b/>
      <w:bCs/>
      <w:sz w:val="24"/>
      <w:szCs w:val="24"/>
    </w:rPr>
  </w:style>
  <w:style w:type="character" w:customStyle="1" w:styleId="152">
    <w:name w:val="标题 7 字符"/>
    <w:link w:val="8"/>
    <w:qFormat/>
    <w:uiPriority w:val="0"/>
    <w:rPr>
      <w:rFonts w:ascii="Times New Roman" w:hAnsi="Times New Roman" w:eastAsia="宋体" w:cs="Times New Roman"/>
      <w:b/>
      <w:bCs/>
      <w:sz w:val="24"/>
      <w:szCs w:val="24"/>
    </w:rPr>
  </w:style>
  <w:style w:type="character" w:customStyle="1" w:styleId="153">
    <w:name w:val="标题 8 字符"/>
    <w:link w:val="9"/>
    <w:qFormat/>
    <w:uiPriority w:val="0"/>
    <w:rPr>
      <w:rFonts w:ascii="Arial" w:hAnsi="Arial" w:eastAsia="黑体" w:cs="Times New Roman"/>
      <w:sz w:val="24"/>
      <w:szCs w:val="24"/>
    </w:rPr>
  </w:style>
  <w:style w:type="character" w:customStyle="1" w:styleId="154">
    <w:name w:val="标题 9 字符"/>
    <w:link w:val="10"/>
    <w:qFormat/>
    <w:uiPriority w:val="0"/>
    <w:rPr>
      <w:rFonts w:ascii="Arial" w:hAnsi="Arial" w:eastAsia="黑体" w:cs="Times New Roman"/>
      <w:szCs w:val="21"/>
    </w:rPr>
  </w:style>
  <w:style w:type="character" w:customStyle="1" w:styleId="155">
    <w:name w:val="注释标题 字符1"/>
    <w:link w:val="14"/>
    <w:semiHidden/>
    <w:qFormat/>
    <w:uiPriority w:val="0"/>
    <w:rPr>
      <w:rFonts w:ascii="Times New Roman" w:hAnsi="Times New Roman"/>
      <w:kern w:val="2"/>
      <w:sz w:val="21"/>
      <w:szCs w:val="24"/>
    </w:rPr>
  </w:style>
  <w:style w:type="character" w:customStyle="1" w:styleId="156">
    <w:name w:val="电子邮件签名 字符1"/>
    <w:link w:val="17"/>
    <w:semiHidden/>
    <w:qFormat/>
    <w:uiPriority w:val="0"/>
    <w:rPr>
      <w:rFonts w:ascii="Times New Roman" w:hAnsi="Times New Roman"/>
      <w:kern w:val="2"/>
      <w:sz w:val="21"/>
      <w:szCs w:val="24"/>
    </w:rPr>
  </w:style>
  <w:style w:type="character" w:customStyle="1" w:styleId="157">
    <w:name w:val="正文缩进 字符"/>
    <w:link w:val="19"/>
    <w:qFormat/>
    <w:uiPriority w:val="0"/>
    <w:rPr>
      <w:rFonts w:ascii="Times New Roman" w:hAnsi="Times New Roman" w:eastAsia="宋体" w:cs="Times New Roman"/>
      <w:szCs w:val="24"/>
    </w:rPr>
  </w:style>
  <w:style w:type="character" w:customStyle="1" w:styleId="158">
    <w:name w:val="题注 字符"/>
    <w:link w:val="20"/>
    <w:qFormat/>
    <w:uiPriority w:val="0"/>
    <w:rPr>
      <w:rFonts w:ascii="Cambria" w:hAnsi="Cambria" w:eastAsia="黑体"/>
      <w:kern w:val="2"/>
    </w:rPr>
  </w:style>
  <w:style w:type="character" w:customStyle="1" w:styleId="159">
    <w:name w:val="文档结构图 字符"/>
    <w:link w:val="24"/>
    <w:qFormat/>
    <w:uiPriority w:val="0"/>
    <w:rPr>
      <w:rFonts w:ascii="宋体" w:hAnsi="Times New Roman" w:eastAsia="宋体" w:cs="Times New Roman"/>
      <w:sz w:val="18"/>
      <w:szCs w:val="18"/>
    </w:rPr>
  </w:style>
  <w:style w:type="character" w:customStyle="1" w:styleId="160">
    <w:name w:val="批注文字 字符"/>
    <w:link w:val="25"/>
    <w:qFormat/>
    <w:uiPriority w:val="0"/>
    <w:rPr>
      <w:rFonts w:ascii="Times New Roman" w:hAnsi="Times New Roman" w:eastAsia="宋体" w:cs="Times New Roman"/>
      <w:szCs w:val="24"/>
    </w:rPr>
  </w:style>
  <w:style w:type="character" w:customStyle="1" w:styleId="161">
    <w:name w:val="称呼 字符1"/>
    <w:link w:val="27"/>
    <w:semiHidden/>
    <w:qFormat/>
    <w:uiPriority w:val="0"/>
    <w:rPr>
      <w:rFonts w:ascii="Times New Roman" w:hAnsi="Times New Roman"/>
      <w:kern w:val="2"/>
      <w:sz w:val="21"/>
      <w:szCs w:val="24"/>
    </w:rPr>
  </w:style>
  <w:style w:type="character" w:customStyle="1" w:styleId="162">
    <w:name w:val="正文文本 3 字符1"/>
    <w:link w:val="28"/>
    <w:semiHidden/>
    <w:qFormat/>
    <w:uiPriority w:val="0"/>
    <w:rPr>
      <w:rFonts w:ascii="Times New Roman" w:hAnsi="Times New Roman"/>
      <w:kern w:val="2"/>
      <w:sz w:val="16"/>
      <w:szCs w:val="16"/>
    </w:rPr>
  </w:style>
  <w:style w:type="character" w:customStyle="1" w:styleId="163">
    <w:name w:val="结束语 字符1"/>
    <w:link w:val="29"/>
    <w:semiHidden/>
    <w:qFormat/>
    <w:uiPriority w:val="0"/>
    <w:rPr>
      <w:rFonts w:ascii="Times New Roman" w:hAnsi="Times New Roman"/>
      <w:kern w:val="2"/>
      <w:sz w:val="21"/>
      <w:szCs w:val="24"/>
    </w:rPr>
  </w:style>
  <w:style w:type="character" w:customStyle="1" w:styleId="164">
    <w:name w:val="正文文本 字符1"/>
    <w:link w:val="31"/>
    <w:qFormat/>
    <w:uiPriority w:val="0"/>
    <w:rPr>
      <w:rFonts w:ascii="Times New Roman" w:hAnsi="Times New Roman"/>
      <w:kern w:val="2"/>
      <w:sz w:val="21"/>
      <w:szCs w:val="24"/>
    </w:rPr>
  </w:style>
  <w:style w:type="character" w:customStyle="1" w:styleId="165">
    <w:name w:val="正文文本缩进 字符1"/>
    <w:link w:val="32"/>
    <w:qFormat/>
    <w:uiPriority w:val="0"/>
    <w:rPr>
      <w:rFonts w:ascii="Times New Roman" w:hAnsi="Times New Roman"/>
      <w:kern w:val="2"/>
      <w:sz w:val="21"/>
      <w:szCs w:val="24"/>
    </w:rPr>
  </w:style>
  <w:style w:type="character" w:customStyle="1" w:styleId="166">
    <w:name w:val="HTML 地址 字符"/>
    <w:link w:val="38"/>
    <w:qFormat/>
    <w:uiPriority w:val="0"/>
    <w:rPr>
      <w:rFonts w:ascii="Times New Roman" w:hAnsi="Times New Roman" w:eastAsia="宋体" w:cs="Times New Roman"/>
      <w:i/>
      <w:iCs/>
      <w:szCs w:val="24"/>
    </w:rPr>
  </w:style>
  <w:style w:type="character" w:customStyle="1" w:styleId="167">
    <w:name w:val="纯文本 字符"/>
    <w:link w:val="42"/>
    <w:qFormat/>
    <w:uiPriority w:val="0"/>
    <w:rPr>
      <w:rFonts w:ascii="宋体" w:hAnsi="Courier New" w:eastAsia="宋体" w:cs="Times New Roman"/>
      <w:szCs w:val="24"/>
    </w:rPr>
  </w:style>
  <w:style w:type="character" w:customStyle="1" w:styleId="168">
    <w:name w:val="日期 字符"/>
    <w:link w:val="47"/>
    <w:qFormat/>
    <w:uiPriority w:val="0"/>
    <w:rPr>
      <w:rFonts w:ascii="仿宋_GB2312" w:hAnsi="Times New Roman" w:eastAsia="仿宋_GB2312" w:cs="Times New Roman"/>
      <w:kern w:val="0"/>
      <w:sz w:val="24"/>
      <w:szCs w:val="20"/>
    </w:rPr>
  </w:style>
  <w:style w:type="character" w:customStyle="1" w:styleId="169">
    <w:name w:val="正文文本缩进 2 字符"/>
    <w:link w:val="48"/>
    <w:qFormat/>
    <w:uiPriority w:val="0"/>
    <w:rPr>
      <w:rFonts w:ascii="Times New Roman" w:hAnsi="Times New Roman" w:eastAsia="仿宋_GB2312" w:cs="Times New Roman"/>
      <w:kern w:val="0"/>
      <w:sz w:val="28"/>
      <w:szCs w:val="20"/>
    </w:rPr>
  </w:style>
  <w:style w:type="character" w:customStyle="1" w:styleId="170">
    <w:name w:val="批注框文本 字符"/>
    <w:link w:val="50"/>
    <w:qFormat/>
    <w:uiPriority w:val="0"/>
    <w:rPr>
      <w:rFonts w:ascii="Times New Roman" w:hAnsi="Times New Roman" w:eastAsia="宋体" w:cs="Times New Roman"/>
      <w:sz w:val="18"/>
      <w:szCs w:val="18"/>
    </w:rPr>
  </w:style>
  <w:style w:type="character" w:customStyle="1" w:styleId="171">
    <w:name w:val="页脚 字符"/>
    <w:link w:val="51"/>
    <w:qFormat/>
    <w:uiPriority w:val="0"/>
    <w:rPr>
      <w:rFonts w:ascii="Times New Roman" w:hAnsi="Times New Roman" w:eastAsia="宋体" w:cs="Times New Roman"/>
      <w:sz w:val="18"/>
      <w:szCs w:val="18"/>
    </w:rPr>
  </w:style>
  <w:style w:type="character" w:customStyle="1" w:styleId="172">
    <w:name w:val="页眉 字符"/>
    <w:link w:val="53"/>
    <w:qFormat/>
    <w:uiPriority w:val="0"/>
    <w:rPr>
      <w:rFonts w:ascii="Times New Roman" w:hAnsi="Times New Roman" w:eastAsia="宋体" w:cs="Times New Roman"/>
      <w:sz w:val="18"/>
      <w:szCs w:val="18"/>
    </w:rPr>
  </w:style>
  <w:style w:type="character" w:customStyle="1" w:styleId="173">
    <w:name w:val="签名 字符1"/>
    <w:link w:val="54"/>
    <w:semiHidden/>
    <w:qFormat/>
    <w:uiPriority w:val="0"/>
    <w:rPr>
      <w:rFonts w:ascii="Times New Roman" w:hAnsi="Times New Roman"/>
      <w:kern w:val="2"/>
      <w:sz w:val="21"/>
      <w:szCs w:val="24"/>
    </w:rPr>
  </w:style>
  <w:style w:type="character" w:customStyle="1" w:styleId="174">
    <w:name w:val="副标题 字符1"/>
    <w:link w:val="60"/>
    <w:qFormat/>
    <w:uiPriority w:val="0"/>
    <w:rPr>
      <w:rFonts w:ascii="Arial" w:hAnsi="Arial"/>
      <w:b/>
      <w:bCs/>
      <w:kern w:val="28"/>
      <w:sz w:val="32"/>
      <w:szCs w:val="32"/>
    </w:rPr>
  </w:style>
  <w:style w:type="character" w:customStyle="1" w:styleId="175">
    <w:name w:val="脚注文本 字符"/>
    <w:link w:val="63"/>
    <w:qFormat/>
    <w:uiPriority w:val="0"/>
    <w:rPr>
      <w:rFonts w:ascii="Times New Roman" w:hAnsi="Times New Roman" w:eastAsia="宋体" w:cs="Times New Roman"/>
      <w:sz w:val="18"/>
      <w:szCs w:val="18"/>
    </w:rPr>
  </w:style>
  <w:style w:type="character" w:customStyle="1" w:styleId="176">
    <w:name w:val="正文文本缩进 3 字符1"/>
    <w:link w:val="66"/>
    <w:semiHidden/>
    <w:qFormat/>
    <w:uiPriority w:val="0"/>
    <w:rPr>
      <w:rFonts w:ascii="Times New Roman" w:hAnsi="Times New Roman"/>
      <w:kern w:val="2"/>
      <w:sz w:val="16"/>
      <w:szCs w:val="16"/>
    </w:rPr>
  </w:style>
  <w:style w:type="character" w:customStyle="1" w:styleId="177">
    <w:name w:val="正文文本 2 字符1"/>
    <w:link w:val="72"/>
    <w:semiHidden/>
    <w:qFormat/>
    <w:uiPriority w:val="0"/>
    <w:rPr>
      <w:rFonts w:ascii="Times New Roman" w:hAnsi="Times New Roman"/>
      <w:kern w:val="2"/>
      <w:sz w:val="21"/>
      <w:szCs w:val="24"/>
    </w:rPr>
  </w:style>
  <w:style w:type="character" w:customStyle="1" w:styleId="178">
    <w:name w:val="信息标题 字符1"/>
    <w:link w:val="75"/>
    <w:semiHidden/>
    <w:qFormat/>
    <w:uiPriority w:val="0"/>
    <w:rPr>
      <w:rFonts w:ascii="Arial" w:hAnsi="Arial"/>
      <w:kern w:val="2"/>
      <w:sz w:val="24"/>
      <w:szCs w:val="24"/>
      <w:shd w:val="pct20" w:color="auto" w:fill="auto"/>
    </w:rPr>
  </w:style>
  <w:style w:type="character" w:customStyle="1" w:styleId="179">
    <w:name w:val="HTML 预设格式 字符"/>
    <w:link w:val="76"/>
    <w:qFormat/>
    <w:uiPriority w:val="0"/>
    <w:rPr>
      <w:rFonts w:ascii="Courier New" w:hAnsi="Courier New" w:eastAsia="宋体" w:cs="Courier New"/>
      <w:sz w:val="20"/>
      <w:szCs w:val="20"/>
    </w:rPr>
  </w:style>
  <w:style w:type="character" w:customStyle="1" w:styleId="180">
    <w:name w:val="标题 字符"/>
    <w:link w:val="80"/>
    <w:qFormat/>
    <w:uiPriority w:val="0"/>
    <w:rPr>
      <w:rFonts w:ascii="Arial" w:hAnsi="Arial" w:eastAsia="宋体" w:cs="Arial"/>
      <w:b/>
      <w:bCs/>
      <w:sz w:val="32"/>
      <w:szCs w:val="32"/>
    </w:rPr>
  </w:style>
  <w:style w:type="character" w:customStyle="1" w:styleId="181">
    <w:name w:val="批注主题 字符"/>
    <w:link w:val="81"/>
    <w:qFormat/>
    <w:uiPriority w:val="0"/>
    <w:rPr>
      <w:rFonts w:ascii="Times New Roman" w:hAnsi="Times New Roman" w:eastAsia="宋体" w:cs="Times New Roman"/>
      <w:b/>
      <w:bCs/>
      <w:szCs w:val="24"/>
    </w:rPr>
  </w:style>
  <w:style w:type="character" w:customStyle="1" w:styleId="182">
    <w:name w:val="正文文本首行缩进 字符"/>
    <w:link w:val="82"/>
    <w:semiHidden/>
    <w:qFormat/>
    <w:uiPriority w:val="99"/>
  </w:style>
  <w:style w:type="character" w:customStyle="1" w:styleId="183">
    <w:name w:val="正文文本首行缩进 2 字符"/>
    <w:link w:val="83"/>
    <w:semiHidden/>
    <w:qFormat/>
    <w:uiPriority w:val="99"/>
  </w:style>
  <w:style w:type="character" w:customStyle="1" w:styleId="184">
    <w:name w:val="一级条标题 Char"/>
    <w:link w:val="185"/>
    <w:qFormat/>
    <w:uiPriority w:val="0"/>
    <w:rPr>
      <w:rFonts w:ascii="黑体" w:hAnsi="Times New Roman" w:eastAsia="黑体"/>
      <w:sz w:val="21"/>
    </w:rPr>
  </w:style>
  <w:style w:type="paragraph" w:customStyle="1" w:styleId="185">
    <w:name w:val="一级条标题"/>
    <w:basedOn w:val="186"/>
    <w:next w:val="187"/>
    <w:link w:val="184"/>
    <w:qFormat/>
    <w:uiPriority w:val="0"/>
    <w:pPr>
      <w:tabs>
        <w:tab w:val="left" w:pos="2040"/>
      </w:tabs>
      <w:outlineLvl w:val="2"/>
    </w:pPr>
  </w:style>
  <w:style w:type="paragraph" w:customStyle="1" w:styleId="186">
    <w:name w:val="章标题"/>
    <w:next w:val="187"/>
    <w:link w:val="188"/>
    <w:qFormat/>
    <w:uiPriority w:val="0"/>
    <w:pPr>
      <w:tabs>
        <w:tab w:val="left" w:pos="2040"/>
      </w:tabs>
      <w:spacing w:before="156" w:beforeLines="50" w:after="156" w:afterLines="50"/>
      <w:ind w:left="2040" w:hanging="360"/>
      <w:jc w:val="both"/>
      <w:outlineLvl w:val="1"/>
    </w:pPr>
    <w:rPr>
      <w:rFonts w:ascii="黑体" w:hAnsi="Times New Roman" w:eastAsia="黑体" w:cs="Times New Roman"/>
      <w:sz w:val="21"/>
      <w:lang w:val="en-US" w:eastAsia="zh-CN" w:bidi="ar-SA"/>
    </w:rPr>
  </w:style>
  <w:style w:type="paragraph" w:customStyle="1" w:styleId="187">
    <w:name w:val="段"/>
    <w:link w:val="189"/>
    <w:qFormat/>
    <w:uiPriority w:val="0"/>
    <w:pPr>
      <w:ind w:firstLine="200" w:firstLineChars="200"/>
      <w:jc w:val="both"/>
    </w:pPr>
    <w:rPr>
      <w:rFonts w:ascii="宋体" w:hAnsi="Times New Roman" w:eastAsia="宋体" w:cs="Times New Roman"/>
      <w:sz w:val="21"/>
      <w:lang w:val="en-US" w:eastAsia="zh-CN" w:bidi="ar-SA"/>
    </w:rPr>
  </w:style>
  <w:style w:type="character" w:customStyle="1" w:styleId="188">
    <w:name w:val="章标题 Char"/>
    <w:link w:val="186"/>
    <w:qFormat/>
    <w:uiPriority w:val="0"/>
    <w:rPr>
      <w:rFonts w:ascii="黑体" w:hAnsi="Times New Roman" w:eastAsia="黑体"/>
      <w:sz w:val="21"/>
    </w:rPr>
  </w:style>
  <w:style w:type="character" w:customStyle="1" w:styleId="189">
    <w:name w:val="段 Char"/>
    <w:link w:val="187"/>
    <w:qFormat/>
    <w:uiPriority w:val="0"/>
    <w:rPr>
      <w:rFonts w:ascii="宋体" w:hAnsi="Times New Roman"/>
      <w:sz w:val="21"/>
      <w:lang w:bidi="ar-SA"/>
    </w:rPr>
  </w:style>
  <w:style w:type="character" w:customStyle="1" w:styleId="190">
    <w:name w:val="EmailStyle139"/>
    <w:qFormat/>
    <w:uiPriority w:val="0"/>
    <w:rPr>
      <w:rFonts w:ascii="Arial" w:hAnsi="Arial" w:eastAsia="宋体" w:cs="Arial"/>
      <w:color w:val="auto"/>
      <w:sz w:val="20"/>
    </w:rPr>
  </w:style>
  <w:style w:type="character" w:customStyle="1" w:styleId="191">
    <w:name w:val="样式 标题 3 + 宋体 Char"/>
    <w:link w:val="192"/>
    <w:qFormat/>
    <w:uiPriority w:val="0"/>
    <w:rPr>
      <w:rFonts w:ascii="宋体" w:hAnsi="宋体"/>
      <w:kern w:val="2"/>
      <w:sz w:val="21"/>
      <w:szCs w:val="21"/>
    </w:rPr>
  </w:style>
  <w:style w:type="paragraph" w:customStyle="1" w:styleId="192">
    <w:name w:val="样式 标题 3 + 宋体"/>
    <w:basedOn w:val="4"/>
    <w:link w:val="191"/>
    <w:qFormat/>
    <w:uiPriority w:val="0"/>
    <w:rPr>
      <w:rFonts w:hAnsi="宋体"/>
      <w:bCs w:val="0"/>
    </w:rPr>
  </w:style>
  <w:style w:type="character" w:customStyle="1" w:styleId="193">
    <w:name w:val="三级条标题 Char"/>
    <w:link w:val="194"/>
    <w:qFormat/>
    <w:uiPriority w:val="0"/>
    <w:rPr>
      <w:rFonts w:ascii="黑体" w:hAnsi="Times New Roman" w:eastAsia="黑体"/>
      <w:sz w:val="21"/>
    </w:rPr>
  </w:style>
  <w:style w:type="paragraph" w:customStyle="1" w:styleId="194">
    <w:name w:val="三级条标题"/>
    <w:basedOn w:val="195"/>
    <w:next w:val="187"/>
    <w:link w:val="193"/>
    <w:qFormat/>
    <w:uiPriority w:val="0"/>
    <w:pPr>
      <w:tabs>
        <w:tab w:val="left" w:pos="2040"/>
      </w:tabs>
      <w:outlineLvl w:val="4"/>
    </w:pPr>
  </w:style>
  <w:style w:type="paragraph" w:customStyle="1" w:styleId="195">
    <w:name w:val="二级条标题"/>
    <w:basedOn w:val="1"/>
    <w:next w:val="187"/>
    <w:link w:val="196"/>
    <w:qFormat/>
    <w:uiPriority w:val="0"/>
    <w:pPr>
      <w:widowControl/>
      <w:tabs>
        <w:tab w:val="left" w:pos="2040"/>
      </w:tabs>
      <w:ind w:left="2040" w:hanging="360"/>
      <w:outlineLvl w:val="3"/>
    </w:pPr>
    <w:rPr>
      <w:rFonts w:ascii="黑体" w:eastAsia="黑体"/>
      <w:kern w:val="0"/>
      <w:szCs w:val="20"/>
    </w:rPr>
  </w:style>
  <w:style w:type="character" w:customStyle="1" w:styleId="196">
    <w:name w:val="二级条标题 Char"/>
    <w:link w:val="195"/>
    <w:qFormat/>
    <w:uiPriority w:val="0"/>
    <w:rPr>
      <w:rFonts w:ascii="黑体" w:hAnsi="Times New Roman" w:eastAsia="黑体"/>
      <w:sz w:val="21"/>
    </w:rPr>
  </w:style>
  <w:style w:type="character" w:customStyle="1" w:styleId="197">
    <w:name w:val="样式 标题 4 + (符号) 宋体 Char"/>
    <w:link w:val="198"/>
    <w:qFormat/>
    <w:uiPriority w:val="0"/>
  </w:style>
  <w:style w:type="paragraph" w:customStyle="1" w:styleId="198">
    <w:name w:val="样式 标题 4 + (符号) 宋体"/>
    <w:basedOn w:val="5"/>
    <w:link w:val="197"/>
    <w:qFormat/>
    <w:uiPriority w:val="0"/>
    <w:pPr>
      <w:adjustRightInd w:val="0"/>
      <w:snapToGrid w:val="0"/>
    </w:pPr>
  </w:style>
  <w:style w:type="character" w:customStyle="1" w:styleId="199">
    <w:name w:val="发布"/>
    <w:qFormat/>
    <w:uiPriority w:val="0"/>
    <w:rPr>
      <w:rFonts w:ascii="黑体" w:eastAsia="黑体"/>
      <w:spacing w:val="22"/>
      <w:w w:val="100"/>
      <w:position w:val="3"/>
      <w:sz w:val="28"/>
    </w:rPr>
  </w:style>
  <w:style w:type="character" w:customStyle="1" w:styleId="200">
    <w:name w:val="首行缩进 Char"/>
    <w:link w:val="201"/>
    <w:qFormat/>
    <w:uiPriority w:val="0"/>
    <w:rPr>
      <w:rFonts w:eastAsia="方正书宋简体" w:cs="宋体"/>
    </w:rPr>
  </w:style>
  <w:style w:type="paragraph" w:customStyle="1" w:styleId="201">
    <w:name w:val="首行缩进"/>
    <w:basedOn w:val="1"/>
    <w:link w:val="200"/>
    <w:qFormat/>
    <w:uiPriority w:val="0"/>
    <w:pPr>
      <w:spacing w:line="300" w:lineRule="auto"/>
      <w:ind w:firstLine="420" w:firstLineChars="200"/>
    </w:pPr>
    <w:rPr>
      <w:rFonts w:ascii="Calibri" w:hAnsi="Calibri" w:eastAsia="方正书宋简体"/>
      <w:kern w:val="0"/>
      <w:sz w:val="20"/>
      <w:szCs w:val="20"/>
    </w:rPr>
  </w:style>
  <w:style w:type="character" w:customStyle="1" w:styleId="202">
    <w:name w:val="表内居中小五 Char"/>
    <w:link w:val="203"/>
    <w:qFormat/>
    <w:uiPriority w:val="0"/>
    <w:rPr>
      <w:rFonts w:eastAsia="宋体" w:cs="宋体"/>
      <w:sz w:val="18"/>
      <w:szCs w:val="18"/>
    </w:rPr>
  </w:style>
  <w:style w:type="paragraph" w:customStyle="1" w:styleId="203">
    <w:name w:val="表内居中小五"/>
    <w:basedOn w:val="1"/>
    <w:link w:val="202"/>
    <w:qFormat/>
    <w:uiPriority w:val="0"/>
    <w:pPr>
      <w:jc w:val="center"/>
    </w:pPr>
    <w:rPr>
      <w:rFonts w:ascii="Calibri" w:hAnsi="Calibri"/>
      <w:kern w:val="0"/>
      <w:sz w:val="18"/>
      <w:szCs w:val="18"/>
    </w:rPr>
  </w:style>
  <w:style w:type="character" w:customStyle="1" w:styleId="204">
    <w:name w:val="EmailStyle138"/>
    <w:qFormat/>
    <w:uiPriority w:val="0"/>
    <w:rPr>
      <w:rFonts w:ascii="Arial" w:hAnsi="Arial" w:eastAsia="宋体" w:cs="Arial"/>
      <w:color w:val="auto"/>
      <w:sz w:val="20"/>
    </w:rPr>
  </w:style>
  <w:style w:type="character" w:customStyle="1" w:styleId="205">
    <w:name w:val="表内居两端对齐 Char"/>
    <w:link w:val="206"/>
    <w:qFormat/>
    <w:uiPriority w:val="0"/>
  </w:style>
  <w:style w:type="paragraph" w:customStyle="1" w:styleId="206">
    <w:name w:val="表内居两端对齐"/>
    <w:basedOn w:val="203"/>
    <w:link w:val="205"/>
    <w:qFormat/>
    <w:uiPriority w:val="0"/>
    <w:pPr>
      <w:jc w:val="both"/>
    </w:pPr>
  </w:style>
  <w:style w:type="paragraph" w:customStyle="1" w:styleId="207">
    <w:name w:val="实施日期"/>
    <w:basedOn w:val="208"/>
    <w:qFormat/>
    <w:uiPriority w:val="0"/>
    <w:pPr>
      <w:jc w:val="right"/>
    </w:pPr>
  </w:style>
  <w:style w:type="paragraph" w:customStyle="1" w:styleId="208">
    <w:name w:val="发布日期"/>
    <w:qFormat/>
    <w:uiPriority w:val="0"/>
    <w:rPr>
      <w:rFonts w:ascii="Times New Roman" w:hAnsi="Times New Roman" w:eastAsia="黑体" w:cs="Times New Roman"/>
      <w:sz w:val="28"/>
      <w:lang w:val="en-US" w:eastAsia="zh-CN" w:bidi="ar-SA"/>
    </w:rPr>
  </w:style>
  <w:style w:type="paragraph" w:customStyle="1" w:styleId="209">
    <w:name w:val="其他标准称谓"/>
    <w:qFormat/>
    <w:uiPriority w:val="0"/>
    <w:pPr>
      <w:spacing w:line="0" w:lineRule="atLeast"/>
      <w:jc w:val="distribute"/>
    </w:pPr>
    <w:rPr>
      <w:rFonts w:ascii="黑体" w:hAnsi="宋体" w:eastAsia="黑体" w:cs="Times New Roman"/>
      <w:sz w:val="52"/>
      <w:lang w:val="en-US" w:eastAsia="zh-CN" w:bidi="ar-SA"/>
    </w:rPr>
  </w:style>
  <w:style w:type="paragraph" w:customStyle="1" w:styleId="210">
    <w:name w:val="五级无标题条"/>
    <w:basedOn w:val="1"/>
    <w:qFormat/>
    <w:uiPriority w:val="0"/>
    <w:pPr>
      <w:numPr>
        <w:ilvl w:val="6"/>
        <w:numId w:val="12"/>
      </w:numPr>
    </w:pPr>
  </w:style>
  <w:style w:type="paragraph" w:customStyle="1" w:styleId="211">
    <w:name w:val="Char"/>
    <w:basedOn w:val="1"/>
    <w:qFormat/>
    <w:uiPriority w:val="0"/>
    <w:pPr>
      <w:spacing w:line="360" w:lineRule="auto"/>
    </w:pPr>
    <w:rPr>
      <w:rFonts w:ascii="Tahoma" w:hAnsi="Tahoma"/>
      <w:sz w:val="24"/>
      <w:szCs w:val="20"/>
    </w:rPr>
  </w:style>
  <w:style w:type="paragraph" w:customStyle="1" w:styleId="212">
    <w:name w:val="CM3"/>
    <w:basedOn w:val="213"/>
    <w:next w:val="213"/>
    <w:qFormat/>
    <w:uiPriority w:val="0"/>
    <w:pPr>
      <w:spacing w:line="468" w:lineRule="atLeast"/>
    </w:pPr>
    <w:rPr>
      <w:rFonts w:ascii="黑体" w:eastAsia="黑体" w:cs="Times New Roman"/>
      <w:color w:val="auto"/>
    </w:rPr>
  </w:style>
  <w:style w:type="paragraph" w:customStyle="1" w:styleId="213">
    <w:name w:val="Default"/>
    <w:qFormat/>
    <w:uiPriority w:val="0"/>
    <w:pPr>
      <w:widowControl w:val="0"/>
      <w:autoSpaceDE w:val="0"/>
      <w:autoSpaceDN w:val="0"/>
      <w:adjustRightInd w:val="0"/>
    </w:pPr>
    <w:rPr>
      <w:rFonts w:ascii="宋体" w:hAnsi="Times New Roman" w:eastAsia="宋体" w:cs="宋体"/>
      <w:color w:val="000000"/>
      <w:sz w:val="24"/>
      <w:szCs w:val="24"/>
      <w:lang w:val="en-US" w:eastAsia="zh-CN" w:bidi="ar-SA"/>
    </w:rPr>
  </w:style>
  <w:style w:type="paragraph" w:customStyle="1" w:styleId="214">
    <w:name w:val="封面标准代替信息"/>
    <w:basedOn w:val="215"/>
    <w:qFormat/>
    <w:uiPriority w:val="0"/>
    <w:pPr>
      <w:spacing w:before="57"/>
    </w:pPr>
    <w:rPr>
      <w:rFonts w:ascii="宋体"/>
      <w:sz w:val="21"/>
    </w:rPr>
  </w:style>
  <w:style w:type="paragraph" w:customStyle="1" w:styleId="215">
    <w:name w:val="封面标准号2"/>
    <w:basedOn w:val="216"/>
    <w:qFormat/>
    <w:uiPriority w:val="0"/>
    <w:pPr>
      <w:adjustRightInd w:val="0"/>
      <w:spacing w:before="357" w:line="280" w:lineRule="exact"/>
    </w:pPr>
  </w:style>
  <w:style w:type="paragraph" w:customStyle="1" w:styleId="216">
    <w:name w:val="封面标准号1"/>
    <w:qFormat/>
    <w:uiPriority w:val="0"/>
    <w:pPr>
      <w:widowControl w:val="0"/>
      <w:kinsoku w:val="0"/>
      <w:overflowPunct w:val="0"/>
      <w:autoSpaceDE w:val="0"/>
      <w:autoSpaceDN w:val="0"/>
      <w:spacing w:before="308"/>
      <w:jc w:val="right"/>
      <w:textAlignment w:val="center"/>
    </w:pPr>
    <w:rPr>
      <w:rFonts w:ascii="Times New Roman" w:hAnsi="Times New Roman" w:eastAsia="宋体" w:cs="Times New Roman"/>
      <w:sz w:val="28"/>
      <w:lang w:val="en-US" w:eastAsia="zh-CN" w:bidi="ar-SA"/>
    </w:rPr>
  </w:style>
  <w:style w:type="paragraph" w:customStyle="1" w:styleId="217">
    <w:name w:val="CM17"/>
    <w:basedOn w:val="213"/>
    <w:next w:val="213"/>
    <w:qFormat/>
    <w:uiPriority w:val="0"/>
    <w:pPr>
      <w:spacing w:line="468" w:lineRule="atLeast"/>
    </w:pPr>
    <w:rPr>
      <w:rFonts w:ascii="黑体" w:eastAsia="黑体" w:cs="Times New Roman"/>
      <w:color w:val="auto"/>
    </w:rPr>
  </w:style>
  <w:style w:type="paragraph" w:customStyle="1" w:styleId="218">
    <w:name w:val="CM9"/>
    <w:basedOn w:val="213"/>
    <w:next w:val="213"/>
    <w:qFormat/>
    <w:uiPriority w:val="0"/>
    <w:pPr>
      <w:spacing w:line="468" w:lineRule="atLeast"/>
    </w:pPr>
    <w:rPr>
      <w:rFonts w:ascii="黑体" w:eastAsia="黑体" w:cs="Times New Roman"/>
      <w:color w:val="auto"/>
    </w:rPr>
  </w:style>
  <w:style w:type="paragraph" w:customStyle="1" w:styleId="219">
    <w:name w:val="表格内容靠左正常_制度头表格"/>
    <w:qFormat/>
    <w:uiPriority w:val="0"/>
    <w:rPr>
      <w:rFonts w:ascii="Times New Roman" w:hAnsi="Times New Roman" w:eastAsia="宋体" w:cs="Times New Roman"/>
      <w:sz w:val="21"/>
      <w:szCs w:val="21"/>
      <w:lang w:val="en-US" w:eastAsia="zh-CN" w:bidi="ar-SA"/>
    </w:rPr>
  </w:style>
  <w:style w:type="paragraph" w:customStyle="1" w:styleId="220">
    <w:name w:val="注："/>
    <w:next w:val="187"/>
    <w:qFormat/>
    <w:uiPriority w:val="0"/>
    <w:pPr>
      <w:widowControl w:val="0"/>
      <w:tabs>
        <w:tab w:val="left" w:pos="360"/>
      </w:tabs>
      <w:autoSpaceDE w:val="0"/>
      <w:autoSpaceDN w:val="0"/>
      <w:jc w:val="both"/>
    </w:pPr>
    <w:rPr>
      <w:rFonts w:ascii="宋体" w:hAnsi="Times New Roman" w:eastAsia="宋体" w:cs="Times New Roman"/>
      <w:sz w:val="18"/>
      <w:lang w:val="en-US" w:eastAsia="zh-CN" w:bidi="ar-SA"/>
    </w:rPr>
  </w:style>
  <w:style w:type="paragraph" w:customStyle="1" w:styleId="221">
    <w:name w:val="表格标题正常_制度头表格"/>
    <w:qFormat/>
    <w:uiPriority w:val="0"/>
    <w:pPr>
      <w:jc w:val="center"/>
    </w:pPr>
    <w:rPr>
      <w:rFonts w:ascii="Times New Roman" w:hAnsi="Times New Roman" w:eastAsia="宋体" w:cs="Times New Roman"/>
      <w:sz w:val="21"/>
      <w:lang w:val="en-US" w:eastAsia="zh-CN" w:bidi="ar-SA"/>
    </w:rPr>
  </w:style>
  <w:style w:type="paragraph" w:customStyle="1" w:styleId="222">
    <w:name w:val="附录五级条标题"/>
    <w:basedOn w:val="223"/>
    <w:next w:val="187"/>
    <w:qFormat/>
    <w:uiPriority w:val="0"/>
    <w:pPr>
      <w:numPr>
        <w:ilvl w:val="6"/>
      </w:numPr>
      <w:outlineLvl w:val="6"/>
    </w:pPr>
  </w:style>
  <w:style w:type="paragraph" w:customStyle="1" w:styleId="223">
    <w:name w:val="附录四级条标题"/>
    <w:basedOn w:val="224"/>
    <w:next w:val="187"/>
    <w:qFormat/>
    <w:uiPriority w:val="0"/>
    <w:pPr>
      <w:numPr>
        <w:ilvl w:val="5"/>
      </w:numPr>
      <w:outlineLvl w:val="5"/>
    </w:pPr>
  </w:style>
  <w:style w:type="paragraph" w:customStyle="1" w:styleId="224">
    <w:name w:val="附录三级条标题"/>
    <w:basedOn w:val="225"/>
    <w:next w:val="187"/>
    <w:qFormat/>
    <w:uiPriority w:val="0"/>
    <w:pPr>
      <w:numPr>
        <w:ilvl w:val="4"/>
      </w:numPr>
      <w:outlineLvl w:val="4"/>
    </w:pPr>
  </w:style>
  <w:style w:type="paragraph" w:customStyle="1" w:styleId="225">
    <w:name w:val="附录二级条标题"/>
    <w:basedOn w:val="226"/>
    <w:next w:val="187"/>
    <w:qFormat/>
    <w:uiPriority w:val="0"/>
    <w:pPr>
      <w:numPr>
        <w:ilvl w:val="3"/>
      </w:numPr>
      <w:autoSpaceDN w:val="0"/>
      <w:outlineLvl w:val="3"/>
    </w:pPr>
  </w:style>
  <w:style w:type="paragraph" w:customStyle="1" w:styleId="226">
    <w:name w:val="附录一级条标题"/>
    <w:basedOn w:val="227"/>
    <w:next w:val="187"/>
    <w:qFormat/>
    <w:uiPriority w:val="0"/>
    <w:pPr>
      <w:numPr>
        <w:ilvl w:val="2"/>
      </w:numPr>
    </w:pPr>
  </w:style>
  <w:style w:type="paragraph" w:customStyle="1" w:styleId="227">
    <w:name w:val="附录章标题"/>
    <w:next w:val="187"/>
    <w:qFormat/>
    <w:uiPriority w:val="0"/>
    <w:pPr>
      <w:numPr>
        <w:ilvl w:val="1"/>
        <w:numId w:val="13"/>
      </w:numPr>
      <w:wordWrap w:val="0"/>
      <w:overflowPunct w:val="0"/>
      <w:autoSpaceDE w:val="0"/>
      <w:spacing w:before="156" w:beforeLines="50" w:after="156" w:afterLines="50"/>
      <w:jc w:val="both"/>
      <w:textAlignment w:val="baseline"/>
      <w:outlineLvl w:val="1"/>
    </w:pPr>
    <w:rPr>
      <w:rFonts w:ascii="黑体" w:hAnsi="Times New Roman" w:eastAsia="黑体" w:cs="Times New Roman"/>
      <w:kern w:val="21"/>
      <w:sz w:val="21"/>
      <w:lang w:val="en-US" w:eastAsia="zh-CN" w:bidi="ar-SA"/>
    </w:rPr>
  </w:style>
  <w:style w:type="paragraph" w:customStyle="1" w:styleId="228">
    <w:name w:val="封面标准文稿类别"/>
    <w:qFormat/>
    <w:uiPriority w:val="0"/>
    <w:pPr>
      <w:spacing w:before="440" w:line="400" w:lineRule="exact"/>
      <w:jc w:val="center"/>
    </w:pPr>
    <w:rPr>
      <w:rFonts w:ascii="宋体" w:hAnsi="Times New Roman" w:eastAsia="宋体" w:cs="Times New Roman"/>
      <w:sz w:val="24"/>
      <w:lang w:val="en-US" w:eastAsia="zh-CN" w:bidi="ar-SA"/>
    </w:rPr>
  </w:style>
  <w:style w:type="paragraph" w:customStyle="1" w:styleId="229">
    <w:name w:val="标准书眉一"/>
    <w:qFormat/>
    <w:uiPriority w:val="0"/>
    <w:pPr>
      <w:tabs>
        <w:tab w:val="left" w:pos="1120"/>
      </w:tabs>
      <w:ind w:firstLine="400"/>
      <w:jc w:val="both"/>
    </w:pPr>
    <w:rPr>
      <w:rFonts w:ascii="Times New Roman" w:hAnsi="Times New Roman" w:eastAsia="宋体" w:cs="Times New Roman"/>
      <w:lang w:val="en-US" w:eastAsia="zh-CN" w:bidi="ar-SA"/>
    </w:rPr>
  </w:style>
  <w:style w:type="paragraph" w:customStyle="1" w:styleId="230">
    <w:name w:val="正文图标题"/>
    <w:next w:val="187"/>
    <w:qFormat/>
    <w:uiPriority w:val="0"/>
    <w:pPr>
      <w:numPr>
        <w:ilvl w:val="0"/>
        <w:numId w:val="14"/>
      </w:numPr>
      <w:jc w:val="center"/>
    </w:pPr>
    <w:rPr>
      <w:rFonts w:ascii="黑体" w:hAnsi="Times New Roman" w:eastAsia="黑体" w:cs="Times New Roman"/>
      <w:sz w:val="21"/>
      <w:lang w:val="en-US" w:eastAsia="zh-CN" w:bidi="ar-SA"/>
    </w:rPr>
  </w:style>
  <w:style w:type="paragraph" w:customStyle="1" w:styleId="231">
    <w:name w:val="文献分类号"/>
    <w:qFormat/>
    <w:uiPriority w:val="0"/>
    <w:pPr>
      <w:widowControl w:val="0"/>
      <w:textAlignment w:val="center"/>
    </w:pPr>
    <w:rPr>
      <w:rFonts w:ascii="Times New Roman" w:hAnsi="Times New Roman" w:eastAsia="黑体" w:cs="Times New Roman"/>
      <w:sz w:val="21"/>
      <w:lang w:val="en-US" w:eastAsia="zh-CN" w:bidi="ar-SA"/>
    </w:rPr>
  </w:style>
  <w:style w:type="paragraph" w:customStyle="1" w:styleId="232">
    <w:name w:val="发布部门"/>
    <w:next w:val="187"/>
    <w:qFormat/>
    <w:uiPriority w:val="0"/>
    <w:pPr>
      <w:jc w:val="center"/>
    </w:pPr>
    <w:rPr>
      <w:rFonts w:ascii="宋体" w:hAnsi="Times New Roman" w:eastAsia="宋体" w:cs="Times New Roman"/>
      <w:b/>
      <w:spacing w:val="20"/>
      <w:w w:val="135"/>
      <w:sz w:val="36"/>
      <w:lang w:val="en-US" w:eastAsia="zh-CN" w:bidi="ar-SA"/>
    </w:rPr>
  </w:style>
  <w:style w:type="paragraph" w:customStyle="1" w:styleId="233">
    <w:name w:val="目次、索引正文"/>
    <w:qFormat/>
    <w:uiPriority w:val="0"/>
    <w:pPr>
      <w:spacing w:line="320" w:lineRule="exact"/>
      <w:jc w:val="both"/>
    </w:pPr>
    <w:rPr>
      <w:rFonts w:ascii="宋体" w:hAnsi="Times New Roman" w:eastAsia="宋体" w:cs="Times New Roman"/>
      <w:sz w:val="21"/>
      <w:lang w:val="en-US" w:eastAsia="zh-CN" w:bidi="ar-SA"/>
    </w:rPr>
  </w:style>
  <w:style w:type="paragraph" w:customStyle="1" w:styleId="234">
    <w:name w:val="封面标准名称"/>
    <w:qFormat/>
    <w:uiPriority w:val="0"/>
    <w:pPr>
      <w:widowControl w:val="0"/>
      <w:spacing w:line="680" w:lineRule="exact"/>
      <w:jc w:val="center"/>
      <w:textAlignment w:val="center"/>
    </w:pPr>
    <w:rPr>
      <w:rFonts w:ascii="黑体" w:hAnsi="Times New Roman" w:eastAsia="黑体" w:cs="Times New Roman"/>
      <w:sz w:val="52"/>
      <w:lang w:val="en-US" w:eastAsia="zh-CN" w:bidi="ar-SA"/>
    </w:rPr>
  </w:style>
  <w:style w:type="paragraph" w:customStyle="1" w:styleId="235">
    <w:name w:val="其他发布部门"/>
    <w:basedOn w:val="1"/>
    <w:qFormat/>
    <w:uiPriority w:val="0"/>
    <w:pPr>
      <w:widowControl/>
      <w:spacing w:line="0" w:lineRule="atLeast"/>
      <w:jc w:val="center"/>
    </w:pPr>
    <w:rPr>
      <w:rFonts w:ascii="黑体" w:eastAsia="黑体"/>
      <w:spacing w:val="20"/>
      <w:w w:val="135"/>
      <w:kern w:val="0"/>
      <w:sz w:val="36"/>
      <w:szCs w:val="20"/>
    </w:rPr>
  </w:style>
  <w:style w:type="paragraph" w:styleId="236">
    <w:name w:val="List Paragraph"/>
    <w:basedOn w:val="1"/>
    <w:qFormat/>
    <w:uiPriority w:val="34"/>
    <w:pPr>
      <w:ind w:firstLine="420" w:firstLineChars="200"/>
    </w:pPr>
  </w:style>
  <w:style w:type="paragraph" w:customStyle="1" w:styleId="237">
    <w:name w:val="样式1"/>
    <w:basedOn w:val="5"/>
    <w:qFormat/>
    <w:uiPriority w:val="0"/>
    <w:pPr>
      <w:tabs>
        <w:tab w:val="left" w:pos="360"/>
      </w:tabs>
    </w:pPr>
    <w:rPr>
      <w:rFonts w:hAnsi="宋体"/>
      <w:bCs w:val="0"/>
    </w:rPr>
  </w:style>
  <w:style w:type="paragraph" w:customStyle="1" w:styleId="238">
    <w:name w:val="标准称谓"/>
    <w:next w:val="1"/>
    <w:qFormat/>
    <w:uiPriority w:val="0"/>
    <w:pPr>
      <w:widowControl w:val="0"/>
      <w:kinsoku w:val="0"/>
      <w:overflowPunct w:val="0"/>
      <w:autoSpaceDE w:val="0"/>
      <w:autoSpaceDN w:val="0"/>
      <w:spacing w:line="0" w:lineRule="atLeast"/>
      <w:jc w:val="distribute"/>
    </w:pPr>
    <w:rPr>
      <w:rFonts w:ascii="宋体" w:hAnsi="Times New Roman" w:eastAsia="宋体" w:cs="Times New Roman"/>
      <w:b/>
      <w:bCs/>
      <w:spacing w:val="20"/>
      <w:w w:val="148"/>
      <w:sz w:val="52"/>
      <w:lang w:val="en-US" w:eastAsia="zh-CN" w:bidi="ar-SA"/>
    </w:rPr>
  </w:style>
  <w:style w:type="paragraph" w:customStyle="1" w:styleId="239">
    <w:name w:val="示例"/>
    <w:next w:val="187"/>
    <w:qFormat/>
    <w:uiPriority w:val="0"/>
    <w:pPr>
      <w:numPr>
        <w:ilvl w:val="0"/>
        <w:numId w:val="15"/>
      </w:numPr>
      <w:tabs>
        <w:tab w:val="left" w:pos="360"/>
      </w:tabs>
      <w:ind w:firstLine="0"/>
      <w:jc w:val="both"/>
    </w:pPr>
    <w:rPr>
      <w:rFonts w:ascii="宋体" w:hAnsi="Times New Roman" w:eastAsia="宋体" w:cs="Times New Roman"/>
      <w:sz w:val="18"/>
      <w:lang w:val="en-US" w:eastAsia="zh-CN" w:bidi="ar-SA"/>
    </w:rPr>
  </w:style>
  <w:style w:type="paragraph" w:customStyle="1" w:styleId="240">
    <w:name w:val="封面标准英文名称"/>
    <w:qFormat/>
    <w:uiPriority w:val="0"/>
    <w:pPr>
      <w:widowControl w:val="0"/>
      <w:spacing w:before="370" w:line="400" w:lineRule="exact"/>
      <w:jc w:val="center"/>
    </w:pPr>
    <w:rPr>
      <w:rFonts w:ascii="Times New Roman" w:hAnsi="Times New Roman" w:eastAsia="宋体" w:cs="Times New Roman"/>
      <w:sz w:val="28"/>
      <w:lang w:val="en-US" w:eastAsia="zh-CN" w:bidi="ar-SA"/>
    </w:rPr>
  </w:style>
  <w:style w:type="paragraph" w:customStyle="1" w:styleId="241">
    <w:name w:val="封面正文"/>
    <w:qFormat/>
    <w:uiPriority w:val="0"/>
    <w:pPr>
      <w:jc w:val="both"/>
    </w:pPr>
    <w:rPr>
      <w:rFonts w:ascii="Times New Roman" w:hAnsi="Times New Roman" w:eastAsia="宋体" w:cs="Times New Roman"/>
      <w:lang w:val="en-US" w:eastAsia="zh-CN" w:bidi="ar-SA"/>
    </w:rPr>
  </w:style>
  <w:style w:type="paragraph" w:customStyle="1" w:styleId="242">
    <w:name w:val="CM23"/>
    <w:basedOn w:val="213"/>
    <w:next w:val="213"/>
    <w:qFormat/>
    <w:uiPriority w:val="0"/>
    <w:pPr>
      <w:spacing w:line="468" w:lineRule="atLeast"/>
    </w:pPr>
    <w:rPr>
      <w:rFonts w:ascii="黑体" w:eastAsia="黑体" w:cs="Times New Roman"/>
      <w:color w:val="auto"/>
    </w:rPr>
  </w:style>
  <w:style w:type="paragraph" w:customStyle="1" w:styleId="243">
    <w:name w:val="样式 标题 5 + 右侧:  1 字符"/>
    <w:basedOn w:val="6"/>
    <w:qFormat/>
    <w:uiPriority w:val="0"/>
    <w:pPr>
      <w:ind w:right="210"/>
    </w:pPr>
    <w:rPr>
      <w:bCs w:val="0"/>
      <w:szCs w:val="20"/>
    </w:rPr>
  </w:style>
  <w:style w:type="paragraph" w:customStyle="1" w:styleId="244">
    <w:name w:val="列项·"/>
    <w:qFormat/>
    <w:uiPriority w:val="0"/>
    <w:pPr>
      <w:numPr>
        <w:ilvl w:val="0"/>
        <w:numId w:val="16"/>
      </w:numPr>
      <w:tabs>
        <w:tab w:val="left" w:pos="360"/>
        <w:tab w:val="left" w:pos="840"/>
      </w:tabs>
      <w:ind w:left="0" w:firstLine="0"/>
      <w:jc w:val="both"/>
    </w:pPr>
    <w:rPr>
      <w:rFonts w:ascii="宋体" w:hAnsi="Times New Roman" w:eastAsia="宋体" w:cs="Times New Roman"/>
      <w:sz w:val="21"/>
      <w:lang w:val="en-US" w:eastAsia="zh-CN" w:bidi="ar-SA"/>
    </w:rPr>
  </w:style>
  <w:style w:type="paragraph" w:customStyle="1" w:styleId="245">
    <w:name w:val="标准书脚_偶数页"/>
    <w:qFormat/>
    <w:uiPriority w:val="0"/>
    <w:pPr>
      <w:spacing w:before="120"/>
    </w:pPr>
    <w:rPr>
      <w:rFonts w:ascii="Times New Roman" w:hAnsi="Times New Roman" w:eastAsia="宋体" w:cs="Times New Roman"/>
      <w:sz w:val="18"/>
      <w:lang w:val="en-US" w:eastAsia="zh-CN" w:bidi="ar-SA"/>
    </w:rPr>
  </w:style>
  <w:style w:type="paragraph" w:customStyle="1" w:styleId="246">
    <w:name w:val="CM22"/>
    <w:basedOn w:val="213"/>
    <w:next w:val="213"/>
    <w:qFormat/>
    <w:uiPriority w:val="0"/>
    <w:pPr>
      <w:spacing w:line="468" w:lineRule="atLeast"/>
    </w:pPr>
    <w:rPr>
      <w:rFonts w:ascii="黑体" w:eastAsia="黑体" w:cs="Times New Roman"/>
      <w:color w:val="auto"/>
    </w:rPr>
  </w:style>
  <w:style w:type="paragraph" w:customStyle="1" w:styleId="247">
    <w:name w:val="参考文献、索引标题"/>
    <w:basedOn w:val="1"/>
    <w:next w:val="1"/>
    <w:qFormat/>
    <w:uiPriority w:val="0"/>
    <w:pPr>
      <w:widowControl/>
      <w:shd w:val="clear" w:color="FFFFFF" w:fill="FFFFFF"/>
      <w:spacing w:before="640" w:after="200"/>
      <w:jc w:val="center"/>
      <w:outlineLvl w:val="0"/>
    </w:pPr>
    <w:rPr>
      <w:rFonts w:ascii="黑体" w:eastAsia="黑体"/>
      <w:kern w:val="0"/>
      <w:szCs w:val="20"/>
    </w:rPr>
  </w:style>
  <w:style w:type="paragraph" w:customStyle="1" w:styleId="248">
    <w:name w:val="附录图标题"/>
    <w:next w:val="187"/>
    <w:qFormat/>
    <w:uiPriority w:val="0"/>
    <w:pPr>
      <w:jc w:val="center"/>
    </w:pPr>
    <w:rPr>
      <w:rFonts w:ascii="黑体" w:hAnsi="Times New Roman" w:eastAsia="黑体" w:cs="Times New Roman"/>
      <w:sz w:val="21"/>
      <w:lang w:val="en-US" w:eastAsia="zh-CN" w:bidi="ar-SA"/>
    </w:rPr>
  </w:style>
  <w:style w:type="paragraph" w:customStyle="1" w:styleId="249">
    <w:name w:val="CM33"/>
    <w:basedOn w:val="213"/>
    <w:next w:val="213"/>
    <w:qFormat/>
    <w:uiPriority w:val="0"/>
    <w:pPr>
      <w:spacing w:after="205"/>
    </w:pPr>
    <w:rPr>
      <w:rFonts w:ascii="黑体" w:eastAsia="黑体" w:cs="Times New Roman"/>
      <w:color w:val="auto"/>
    </w:rPr>
  </w:style>
  <w:style w:type="paragraph" w:customStyle="1" w:styleId="250">
    <w:name w:val="表格空行_制度头表格"/>
    <w:basedOn w:val="221"/>
    <w:qFormat/>
    <w:uiPriority w:val="0"/>
    <w:pPr>
      <w:tabs>
        <w:tab w:val="left" w:pos="2960"/>
      </w:tabs>
      <w:jc w:val="both"/>
    </w:pPr>
    <w:rPr>
      <w:rFonts w:eastAsia="黑体"/>
      <w:sz w:val="11"/>
      <w:szCs w:val="30"/>
    </w:rPr>
  </w:style>
  <w:style w:type="paragraph" w:customStyle="1" w:styleId="251">
    <w:name w:val="附录表标题"/>
    <w:next w:val="187"/>
    <w:qFormat/>
    <w:uiPriority w:val="0"/>
    <w:pPr>
      <w:jc w:val="center"/>
      <w:textAlignment w:val="baseline"/>
    </w:pPr>
    <w:rPr>
      <w:rFonts w:ascii="黑体" w:hAnsi="Times New Roman" w:eastAsia="黑体" w:cs="Times New Roman"/>
      <w:kern w:val="21"/>
      <w:sz w:val="21"/>
      <w:lang w:val="en-US" w:eastAsia="zh-CN" w:bidi="ar-SA"/>
    </w:rPr>
  </w:style>
  <w:style w:type="paragraph" w:customStyle="1" w:styleId="252">
    <w:name w:val="标准书脚_奇数页"/>
    <w:qFormat/>
    <w:uiPriority w:val="0"/>
    <w:pPr>
      <w:spacing w:before="120"/>
      <w:jc w:val="right"/>
    </w:pPr>
    <w:rPr>
      <w:rFonts w:ascii="Times New Roman" w:hAnsi="Times New Roman" w:eastAsia="宋体" w:cs="Times New Roman"/>
      <w:sz w:val="18"/>
      <w:lang w:val="en-US" w:eastAsia="zh-CN" w:bidi="ar-SA"/>
    </w:rPr>
  </w:style>
  <w:style w:type="paragraph" w:customStyle="1" w:styleId="253">
    <w:name w:val="数字编号列项（二级）"/>
    <w:qFormat/>
    <w:uiPriority w:val="0"/>
    <w:pPr>
      <w:jc w:val="both"/>
    </w:pPr>
    <w:rPr>
      <w:rFonts w:ascii="宋体" w:hAnsi="Times New Roman" w:eastAsia="宋体" w:cs="Times New Roman"/>
      <w:sz w:val="21"/>
      <w:lang w:val="en-US" w:eastAsia="zh-CN" w:bidi="ar-SA"/>
    </w:rPr>
  </w:style>
  <w:style w:type="paragraph" w:customStyle="1" w:styleId="254">
    <w:name w:val="三级无标题条"/>
    <w:basedOn w:val="1"/>
    <w:qFormat/>
    <w:uiPriority w:val="0"/>
    <w:pPr>
      <w:numPr>
        <w:ilvl w:val="4"/>
        <w:numId w:val="12"/>
      </w:numPr>
    </w:pPr>
  </w:style>
  <w:style w:type="paragraph" w:customStyle="1" w:styleId="255">
    <w:name w:val="标准书眉_奇数页"/>
    <w:next w:val="1"/>
    <w:qFormat/>
    <w:uiPriority w:val="0"/>
    <w:pPr>
      <w:tabs>
        <w:tab w:val="center" w:pos="4154"/>
        <w:tab w:val="right" w:pos="8306"/>
      </w:tabs>
      <w:spacing w:after="120"/>
      <w:jc w:val="right"/>
    </w:pPr>
    <w:rPr>
      <w:rFonts w:ascii="Times New Roman" w:hAnsi="Times New Roman" w:eastAsia="宋体" w:cs="Times New Roman"/>
      <w:sz w:val="21"/>
      <w:lang w:val="en-US" w:eastAsia="zh-CN" w:bidi="ar-SA"/>
    </w:rPr>
  </w:style>
  <w:style w:type="paragraph" w:customStyle="1" w:styleId="256">
    <w:name w:val="注×："/>
    <w:qFormat/>
    <w:uiPriority w:val="0"/>
    <w:pPr>
      <w:widowControl w:val="0"/>
      <w:tabs>
        <w:tab w:val="left" w:pos="360"/>
        <w:tab w:val="left" w:pos="630"/>
      </w:tabs>
      <w:autoSpaceDE w:val="0"/>
      <w:autoSpaceDN w:val="0"/>
      <w:jc w:val="both"/>
    </w:pPr>
    <w:rPr>
      <w:rFonts w:ascii="宋体" w:hAnsi="Times New Roman" w:eastAsia="宋体" w:cs="Times New Roman"/>
      <w:sz w:val="18"/>
      <w:lang w:val="en-US" w:eastAsia="zh-CN" w:bidi="ar-SA"/>
    </w:rPr>
  </w:style>
  <w:style w:type="paragraph" w:customStyle="1" w:styleId="257">
    <w:name w:val="列项——"/>
    <w:qFormat/>
    <w:uiPriority w:val="0"/>
    <w:pPr>
      <w:widowControl w:val="0"/>
      <w:tabs>
        <w:tab w:val="left" w:pos="360"/>
        <w:tab w:val="left" w:pos="780"/>
      </w:tabs>
      <w:jc w:val="both"/>
    </w:pPr>
    <w:rPr>
      <w:rFonts w:ascii="宋体" w:hAnsi="Times New Roman" w:eastAsia="宋体" w:cs="Times New Roman"/>
      <w:sz w:val="21"/>
      <w:lang w:val="en-US" w:eastAsia="zh-CN" w:bidi="ar-SA"/>
    </w:rPr>
  </w:style>
  <w:style w:type="paragraph" w:customStyle="1" w:styleId="258">
    <w:name w:val="四级无标题条"/>
    <w:basedOn w:val="1"/>
    <w:qFormat/>
    <w:uiPriority w:val="0"/>
    <w:pPr>
      <w:numPr>
        <w:ilvl w:val="5"/>
        <w:numId w:val="12"/>
      </w:numPr>
    </w:pPr>
  </w:style>
  <w:style w:type="paragraph" w:customStyle="1" w:styleId="259">
    <w:name w:val="标准标志"/>
    <w:next w:val="1"/>
    <w:qFormat/>
    <w:uiPriority w:val="0"/>
    <w:pPr>
      <w:shd w:val="solid" w:color="FFFFFF" w:fill="FFFFFF"/>
      <w:spacing w:line="0" w:lineRule="atLeast"/>
      <w:jc w:val="right"/>
    </w:pPr>
    <w:rPr>
      <w:rFonts w:ascii="Times New Roman" w:hAnsi="Times New Roman" w:eastAsia="宋体" w:cs="Times New Roman"/>
      <w:b/>
      <w:w w:val="130"/>
      <w:sz w:val="96"/>
      <w:lang w:val="en-US" w:eastAsia="zh-CN" w:bidi="ar-SA"/>
    </w:rPr>
  </w:style>
  <w:style w:type="paragraph" w:customStyle="1" w:styleId="260">
    <w:name w:val="CM10"/>
    <w:basedOn w:val="213"/>
    <w:next w:val="213"/>
    <w:qFormat/>
    <w:uiPriority w:val="0"/>
    <w:pPr>
      <w:spacing w:line="468" w:lineRule="atLeast"/>
    </w:pPr>
    <w:rPr>
      <w:rFonts w:ascii="黑体" w:eastAsia="黑体" w:cs="Times New Roman"/>
      <w:color w:val="auto"/>
    </w:rPr>
  </w:style>
  <w:style w:type="paragraph" w:customStyle="1" w:styleId="261">
    <w:name w:val="表格标题粗体_制度头表格"/>
    <w:qFormat/>
    <w:uiPriority w:val="0"/>
    <w:pPr>
      <w:jc w:val="center"/>
    </w:pPr>
    <w:rPr>
      <w:rFonts w:ascii="Times New Roman" w:hAnsi="Times New Roman" w:eastAsia="宋体" w:cs="Times New Roman"/>
      <w:b/>
      <w:sz w:val="21"/>
      <w:szCs w:val="21"/>
      <w:lang w:val="en-US" w:eastAsia="zh-CN" w:bidi="ar-SA"/>
    </w:rPr>
  </w:style>
  <w:style w:type="paragraph" w:customStyle="1" w:styleId="262">
    <w:name w:val="图表脚注"/>
    <w:next w:val="187"/>
    <w:qFormat/>
    <w:uiPriority w:val="0"/>
    <w:pPr>
      <w:ind w:left="300" w:leftChars="200" w:hanging="100" w:hangingChars="100"/>
      <w:jc w:val="both"/>
    </w:pPr>
    <w:rPr>
      <w:rFonts w:ascii="宋体" w:hAnsi="Times New Roman" w:eastAsia="宋体" w:cs="Times New Roman"/>
      <w:sz w:val="18"/>
      <w:lang w:val="en-US" w:eastAsia="zh-CN" w:bidi="ar-SA"/>
    </w:rPr>
  </w:style>
  <w:style w:type="paragraph" w:customStyle="1" w:styleId="263">
    <w:name w:val="封面标准文稿编辑信息"/>
    <w:qFormat/>
    <w:uiPriority w:val="0"/>
    <w:pPr>
      <w:spacing w:before="180" w:line="180" w:lineRule="exact"/>
      <w:jc w:val="center"/>
    </w:pPr>
    <w:rPr>
      <w:rFonts w:ascii="宋体" w:hAnsi="Times New Roman" w:eastAsia="宋体" w:cs="Times New Roman"/>
      <w:sz w:val="21"/>
      <w:lang w:val="en-US" w:eastAsia="zh-CN" w:bidi="ar-SA"/>
    </w:rPr>
  </w:style>
  <w:style w:type="paragraph" w:customStyle="1" w:styleId="264">
    <w:name w:val="条文脚注"/>
    <w:basedOn w:val="63"/>
    <w:qFormat/>
    <w:uiPriority w:val="0"/>
    <w:pPr>
      <w:ind w:left="780" w:leftChars="200" w:hanging="360" w:hangingChars="200"/>
      <w:jc w:val="both"/>
    </w:pPr>
    <w:rPr>
      <w:rFonts w:ascii="宋体"/>
    </w:rPr>
  </w:style>
  <w:style w:type="paragraph" w:customStyle="1" w:styleId="265">
    <w:name w:val="附录标识"/>
    <w:basedOn w:val="266"/>
    <w:qFormat/>
    <w:uiPriority w:val="0"/>
    <w:pPr>
      <w:numPr>
        <w:ilvl w:val="0"/>
        <w:numId w:val="13"/>
      </w:numPr>
      <w:tabs>
        <w:tab w:val="left" w:pos="2040"/>
      </w:tabs>
      <w:ind w:left="720" w:hanging="720"/>
    </w:pPr>
  </w:style>
  <w:style w:type="paragraph" w:customStyle="1" w:styleId="266">
    <w:name w:val="前言、引言标题"/>
    <w:next w:val="1"/>
    <w:qFormat/>
    <w:uiPriority w:val="0"/>
    <w:pPr>
      <w:shd w:val="clear" w:color="FFFFFF" w:fill="FFFFFF"/>
      <w:tabs>
        <w:tab w:val="left" w:pos="2040"/>
      </w:tabs>
      <w:spacing w:before="640" w:after="560"/>
      <w:ind w:left="2040" w:hanging="360"/>
      <w:jc w:val="center"/>
      <w:outlineLvl w:val="0"/>
    </w:pPr>
    <w:rPr>
      <w:rFonts w:ascii="黑体" w:hAnsi="Times New Roman" w:eastAsia="黑体" w:cs="Times New Roman"/>
      <w:sz w:val="32"/>
      <w:lang w:val="en-US" w:eastAsia="zh-CN" w:bidi="ar-SA"/>
    </w:rPr>
  </w:style>
  <w:style w:type="paragraph" w:customStyle="1" w:styleId="267">
    <w:name w:val="表格内容靠左粗体_制度头表格"/>
    <w:basedOn w:val="268"/>
    <w:qFormat/>
    <w:uiPriority w:val="0"/>
    <w:pPr>
      <w:jc w:val="both"/>
    </w:pPr>
    <w:rPr>
      <w:b/>
      <w:bCs/>
      <w:sz w:val="21"/>
    </w:rPr>
  </w:style>
  <w:style w:type="paragraph" w:customStyle="1" w:styleId="268">
    <w:name w:val="表格内容居中正常_制度头表格"/>
    <w:qFormat/>
    <w:uiPriority w:val="0"/>
    <w:pPr>
      <w:jc w:val="center"/>
    </w:pPr>
    <w:rPr>
      <w:rFonts w:ascii="Times New Roman" w:hAnsi="Times New Roman" w:eastAsia="宋体" w:cs="Times New Roman"/>
      <w:szCs w:val="21"/>
      <w:lang w:val="en-US" w:eastAsia="zh-CN" w:bidi="ar-SA"/>
    </w:rPr>
  </w:style>
  <w:style w:type="paragraph" w:customStyle="1" w:styleId="269">
    <w:name w:val="封面一致性程度标识"/>
    <w:qFormat/>
    <w:uiPriority w:val="0"/>
    <w:pPr>
      <w:spacing w:before="440" w:line="400" w:lineRule="exact"/>
      <w:jc w:val="center"/>
    </w:pPr>
    <w:rPr>
      <w:rFonts w:ascii="宋体" w:hAnsi="Times New Roman" w:eastAsia="宋体" w:cs="Times New Roman"/>
      <w:sz w:val="28"/>
      <w:lang w:val="en-US" w:eastAsia="zh-CN" w:bidi="ar-SA"/>
    </w:rPr>
  </w:style>
  <w:style w:type="paragraph" w:customStyle="1" w:styleId="270">
    <w:name w:val="无标题条"/>
    <w:next w:val="187"/>
    <w:qFormat/>
    <w:uiPriority w:val="0"/>
    <w:pPr>
      <w:jc w:val="both"/>
    </w:pPr>
    <w:rPr>
      <w:rFonts w:ascii="Times New Roman" w:hAnsi="Times New Roman" w:eastAsia="宋体" w:cs="Times New Roman"/>
      <w:sz w:val="21"/>
      <w:lang w:val="en-US" w:eastAsia="zh-CN" w:bidi="ar-SA"/>
    </w:rPr>
  </w:style>
  <w:style w:type="paragraph" w:customStyle="1" w:styleId="271">
    <w:name w:val="二级无标题条"/>
    <w:basedOn w:val="1"/>
    <w:qFormat/>
    <w:uiPriority w:val="0"/>
    <w:pPr>
      <w:numPr>
        <w:ilvl w:val="3"/>
        <w:numId w:val="12"/>
      </w:numPr>
    </w:pPr>
  </w:style>
  <w:style w:type="paragraph" w:customStyle="1" w:styleId="272">
    <w:name w:val="Char Char Char Char Char Char Char Char Char Char Char Char"/>
    <w:basedOn w:val="1"/>
    <w:qFormat/>
    <w:uiPriority w:val="0"/>
    <w:pPr>
      <w:spacing w:line="360" w:lineRule="auto"/>
    </w:pPr>
    <w:rPr>
      <w:rFonts w:ascii="Tahoma" w:hAnsi="Tahoma"/>
      <w:sz w:val="24"/>
      <w:szCs w:val="20"/>
    </w:rPr>
  </w:style>
  <w:style w:type="paragraph" w:customStyle="1" w:styleId="273">
    <w:name w:val="正文表标题"/>
    <w:next w:val="187"/>
    <w:qFormat/>
    <w:uiPriority w:val="0"/>
    <w:pPr>
      <w:tabs>
        <w:tab w:val="left" w:pos="360"/>
        <w:tab w:val="left" w:pos="678"/>
      </w:tabs>
      <w:ind w:left="678" w:hanging="468"/>
      <w:jc w:val="center"/>
    </w:pPr>
    <w:rPr>
      <w:rFonts w:ascii="黑体" w:hAnsi="Times New Roman" w:eastAsia="黑体" w:cs="Times New Roman"/>
      <w:sz w:val="21"/>
      <w:lang w:val="en-US" w:eastAsia="zh-CN" w:bidi="ar-SA"/>
    </w:rPr>
  </w:style>
  <w:style w:type="paragraph" w:customStyle="1" w:styleId="274">
    <w:name w:val="Char Char Char Char Char Char Char Char Char Char Char Char1"/>
    <w:basedOn w:val="1"/>
    <w:qFormat/>
    <w:uiPriority w:val="0"/>
    <w:pPr>
      <w:spacing w:line="360" w:lineRule="auto"/>
    </w:pPr>
    <w:rPr>
      <w:rFonts w:ascii="Tahoma" w:hAnsi="Tahoma"/>
      <w:sz w:val="24"/>
      <w:szCs w:val="20"/>
    </w:rPr>
  </w:style>
  <w:style w:type="paragraph" w:customStyle="1" w:styleId="275">
    <w:name w:val="一级无标题条"/>
    <w:basedOn w:val="1"/>
    <w:qFormat/>
    <w:uiPriority w:val="0"/>
    <w:pPr>
      <w:numPr>
        <w:ilvl w:val="2"/>
        <w:numId w:val="12"/>
      </w:numPr>
    </w:pPr>
  </w:style>
  <w:style w:type="paragraph" w:customStyle="1" w:styleId="276">
    <w:name w:val="五级条标题"/>
    <w:basedOn w:val="1"/>
    <w:next w:val="187"/>
    <w:qFormat/>
    <w:uiPriority w:val="0"/>
    <w:pPr>
      <w:widowControl/>
      <w:tabs>
        <w:tab w:val="left" w:pos="2040"/>
      </w:tabs>
      <w:ind w:left="2040" w:hanging="360"/>
      <w:outlineLvl w:val="6"/>
    </w:pPr>
    <w:rPr>
      <w:rFonts w:ascii="黑体" w:eastAsia="黑体"/>
      <w:kern w:val="0"/>
      <w:szCs w:val="20"/>
    </w:rPr>
  </w:style>
  <w:style w:type="paragraph" w:customStyle="1" w:styleId="277">
    <w:name w:val="目次、标准名称标题"/>
    <w:basedOn w:val="266"/>
    <w:next w:val="187"/>
    <w:qFormat/>
    <w:uiPriority w:val="0"/>
    <w:pPr>
      <w:tabs>
        <w:tab w:val="left" w:pos="1140"/>
      </w:tabs>
      <w:spacing w:line="460" w:lineRule="exact"/>
    </w:pPr>
  </w:style>
  <w:style w:type="paragraph" w:customStyle="1" w:styleId="278">
    <w:name w:val="四级条标题"/>
    <w:basedOn w:val="194"/>
    <w:next w:val="187"/>
    <w:qFormat/>
    <w:uiPriority w:val="0"/>
    <w:pPr>
      <w:outlineLvl w:val="5"/>
    </w:pPr>
  </w:style>
  <w:style w:type="paragraph" w:customStyle="1" w:styleId="279">
    <w:name w:val="CM5"/>
    <w:basedOn w:val="213"/>
    <w:next w:val="213"/>
    <w:qFormat/>
    <w:uiPriority w:val="0"/>
    <w:pPr>
      <w:spacing w:line="471" w:lineRule="atLeast"/>
    </w:pPr>
    <w:rPr>
      <w:rFonts w:ascii="黑体" w:eastAsia="黑体" w:cs="Times New Roman"/>
      <w:color w:val="auto"/>
    </w:rPr>
  </w:style>
  <w:style w:type="paragraph" w:customStyle="1" w:styleId="280">
    <w:name w:val="字母编号列项（一级）"/>
    <w:qFormat/>
    <w:uiPriority w:val="0"/>
    <w:pPr>
      <w:ind w:left="840" w:leftChars="200" w:hanging="420" w:hangingChars="200"/>
      <w:jc w:val="both"/>
    </w:pPr>
    <w:rPr>
      <w:rFonts w:ascii="宋体" w:hAnsi="Times New Roman" w:eastAsia="宋体" w:cs="Times New Roman"/>
      <w:sz w:val="21"/>
      <w:lang w:val="en-US" w:eastAsia="zh-CN" w:bidi="ar-SA"/>
    </w:rPr>
  </w:style>
  <w:style w:type="paragraph" w:customStyle="1" w:styleId="281">
    <w:name w:val="前言首行"/>
    <w:basedOn w:val="1"/>
    <w:qFormat/>
    <w:uiPriority w:val="0"/>
    <w:pPr>
      <w:spacing w:after="120"/>
      <w:jc w:val="center"/>
    </w:pPr>
    <w:rPr>
      <w:rFonts w:eastAsia="黑体" w:cs="宋体"/>
      <w:b/>
      <w:bCs/>
      <w:sz w:val="32"/>
      <w:szCs w:val="20"/>
    </w:rPr>
  </w:style>
  <w:style w:type="paragraph" w:customStyle="1" w:styleId="282">
    <w:name w:val="标准书眉_偶数页"/>
    <w:basedOn w:val="255"/>
    <w:next w:val="1"/>
    <w:qFormat/>
    <w:uiPriority w:val="0"/>
    <w:pPr>
      <w:jc w:val="left"/>
    </w:pPr>
  </w:style>
  <w:style w:type="paragraph" w:customStyle="1" w:styleId="283">
    <w:name w:val="_Style 282"/>
    <w:semiHidden/>
    <w:qFormat/>
    <w:uiPriority w:val="0"/>
    <w:rPr>
      <w:rFonts w:ascii="Times New Roman" w:hAnsi="Times New Roman" w:eastAsia="宋体" w:cs="Times New Roman"/>
      <w:kern w:val="2"/>
      <w:sz w:val="21"/>
      <w:szCs w:val="24"/>
      <w:lang w:val="en-US" w:eastAsia="zh-CN" w:bidi="ar-SA"/>
    </w:rPr>
  </w:style>
  <w:style w:type="paragraph" w:customStyle="1" w:styleId="284">
    <w:name w:val="_Style 171"/>
    <w:basedOn w:val="32"/>
    <w:next w:val="83"/>
    <w:link w:val="285"/>
    <w:qFormat/>
    <w:uiPriority w:val="0"/>
    <w:pPr>
      <w:ind w:firstLine="420"/>
    </w:pPr>
  </w:style>
  <w:style w:type="character" w:customStyle="1" w:styleId="285">
    <w:name w:val="正文首行缩进 2 Char"/>
    <w:link w:val="284"/>
    <w:qFormat/>
    <w:uiPriority w:val="0"/>
  </w:style>
  <w:style w:type="paragraph" w:customStyle="1" w:styleId="286">
    <w:name w:val="默认段落字体 Para Char Char Char Char"/>
    <w:basedOn w:val="1"/>
    <w:qFormat/>
    <w:uiPriority w:val="0"/>
    <w:rPr>
      <w:rFonts w:ascii="宋体" w:hAnsi="宋体"/>
      <w:b/>
      <w:color w:val="000000"/>
      <w:sz w:val="24"/>
    </w:rPr>
  </w:style>
  <w:style w:type="character" w:customStyle="1" w:styleId="287">
    <w:name w:val="标题 2 Char1"/>
    <w:qFormat/>
    <w:uiPriority w:val="0"/>
    <w:rPr>
      <w:rFonts w:eastAsia="黑体"/>
      <w:bCs/>
      <w:kern w:val="2"/>
      <w:sz w:val="21"/>
      <w:szCs w:val="21"/>
    </w:rPr>
  </w:style>
  <w:style w:type="paragraph" w:customStyle="1" w:styleId="288">
    <w:name w:val="图说"/>
    <w:basedOn w:val="1"/>
    <w:semiHidden/>
    <w:qFormat/>
    <w:uiPriority w:val="0"/>
    <w:pPr>
      <w:topLinePunct/>
      <w:spacing w:before="40" w:after="160"/>
      <w:jc w:val="center"/>
    </w:pPr>
    <w:rPr>
      <w:rFonts w:cs="宋体"/>
      <w:sz w:val="18"/>
      <w:szCs w:val="20"/>
    </w:rPr>
  </w:style>
  <w:style w:type="paragraph" w:customStyle="1" w:styleId="289">
    <w:name w:val="样式2"/>
    <w:basedOn w:val="3"/>
    <w:semiHidden/>
    <w:qFormat/>
    <w:uiPriority w:val="0"/>
    <w:pPr>
      <w:keepNext/>
      <w:tabs>
        <w:tab w:val="left" w:pos="567"/>
        <w:tab w:val="left" w:pos="850"/>
        <w:tab w:val="left" w:pos="1276"/>
      </w:tabs>
      <w:topLinePunct/>
      <w:adjustRightInd/>
      <w:snapToGrid/>
      <w:spacing w:line="960" w:lineRule="auto"/>
      <w:ind w:left="851"/>
      <w:jc w:val="left"/>
    </w:pPr>
    <w:rPr>
      <w:rFonts w:ascii="Times New Roman" w:eastAsia="黑体"/>
      <w:b/>
      <w:bCs w:val="0"/>
      <w:sz w:val="36"/>
      <w:szCs w:val="36"/>
    </w:rPr>
  </w:style>
  <w:style w:type="paragraph" w:customStyle="1" w:styleId="290">
    <w:name w:val="样式3"/>
    <w:basedOn w:val="4"/>
    <w:semiHidden/>
    <w:qFormat/>
    <w:uiPriority w:val="0"/>
    <w:pPr>
      <w:keepNext/>
      <w:keepLines/>
      <w:tabs>
        <w:tab w:val="left" w:pos="709"/>
        <w:tab w:val="left" w:pos="2126"/>
        <w:tab w:val="clear" w:pos="1560"/>
      </w:tabs>
      <w:topLinePunct/>
      <w:snapToGrid/>
      <w:spacing w:line="720" w:lineRule="auto"/>
      <w:ind w:left="1701"/>
      <w:jc w:val="left"/>
    </w:pPr>
    <w:rPr>
      <w:rFonts w:ascii="Arial" w:hAnsi="Arial" w:eastAsia="黑体"/>
      <w:b/>
      <w:bCs w:val="0"/>
      <w:sz w:val="30"/>
      <w:szCs w:val="30"/>
    </w:rPr>
  </w:style>
  <w:style w:type="paragraph" w:customStyle="1" w:styleId="291">
    <w:name w:val="样式4"/>
    <w:basedOn w:val="5"/>
    <w:semiHidden/>
    <w:qFormat/>
    <w:uiPriority w:val="0"/>
    <w:pPr>
      <w:keepNext/>
      <w:keepLines/>
      <w:numPr>
        <w:ilvl w:val="3"/>
        <w:numId w:val="1"/>
      </w:numPr>
      <w:tabs>
        <w:tab w:val="left" w:pos="2976"/>
      </w:tabs>
      <w:topLinePunct/>
      <w:spacing w:line="480" w:lineRule="auto"/>
      <w:ind w:left="2551" w:firstLine="420"/>
    </w:pPr>
    <w:rPr>
      <w:rFonts w:ascii="Times New Roman" w:eastAsia="楷体_GB2312"/>
      <w:bCs w:val="0"/>
      <w:kern w:val="2"/>
      <w:sz w:val="24"/>
      <w:szCs w:val="20"/>
    </w:rPr>
  </w:style>
  <w:style w:type="paragraph" w:customStyle="1" w:styleId="292">
    <w:name w:val="样式5"/>
    <w:semiHidden/>
    <w:qFormat/>
    <w:uiPriority w:val="0"/>
    <w:pPr>
      <w:snapToGrid w:val="0"/>
      <w:spacing w:before="160" w:after="40"/>
      <w:jc w:val="center"/>
    </w:pPr>
    <w:rPr>
      <w:rFonts w:ascii="Times New Roman" w:hAnsi="Times New Roman" w:eastAsia="宋体" w:cs="宋体"/>
      <w:kern w:val="2"/>
      <w:sz w:val="18"/>
      <w:lang w:val="en-US" w:eastAsia="zh-CN" w:bidi="ar-SA"/>
    </w:rPr>
  </w:style>
  <w:style w:type="paragraph" w:customStyle="1" w:styleId="293">
    <w:name w:val="jl 正文"/>
    <w:basedOn w:val="1"/>
    <w:semiHidden/>
    <w:qFormat/>
    <w:uiPriority w:val="0"/>
    <w:pPr>
      <w:autoSpaceDE w:val="0"/>
      <w:autoSpaceDN w:val="0"/>
      <w:adjustRightInd w:val="0"/>
      <w:ind w:firstLine="200" w:firstLineChars="200"/>
      <w:jc w:val="left"/>
      <w:textAlignment w:val="baseline"/>
    </w:pPr>
    <w:rPr>
      <w:rFonts w:ascii="宋体"/>
      <w:kern w:val="0"/>
      <w:sz w:val="24"/>
    </w:rPr>
  </w:style>
  <w:style w:type="paragraph" w:customStyle="1" w:styleId="294">
    <w:name w:val="标题 3 + 小四 段前: 0 磅 段后: 0 磅 行距: 1.5 倍行距"/>
    <w:basedOn w:val="4"/>
    <w:next w:val="4"/>
    <w:semiHidden/>
    <w:qFormat/>
    <w:uiPriority w:val="0"/>
    <w:pPr>
      <w:keepNext/>
      <w:keepLines/>
      <w:tabs>
        <w:tab w:val="left" w:pos="2126"/>
        <w:tab w:val="clear" w:pos="1560"/>
      </w:tabs>
      <w:snapToGrid/>
      <w:ind w:left="1701"/>
      <w:jc w:val="center"/>
    </w:pPr>
    <w:rPr>
      <w:rFonts w:ascii="Times New Roman" w:eastAsia="黑体" w:cs="宋体"/>
      <w:sz w:val="24"/>
      <w:szCs w:val="20"/>
    </w:rPr>
  </w:style>
  <w:style w:type="paragraph" w:customStyle="1" w:styleId="295">
    <w:name w:val="默认段落字体 Para Char Char Char Char Char"/>
    <w:basedOn w:val="1"/>
    <w:qFormat/>
    <w:uiPriority w:val="0"/>
    <w:rPr>
      <w:rFonts w:ascii="宋体" w:hAnsi="宋体"/>
      <w:b/>
      <w:color w:val="000000"/>
      <w:sz w:val="24"/>
    </w:rPr>
  </w:style>
  <w:style w:type="paragraph" w:customStyle="1" w:styleId="296">
    <w:name w:val="Char Char Char Char Char Char Char"/>
    <w:basedOn w:val="1"/>
    <w:semiHidden/>
    <w:qFormat/>
    <w:uiPriority w:val="0"/>
  </w:style>
  <w:style w:type="paragraph" w:customStyle="1" w:styleId="297">
    <w:name w:val="jl 正文 Char Char"/>
    <w:basedOn w:val="1"/>
    <w:link w:val="298"/>
    <w:semiHidden/>
    <w:qFormat/>
    <w:uiPriority w:val="0"/>
    <w:pPr>
      <w:autoSpaceDE w:val="0"/>
      <w:autoSpaceDN w:val="0"/>
      <w:adjustRightInd w:val="0"/>
      <w:ind w:firstLine="200" w:firstLineChars="200"/>
      <w:jc w:val="left"/>
      <w:textAlignment w:val="baseline"/>
    </w:pPr>
    <w:rPr>
      <w:rFonts w:ascii="宋体"/>
      <w:sz w:val="24"/>
    </w:rPr>
  </w:style>
  <w:style w:type="character" w:customStyle="1" w:styleId="298">
    <w:name w:val="jl 正文 Char Char Char"/>
    <w:link w:val="297"/>
    <w:semiHidden/>
    <w:qFormat/>
    <w:uiPriority w:val="0"/>
    <w:rPr>
      <w:rFonts w:ascii="宋体" w:hAnsi="Times New Roman"/>
      <w:kern w:val="2"/>
      <w:sz w:val="24"/>
      <w:szCs w:val="24"/>
    </w:rPr>
  </w:style>
  <w:style w:type="paragraph" w:customStyle="1" w:styleId="299">
    <w:name w:val="jl 三级 Char"/>
    <w:basedOn w:val="1"/>
    <w:link w:val="300"/>
    <w:semiHidden/>
    <w:qFormat/>
    <w:uiPriority w:val="0"/>
    <w:pPr>
      <w:autoSpaceDE w:val="0"/>
      <w:autoSpaceDN w:val="0"/>
      <w:adjustRightInd w:val="0"/>
      <w:spacing w:before="120" w:beforeLines="50" w:after="120" w:afterLines="50"/>
      <w:ind w:firstLine="480" w:firstLineChars="200"/>
      <w:jc w:val="left"/>
      <w:textAlignment w:val="baseline"/>
      <w:outlineLvl w:val="2"/>
    </w:pPr>
    <w:rPr>
      <w:rFonts w:ascii="宋体" w:hAnsi="宋体"/>
      <w:b/>
      <w:color w:val="000000"/>
      <w:sz w:val="24"/>
    </w:rPr>
  </w:style>
  <w:style w:type="character" w:customStyle="1" w:styleId="300">
    <w:name w:val="jl 三级 Char Char"/>
    <w:link w:val="299"/>
    <w:semiHidden/>
    <w:qFormat/>
    <w:uiPriority w:val="0"/>
    <w:rPr>
      <w:rFonts w:ascii="宋体" w:hAnsi="宋体"/>
      <w:b/>
      <w:color w:val="000000"/>
      <w:kern w:val="2"/>
      <w:sz w:val="24"/>
      <w:szCs w:val="24"/>
    </w:rPr>
  </w:style>
  <w:style w:type="character" w:customStyle="1" w:styleId="301">
    <w:name w:val="称呼 字符"/>
    <w:semiHidden/>
    <w:qFormat/>
    <w:uiPriority w:val="99"/>
    <w:rPr>
      <w:rFonts w:ascii="Times New Roman" w:hAnsi="Times New Roman"/>
      <w:kern w:val="2"/>
      <w:sz w:val="21"/>
      <w:szCs w:val="24"/>
    </w:rPr>
  </w:style>
  <w:style w:type="character" w:customStyle="1" w:styleId="302">
    <w:name w:val="电子邮件签名 字符"/>
    <w:semiHidden/>
    <w:qFormat/>
    <w:uiPriority w:val="99"/>
    <w:rPr>
      <w:rFonts w:ascii="Times New Roman" w:hAnsi="Times New Roman"/>
      <w:kern w:val="2"/>
      <w:sz w:val="21"/>
      <w:szCs w:val="24"/>
    </w:rPr>
  </w:style>
  <w:style w:type="character" w:customStyle="1" w:styleId="303">
    <w:name w:val="副标题 字符"/>
    <w:qFormat/>
    <w:uiPriority w:val="11"/>
    <w:rPr>
      <w:rFonts w:ascii="等线 Light" w:hAnsi="等线 Light" w:cs="Times New Roman"/>
      <w:b/>
      <w:bCs/>
      <w:kern w:val="28"/>
      <w:sz w:val="32"/>
      <w:szCs w:val="32"/>
    </w:rPr>
  </w:style>
  <w:style w:type="character" w:customStyle="1" w:styleId="304">
    <w:name w:val="结束语 字符"/>
    <w:semiHidden/>
    <w:qFormat/>
    <w:uiPriority w:val="99"/>
    <w:rPr>
      <w:rFonts w:ascii="Times New Roman" w:hAnsi="Times New Roman"/>
      <w:kern w:val="2"/>
      <w:sz w:val="21"/>
      <w:szCs w:val="24"/>
    </w:rPr>
  </w:style>
  <w:style w:type="character" w:customStyle="1" w:styleId="305">
    <w:name w:val="签名 字符"/>
    <w:semiHidden/>
    <w:qFormat/>
    <w:uiPriority w:val="99"/>
    <w:rPr>
      <w:rFonts w:ascii="Times New Roman" w:hAnsi="Times New Roman"/>
      <w:kern w:val="2"/>
      <w:sz w:val="21"/>
      <w:szCs w:val="24"/>
    </w:rPr>
  </w:style>
  <w:style w:type="character" w:customStyle="1" w:styleId="306">
    <w:name w:val="信息标题 字符"/>
    <w:semiHidden/>
    <w:qFormat/>
    <w:uiPriority w:val="99"/>
    <w:rPr>
      <w:rFonts w:ascii="等线 Light" w:hAnsi="等线 Light" w:eastAsia="等线 Light" w:cs="Times New Roman"/>
      <w:kern w:val="2"/>
      <w:sz w:val="24"/>
      <w:szCs w:val="24"/>
      <w:shd w:val="pct20" w:color="auto" w:fill="auto"/>
    </w:rPr>
  </w:style>
  <w:style w:type="paragraph" w:customStyle="1" w:styleId="307">
    <w:name w:val="3"/>
    <w:qFormat/>
    <w:uiPriority w:val="99"/>
    <w:pPr>
      <w:widowControl w:val="0"/>
      <w:jc w:val="both"/>
    </w:pPr>
    <w:rPr>
      <w:rFonts w:ascii="Times New Roman" w:hAnsi="Times New Roman" w:eastAsia="宋体" w:cs="Times New Roman"/>
      <w:kern w:val="2"/>
      <w:sz w:val="21"/>
      <w:szCs w:val="22"/>
      <w:lang w:val="en-US" w:eastAsia="zh-CN" w:bidi="ar-SA"/>
    </w:rPr>
  </w:style>
  <w:style w:type="character" w:customStyle="1" w:styleId="308">
    <w:name w:val="正文文本 字符"/>
    <w:semiHidden/>
    <w:qFormat/>
    <w:uiPriority w:val="99"/>
    <w:rPr>
      <w:rFonts w:ascii="Times New Roman" w:hAnsi="Times New Roman"/>
      <w:kern w:val="2"/>
      <w:sz w:val="21"/>
      <w:szCs w:val="24"/>
    </w:rPr>
  </w:style>
  <w:style w:type="character" w:customStyle="1" w:styleId="309">
    <w:name w:val="正文首行缩进 Char"/>
    <w:semiHidden/>
    <w:qFormat/>
    <w:uiPriority w:val="0"/>
  </w:style>
  <w:style w:type="character" w:customStyle="1" w:styleId="310">
    <w:name w:val="正文文本缩进 字符"/>
    <w:semiHidden/>
    <w:qFormat/>
    <w:uiPriority w:val="99"/>
    <w:rPr>
      <w:rFonts w:ascii="Times New Roman" w:hAnsi="Times New Roman"/>
      <w:kern w:val="2"/>
      <w:sz w:val="21"/>
      <w:szCs w:val="24"/>
    </w:rPr>
  </w:style>
  <w:style w:type="character" w:customStyle="1" w:styleId="311">
    <w:name w:val="正文文本 2 字符"/>
    <w:semiHidden/>
    <w:qFormat/>
    <w:uiPriority w:val="99"/>
    <w:rPr>
      <w:rFonts w:ascii="Times New Roman" w:hAnsi="Times New Roman"/>
      <w:kern w:val="2"/>
      <w:sz w:val="21"/>
      <w:szCs w:val="24"/>
    </w:rPr>
  </w:style>
  <w:style w:type="character" w:customStyle="1" w:styleId="312">
    <w:name w:val="正文文本 3 字符"/>
    <w:semiHidden/>
    <w:qFormat/>
    <w:uiPriority w:val="99"/>
    <w:rPr>
      <w:rFonts w:ascii="Times New Roman" w:hAnsi="Times New Roman"/>
      <w:kern w:val="2"/>
      <w:sz w:val="16"/>
      <w:szCs w:val="16"/>
    </w:rPr>
  </w:style>
  <w:style w:type="character" w:customStyle="1" w:styleId="313">
    <w:name w:val="正文文本缩进 3 字符"/>
    <w:semiHidden/>
    <w:qFormat/>
    <w:uiPriority w:val="99"/>
    <w:rPr>
      <w:rFonts w:ascii="Times New Roman" w:hAnsi="Times New Roman"/>
      <w:kern w:val="2"/>
      <w:sz w:val="16"/>
      <w:szCs w:val="16"/>
    </w:rPr>
  </w:style>
  <w:style w:type="character" w:customStyle="1" w:styleId="314">
    <w:name w:val="注释标题 字符"/>
    <w:semiHidden/>
    <w:qFormat/>
    <w:uiPriority w:val="99"/>
    <w:rPr>
      <w:rFonts w:ascii="Times New Roman" w:hAnsi="Times New Roman"/>
      <w:kern w:val="2"/>
      <w:sz w:val="21"/>
      <w:szCs w:val="24"/>
    </w:rPr>
  </w:style>
  <w:style w:type="paragraph" w:customStyle="1" w:styleId="315">
    <w:name w:val="样式 标题 2 + 黑体 段前: 10.25 磅 段后: 10.25 磅 行距: 单倍行距"/>
    <w:basedOn w:val="3"/>
    <w:semiHidden/>
    <w:qFormat/>
    <w:uiPriority w:val="0"/>
    <w:pPr>
      <w:keepNext/>
      <w:tabs>
        <w:tab w:val="left" w:pos="1276"/>
      </w:tabs>
      <w:snapToGrid/>
      <w:spacing w:before="50" w:beforeLines="50" w:after="50" w:afterLines="50" w:line="240" w:lineRule="auto"/>
      <w:ind w:left="851"/>
      <w:jc w:val="left"/>
      <w:textAlignment w:val="baseline"/>
    </w:pPr>
    <w:rPr>
      <w:rFonts w:ascii="黑体" w:hAnsi="黑体" w:eastAsia="黑体"/>
      <w:b/>
      <w:bCs w:val="0"/>
      <w:kern w:val="0"/>
      <w:sz w:val="24"/>
      <w:szCs w:val="20"/>
    </w:rPr>
  </w:style>
  <w:style w:type="paragraph" w:customStyle="1" w:styleId="316">
    <w:name w:val="样式 首行缩进:  0 厘米 行距: 单倍行距"/>
    <w:basedOn w:val="1"/>
    <w:semiHidden/>
    <w:qFormat/>
    <w:uiPriority w:val="0"/>
    <w:pPr>
      <w:adjustRightInd w:val="0"/>
      <w:textAlignment w:val="baseline"/>
    </w:pPr>
    <w:rPr>
      <w:kern w:val="0"/>
      <w:szCs w:val="20"/>
    </w:rPr>
  </w:style>
  <w:style w:type="paragraph" w:customStyle="1" w:styleId="317">
    <w:name w:val="样式 样式 标题 2 + 段前: 0.5 行 段后: 0.5 行 + 首行缩进:  2 字符 段前: 0.5 行 段后: 0..."/>
    <w:basedOn w:val="1"/>
    <w:semiHidden/>
    <w:qFormat/>
    <w:uiPriority w:val="0"/>
    <w:pPr>
      <w:keepNext/>
      <w:keepLines/>
      <w:adjustRightInd w:val="0"/>
      <w:spacing w:before="50" w:beforeLines="50" w:after="50" w:afterLines="50"/>
      <w:jc w:val="left"/>
      <w:textAlignment w:val="baseline"/>
      <w:outlineLvl w:val="1"/>
    </w:pPr>
    <w:rPr>
      <w:rFonts w:eastAsia="黑体"/>
      <w:kern w:val="0"/>
      <w:szCs w:val="20"/>
    </w:rPr>
  </w:style>
  <w:style w:type="paragraph" w:customStyle="1" w:styleId="318">
    <w:name w:val="样式 标题 1 + 首行缩进:  2 字符 段前: 1 行 段后: 1 行"/>
    <w:basedOn w:val="2"/>
    <w:semiHidden/>
    <w:qFormat/>
    <w:uiPriority w:val="0"/>
    <w:pPr>
      <w:tabs>
        <w:tab w:val="left" w:pos="425"/>
      </w:tabs>
      <w:snapToGrid/>
      <w:spacing w:before="100" w:after="100" w:afterLines="100"/>
    </w:pPr>
    <w:rPr>
      <w:rFonts w:ascii="Times New Roman"/>
      <w:bCs w:val="0"/>
      <w:sz w:val="28"/>
      <w:szCs w:val="20"/>
    </w:rPr>
  </w:style>
  <w:style w:type="paragraph" w:customStyle="1" w:styleId="319">
    <w:name w:val="Char1"/>
    <w:basedOn w:val="1"/>
    <w:qFormat/>
    <w:uiPriority w:val="0"/>
  </w:style>
  <w:style w:type="paragraph" w:customStyle="1" w:styleId="320">
    <w:name w:val="Char Char Char"/>
    <w:basedOn w:val="1"/>
    <w:qFormat/>
    <w:uiPriority w:val="0"/>
  </w:style>
  <w:style w:type="paragraph" w:customStyle="1" w:styleId="321">
    <w:name w:val="表头"/>
    <w:basedOn w:val="1"/>
    <w:link w:val="322"/>
    <w:qFormat/>
    <w:uiPriority w:val="0"/>
    <w:pPr>
      <w:topLinePunct/>
      <w:spacing w:before="160" w:after="60"/>
      <w:jc w:val="center"/>
    </w:pPr>
    <w:rPr>
      <w:rFonts w:eastAsia="黑体"/>
      <w:szCs w:val="21"/>
    </w:rPr>
  </w:style>
  <w:style w:type="character" w:customStyle="1" w:styleId="322">
    <w:name w:val="表头 Char"/>
    <w:link w:val="321"/>
    <w:qFormat/>
    <w:uiPriority w:val="0"/>
    <w:rPr>
      <w:rFonts w:ascii="Times New Roman" w:hAnsi="Times New Roman" w:eastAsia="黑体"/>
      <w:kern w:val="2"/>
      <w:sz w:val="21"/>
      <w:szCs w:val="21"/>
    </w:rPr>
  </w:style>
  <w:style w:type="character" w:customStyle="1" w:styleId="323">
    <w:name w:val="标题 1 Char1"/>
    <w:qFormat/>
    <w:uiPriority w:val="0"/>
    <w:rPr>
      <w:rFonts w:eastAsia="汉仪大宋简"/>
      <w:kern w:val="44"/>
      <w:sz w:val="22"/>
      <w:szCs w:val="22"/>
    </w:rPr>
  </w:style>
  <w:style w:type="character" w:customStyle="1" w:styleId="324">
    <w:name w:val="Char Char2"/>
    <w:qFormat/>
    <w:uiPriority w:val="0"/>
    <w:rPr>
      <w:rFonts w:eastAsia="汉仪大宋简"/>
      <w:kern w:val="44"/>
      <w:sz w:val="22"/>
      <w:szCs w:val="22"/>
      <w:lang w:val="en-US" w:eastAsia="zh-CN" w:bidi="ar-SA"/>
    </w:rPr>
  </w:style>
  <w:style w:type="paragraph" w:customStyle="1" w:styleId="325">
    <w:name w:val="正文格式"/>
    <w:basedOn w:val="1"/>
    <w:link w:val="326"/>
    <w:qFormat/>
    <w:uiPriority w:val="0"/>
    <w:pPr>
      <w:topLinePunct/>
      <w:ind w:firstLine="420" w:firstLineChars="200"/>
    </w:pPr>
    <w:rPr>
      <w:rFonts w:ascii="宋体" w:hAnsi="宋体"/>
      <w:bCs/>
      <w:szCs w:val="21"/>
    </w:rPr>
  </w:style>
  <w:style w:type="character" w:customStyle="1" w:styleId="326">
    <w:name w:val="正文格式 Char"/>
    <w:link w:val="325"/>
    <w:qFormat/>
    <w:uiPriority w:val="0"/>
    <w:rPr>
      <w:rFonts w:ascii="宋体" w:hAnsi="宋体"/>
      <w:bCs/>
      <w:kern w:val="2"/>
      <w:sz w:val="21"/>
      <w:szCs w:val="21"/>
    </w:rPr>
  </w:style>
  <w:style w:type="paragraph" w:customStyle="1" w:styleId="327">
    <w:name w:val="Char3"/>
    <w:basedOn w:val="1"/>
    <w:qFormat/>
    <w:uiPriority w:val="0"/>
    <w:rPr>
      <w:szCs w:val="20"/>
    </w:rPr>
  </w:style>
  <w:style w:type="character" w:customStyle="1" w:styleId="328">
    <w:name w:val="Char Char4"/>
    <w:qFormat/>
    <w:uiPriority w:val="0"/>
    <w:rPr>
      <w:rFonts w:eastAsia="汉仪大宋简"/>
      <w:kern w:val="44"/>
      <w:sz w:val="22"/>
      <w:szCs w:val="22"/>
      <w:lang w:val="en-US" w:eastAsia="zh-CN" w:bidi="ar-SA"/>
    </w:rPr>
  </w:style>
  <w:style w:type="paragraph" w:customStyle="1" w:styleId="329">
    <w:name w:val="样式7"/>
    <w:basedOn w:val="1"/>
    <w:qFormat/>
    <w:uiPriority w:val="0"/>
    <w:pPr>
      <w:numPr>
        <w:ilvl w:val="0"/>
        <w:numId w:val="17"/>
      </w:numPr>
    </w:pPr>
  </w:style>
  <w:style w:type="paragraph" w:customStyle="1" w:styleId="330">
    <w:name w:val="样式6"/>
    <w:basedOn w:val="1"/>
    <w:link w:val="331"/>
    <w:qFormat/>
    <w:uiPriority w:val="0"/>
    <w:pPr>
      <w:numPr>
        <w:ilvl w:val="2"/>
        <w:numId w:val="18"/>
      </w:numPr>
    </w:pPr>
  </w:style>
  <w:style w:type="character" w:customStyle="1" w:styleId="331">
    <w:name w:val="样式6 Char"/>
    <w:link w:val="330"/>
    <w:qFormat/>
    <w:uiPriority w:val="0"/>
    <w:rPr>
      <w:rFonts w:ascii="Times New Roman" w:hAnsi="Times New Roman"/>
      <w:kern w:val="2"/>
      <w:sz w:val="21"/>
      <w:szCs w:val="24"/>
    </w:rPr>
  </w:style>
  <w:style w:type="character" w:customStyle="1" w:styleId="332">
    <w:name w:val="标题 1 Char Char"/>
    <w:qFormat/>
    <w:uiPriority w:val="0"/>
    <w:rPr>
      <w:rFonts w:ascii="宋体" w:eastAsia="宋体"/>
      <w:b/>
      <w:bCs/>
      <w:kern w:val="44"/>
      <w:sz w:val="21"/>
      <w:szCs w:val="21"/>
      <w:lang w:val="en-US" w:eastAsia="zh-CN" w:bidi="ar-SA"/>
    </w:rPr>
  </w:style>
  <w:style w:type="character" w:customStyle="1" w:styleId="333">
    <w:name w:val="标题 5 Char1"/>
    <w:qFormat/>
    <w:uiPriority w:val="0"/>
    <w:rPr>
      <w:rFonts w:eastAsia="黑体"/>
      <w:bCs/>
      <w:kern w:val="2"/>
      <w:sz w:val="21"/>
      <w:szCs w:val="28"/>
    </w:rPr>
  </w:style>
  <w:style w:type="paragraph" w:customStyle="1" w:styleId="334">
    <w:name w:val="样式 标题 3 + 宋体 段前: 7.8 磅"/>
    <w:basedOn w:val="4"/>
    <w:qFormat/>
    <w:uiPriority w:val="0"/>
    <w:pPr>
      <w:numPr>
        <w:ilvl w:val="0"/>
        <w:numId w:val="0"/>
      </w:numPr>
      <w:tabs>
        <w:tab w:val="left" w:pos="1740"/>
      </w:tabs>
      <w:adjustRightInd w:val="0"/>
      <w:spacing w:before="156"/>
      <w:ind w:left="1740" w:hanging="420"/>
    </w:pPr>
    <w:rPr>
      <w:rFonts w:hAnsi="宋体" w:cs="宋体"/>
      <w:bCs w:val="0"/>
      <w:szCs w:val="20"/>
    </w:rPr>
  </w:style>
  <w:style w:type="paragraph" w:customStyle="1" w:styleId="335">
    <w:name w:val="样式 标题 2标题 2 Char + 宋体"/>
    <w:basedOn w:val="3"/>
    <w:qFormat/>
    <w:uiPriority w:val="0"/>
    <w:pPr>
      <w:numPr>
        <w:ilvl w:val="0"/>
        <w:numId w:val="0"/>
      </w:numPr>
      <w:tabs>
        <w:tab w:val="left" w:pos="1320"/>
      </w:tabs>
      <w:ind w:left="1320" w:hanging="420"/>
    </w:pPr>
    <w:rPr>
      <w:bCs w:val="0"/>
    </w:rPr>
  </w:style>
  <w:style w:type="character" w:customStyle="1" w:styleId="336">
    <w:name w:val="正文 Char"/>
    <w:qFormat/>
    <w:uiPriority w:val="0"/>
    <w:rPr>
      <w:rFonts w:eastAsia="宋体" w:cs="宋体"/>
      <w:kern w:val="2"/>
      <w:sz w:val="21"/>
      <w:lang w:val="en-US" w:eastAsia="zh-CN" w:bidi="ar-SA"/>
    </w:rPr>
  </w:style>
  <w:style w:type="character" w:customStyle="1" w:styleId="337">
    <w:name w:val="articlebody21"/>
    <w:qFormat/>
    <w:uiPriority w:val="0"/>
    <w:rPr>
      <w:rFonts w:hint="default"/>
      <w:sz w:val="21"/>
    </w:rPr>
  </w:style>
  <w:style w:type="paragraph" w:customStyle="1" w:styleId="338">
    <w:name w:val="Char Char Char Char Char Char Char Char Char Char Char Char Char"/>
    <w:basedOn w:val="1"/>
    <w:qFormat/>
    <w:uiPriority w:val="0"/>
    <w:pPr>
      <w:spacing w:line="360" w:lineRule="auto"/>
      <w:ind w:firstLine="200" w:firstLineChars="200"/>
    </w:pPr>
    <w:rPr>
      <w:rFonts w:ascii="宋体" w:hAnsi="宋体" w:cs="宋体"/>
      <w:sz w:val="24"/>
    </w:rPr>
  </w:style>
  <w:style w:type="paragraph" w:customStyle="1" w:styleId="339">
    <w:name w:val="Char Char Char1"/>
    <w:basedOn w:val="1"/>
    <w:qFormat/>
    <w:uiPriority w:val="0"/>
  </w:style>
  <w:style w:type="character" w:customStyle="1" w:styleId="340">
    <w:name w:val="节标题 1.1 Char"/>
    <w:qFormat/>
    <w:uiPriority w:val="0"/>
    <w:rPr>
      <w:rFonts w:eastAsia="黑体"/>
      <w:bCs/>
      <w:kern w:val="2"/>
      <w:sz w:val="21"/>
      <w:szCs w:val="21"/>
      <w:lang w:val="en-US" w:eastAsia="zh-CN" w:bidi="ar-SA"/>
    </w:rPr>
  </w:style>
  <w:style w:type="paragraph" w:customStyle="1" w:styleId="341">
    <w:name w:val="xl50"/>
    <w:basedOn w:val="1"/>
    <w:semiHidden/>
    <w:qFormat/>
    <w:uiPriority w:val="0"/>
    <w:pPr>
      <w:widowControl/>
      <w:spacing w:before="100" w:beforeAutospacing="1" w:after="100" w:afterAutospacing="1"/>
      <w:jc w:val="center"/>
    </w:pPr>
    <w:rPr>
      <w:rFonts w:ascii="宋体" w:hAnsi="宋体"/>
      <w:kern w:val="0"/>
      <w:sz w:val="24"/>
    </w:rPr>
  </w:style>
  <w:style w:type="paragraph" w:customStyle="1" w:styleId="342">
    <w:name w:val="节小标题"/>
    <w:basedOn w:val="9"/>
    <w:semiHidden/>
    <w:qFormat/>
    <w:uiPriority w:val="0"/>
    <w:pPr>
      <w:tabs>
        <w:tab w:val="left" w:pos="6378"/>
      </w:tabs>
      <w:adjustRightInd w:val="0"/>
      <w:snapToGrid w:val="0"/>
      <w:spacing w:before="100" w:after="0" w:line="300" w:lineRule="auto"/>
      <w:ind w:left="5953" w:firstLine="359"/>
      <w:outlineLvl w:val="9"/>
    </w:pPr>
    <w:rPr>
      <w:rFonts w:ascii="Times New Roman" w:hAnsi="Times New Roman" w:eastAsia="仿宋_GB2312"/>
      <w:kern w:val="2"/>
      <w:sz w:val="30"/>
      <w:szCs w:val="20"/>
    </w:rPr>
  </w:style>
  <w:style w:type="paragraph" w:customStyle="1" w:styleId="343">
    <w:name w:val="正文1"/>
    <w:basedOn w:val="237"/>
    <w:semiHidden/>
    <w:qFormat/>
    <w:uiPriority w:val="0"/>
    <w:pPr>
      <w:tabs>
        <w:tab w:val="left" w:pos="2160"/>
        <w:tab w:val="clear" w:pos="360"/>
      </w:tabs>
      <w:adjustRightInd w:val="0"/>
      <w:spacing w:line="490" w:lineRule="exact"/>
      <w:jc w:val="center"/>
      <w:textAlignment w:val="baseline"/>
      <w:outlineLvl w:val="9"/>
    </w:pPr>
    <w:rPr>
      <w:rFonts w:ascii="仿宋_GB2312" w:hAnsi="Times New Roman" w:eastAsia="仿宋_GB2312"/>
      <w:sz w:val="34"/>
      <w:szCs w:val="20"/>
    </w:rPr>
  </w:style>
  <w:style w:type="paragraph" w:customStyle="1" w:styleId="344">
    <w:name w:val="font5"/>
    <w:basedOn w:val="1"/>
    <w:semiHidden/>
    <w:qFormat/>
    <w:uiPriority w:val="0"/>
    <w:pPr>
      <w:widowControl/>
      <w:spacing w:before="100" w:beforeAutospacing="1" w:after="100" w:afterAutospacing="1"/>
      <w:jc w:val="left"/>
    </w:pPr>
    <w:rPr>
      <w:rFonts w:hint="eastAsia" w:ascii="宋体" w:hAnsi="宋体"/>
      <w:kern w:val="0"/>
      <w:sz w:val="18"/>
      <w:szCs w:val="18"/>
    </w:rPr>
  </w:style>
  <w:style w:type="paragraph" w:customStyle="1" w:styleId="345">
    <w:name w:val="font6"/>
    <w:basedOn w:val="1"/>
    <w:semiHidden/>
    <w:qFormat/>
    <w:uiPriority w:val="0"/>
    <w:pPr>
      <w:widowControl/>
      <w:spacing w:before="100" w:beforeAutospacing="1" w:after="100" w:afterAutospacing="1"/>
      <w:jc w:val="left"/>
    </w:pPr>
    <w:rPr>
      <w:rFonts w:hint="eastAsia" w:ascii="宋体" w:hAnsi="宋体"/>
      <w:color w:val="000000"/>
      <w:kern w:val="0"/>
      <w:sz w:val="20"/>
      <w:szCs w:val="20"/>
    </w:rPr>
  </w:style>
  <w:style w:type="paragraph" w:customStyle="1" w:styleId="346">
    <w:name w:val="font7"/>
    <w:basedOn w:val="1"/>
    <w:semiHidden/>
    <w:qFormat/>
    <w:uiPriority w:val="0"/>
    <w:pPr>
      <w:widowControl/>
      <w:spacing w:before="100" w:beforeAutospacing="1" w:after="100" w:afterAutospacing="1"/>
      <w:jc w:val="left"/>
    </w:pPr>
    <w:rPr>
      <w:color w:val="000000"/>
      <w:kern w:val="0"/>
      <w:sz w:val="20"/>
      <w:szCs w:val="20"/>
    </w:rPr>
  </w:style>
  <w:style w:type="paragraph" w:customStyle="1" w:styleId="347">
    <w:name w:val="xl24"/>
    <w:basedOn w:val="1"/>
    <w:qFormat/>
    <w:uiPriority w:val="0"/>
    <w:pPr>
      <w:widowControl/>
      <w:pBdr>
        <w:top w:val="single" w:color="auto" w:sz="4" w:space="0"/>
        <w:left w:val="single" w:color="auto" w:sz="4" w:space="0"/>
        <w:bottom w:val="single" w:color="auto" w:sz="4" w:space="0"/>
        <w:right w:val="single" w:color="auto" w:sz="4" w:space="0"/>
      </w:pBdr>
      <w:shd w:val="clear" w:color="auto" w:fill="C0C0C0"/>
      <w:spacing w:before="100" w:beforeAutospacing="1" w:after="100" w:afterAutospacing="1"/>
      <w:jc w:val="center"/>
    </w:pPr>
    <w:rPr>
      <w:kern w:val="0"/>
      <w:sz w:val="16"/>
      <w:szCs w:val="16"/>
    </w:rPr>
  </w:style>
  <w:style w:type="paragraph" w:customStyle="1" w:styleId="348">
    <w:name w:val="xl25"/>
    <w:basedOn w:val="1"/>
    <w:semiHidden/>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kern w:val="0"/>
      <w:sz w:val="16"/>
      <w:szCs w:val="16"/>
    </w:rPr>
  </w:style>
  <w:style w:type="paragraph" w:customStyle="1" w:styleId="349">
    <w:name w:val="xl26"/>
    <w:basedOn w:val="1"/>
    <w:semiHidden/>
    <w:qFormat/>
    <w:uiPriority w:val="0"/>
    <w:pPr>
      <w:widowControl/>
      <w:pBdr>
        <w:top w:val="single" w:color="auto" w:sz="4" w:space="0"/>
        <w:left w:val="single" w:color="auto" w:sz="4" w:space="0"/>
        <w:bottom w:val="single" w:color="auto" w:sz="4" w:space="0"/>
        <w:right w:val="single" w:color="auto" w:sz="4" w:space="0"/>
      </w:pBdr>
      <w:shd w:val="clear" w:color="auto" w:fill="C0C0C0"/>
      <w:spacing w:before="100" w:beforeAutospacing="1" w:after="100" w:afterAutospacing="1"/>
      <w:jc w:val="center"/>
      <w:textAlignment w:val="center"/>
    </w:pPr>
    <w:rPr>
      <w:kern w:val="0"/>
      <w:sz w:val="16"/>
      <w:szCs w:val="16"/>
    </w:rPr>
  </w:style>
  <w:style w:type="paragraph" w:customStyle="1" w:styleId="350">
    <w:name w:val="xl27"/>
    <w:basedOn w:val="1"/>
    <w:semiHidden/>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kern w:val="0"/>
      <w:sz w:val="16"/>
      <w:szCs w:val="16"/>
    </w:rPr>
  </w:style>
  <w:style w:type="paragraph" w:customStyle="1" w:styleId="351">
    <w:name w:val="xl28"/>
    <w:basedOn w:val="1"/>
    <w:semiHidden/>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color w:val="000000"/>
      <w:kern w:val="0"/>
      <w:sz w:val="16"/>
      <w:szCs w:val="16"/>
    </w:rPr>
  </w:style>
  <w:style w:type="paragraph" w:customStyle="1" w:styleId="352">
    <w:name w:val="xl29"/>
    <w:basedOn w:val="1"/>
    <w:semiHidden/>
    <w:qFormat/>
    <w:uiPriority w:val="0"/>
    <w:pPr>
      <w:widowControl/>
      <w:pBdr>
        <w:top w:val="single" w:color="auto" w:sz="4" w:space="0"/>
        <w:left w:val="single" w:color="auto" w:sz="4" w:space="0"/>
        <w:bottom w:val="single" w:color="auto" w:sz="4" w:space="0"/>
        <w:right w:val="single" w:color="auto" w:sz="4" w:space="0"/>
      </w:pBdr>
      <w:shd w:val="clear" w:color="auto" w:fill="C0C0C0"/>
      <w:spacing w:before="100" w:beforeAutospacing="1" w:after="100" w:afterAutospacing="1"/>
      <w:jc w:val="center"/>
      <w:textAlignment w:val="center"/>
    </w:pPr>
    <w:rPr>
      <w:kern w:val="0"/>
      <w:sz w:val="16"/>
      <w:szCs w:val="16"/>
    </w:rPr>
  </w:style>
  <w:style w:type="paragraph" w:customStyle="1" w:styleId="353">
    <w:name w:val="xl30"/>
    <w:basedOn w:val="1"/>
    <w:semiHidden/>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kern w:val="0"/>
      <w:sz w:val="16"/>
      <w:szCs w:val="16"/>
    </w:rPr>
  </w:style>
  <w:style w:type="paragraph" w:customStyle="1" w:styleId="354">
    <w:name w:val="xl31"/>
    <w:basedOn w:val="1"/>
    <w:semiHidden/>
    <w:qFormat/>
    <w:uiPriority w:val="0"/>
    <w:pPr>
      <w:widowControl/>
      <w:pBdr>
        <w:top w:val="single" w:color="auto" w:sz="4" w:space="0"/>
        <w:left w:val="single" w:color="auto" w:sz="4" w:space="0"/>
        <w:bottom w:val="single" w:color="auto" w:sz="4" w:space="0"/>
        <w:right w:val="single" w:color="auto" w:sz="4" w:space="0"/>
      </w:pBdr>
      <w:shd w:val="clear" w:color="auto" w:fill="C0C0C0"/>
      <w:spacing w:before="100" w:beforeAutospacing="1" w:after="100" w:afterAutospacing="1"/>
      <w:jc w:val="center"/>
    </w:pPr>
    <w:rPr>
      <w:kern w:val="0"/>
      <w:sz w:val="16"/>
      <w:szCs w:val="16"/>
    </w:rPr>
  </w:style>
  <w:style w:type="paragraph" w:customStyle="1" w:styleId="355">
    <w:name w:val="xl32"/>
    <w:basedOn w:val="1"/>
    <w:semiHidden/>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kern w:val="0"/>
      <w:sz w:val="16"/>
      <w:szCs w:val="16"/>
    </w:rPr>
  </w:style>
  <w:style w:type="paragraph" w:customStyle="1" w:styleId="356">
    <w:name w:val="xl33"/>
    <w:basedOn w:val="1"/>
    <w:semiHidden/>
    <w:qFormat/>
    <w:uiPriority w:val="0"/>
    <w:pPr>
      <w:widowControl/>
      <w:pBdr>
        <w:top w:val="single" w:color="auto" w:sz="4" w:space="0"/>
        <w:left w:val="single" w:color="auto" w:sz="4" w:space="0"/>
        <w:bottom w:val="single" w:color="auto" w:sz="4" w:space="0"/>
        <w:right w:val="single" w:color="auto" w:sz="4" w:space="0"/>
      </w:pBdr>
      <w:shd w:val="clear" w:color="auto" w:fill="C0C0C0"/>
      <w:spacing w:before="100" w:beforeAutospacing="1" w:after="100" w:afterAutospacing="1"/>
      <w:jc w:val="center"/>
      <w:textAlignment w:val="center"/>
    </w:pPr>
    <w:rPr>
      <w:color w:val="000000"/>
      <w:kern w:val="0"/>
      <w:sz w:val="16"/>
      <w:szCs w:val="16"/>
    </w:rPr>
  </w:style>
  <w:style w:type="paragraph" w:customStyle="1" w:styleId="357">
    <w:name w:val="xl34"/>
    <w:basedOn w:val="1"/>
    <w:semiHidden/>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宋体" w:hAnsi="宋体"/>
      <w:color w:val="000000"/>
      <w:kern w:val="0"/>
      <w:sz w:val="20"/>
      <w:szCs w:val="20"/>
    </w:rPr>
  </w:style>
  <w:style w:type="paragraph" w:customStyle="1" w:styleId="358">
    <w:name w:val="xl35"/>
    <w:basedOn w:val="1"/>
    <w:semiHidden/>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宋体" w:hAnsi="宋体"/>
      <w:kern w:val="0"/>
      <w:sz w:val="20"/>
      <w:szCs w:val="20"/>
    </w:rPr>
  </w:style>
  <w:style w:type="paragraph" w:customStyle="1" w:styleId="359">
    <w:name w:val="xl36"/>
    <w:basedOn w:val="1"/>
    <w:semiHidden/>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color w:val="000000"/>
      <w:kern w:val="0"/>
      <w:sz w:val="20"/>
      <w:szCs w:val="20"/>
    </w:rPr>
  </w:style>
  <w:style w:type="paragraph" w:customStyle="1" w:styleId="360">
    <w:name w:val="xl37"/>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kern w:val="0"/>
      <w:sz w:val="20"/>
      <w:szCs w:val="20"/>
    </w:rPr>
  </w:style>
  <w:style w:type="paragraph" w:customStyle="1" w:styleId="361">
    <w:name w:val="xl38"/>
    <w:basedOn w:val="1"/>
    <w:semiHidden/>
    <w:qFormat/>
    <w:uiPriority w:val="0"/>
    <w:pPr>
      <w:widowControl/>
      <w:pBdr>
        <w:top w:val="single" w:color="auto" w:sz="4" w:space="0"/>
        <w:left w:val="single" w:color="auto" w:sz="4" w:space="0"/>
        <w:bottom w:val="single" w:color="auto" w:sz="4" w:space="0"/>
        <w:right w:val="single" w:color="auto" w:sz="4" w:space="0"/>
      </w:pBdr>
      <w:shd w:val="clear" w:color="auto" w:fill="FFFFFF"/>
      <w:spacing w:before="100" w:beforeAutospacing="1" w:after="100" w:afterAutospacing="1"/>
      <w:jc w:val="center"/>
    </w:pPr>
    <w:rPr>
      <w:kern w:val="0"/>
      <w:sz w:val="16"/>
      <w:szCs w:val="16"/>
    </w:rPr>
  </w:style>
  <w:style w:type="paragraph" w:customStyle="1" w:styleId="362">
    <w:name w:val="xl39"/>
    <w:basedOn w:val="1"/>
    <w:semiHidden/>
    <w:qFormat/>
    <w:uiPriority w:val="0"/>
    <w:pPr>
      <w:widowControl/>
      <w:pBdr>
        <w:top w:val="single" w:color="auto" w:sz="4" w:space="0"/>
        <w:left w:val="single" w:color="auto" w:sz="4" w:space="0"/>
        <w:right w:val="single" w:color="auto" w:sz="4" w:space="0"/>
      </w:pBdr>
      <w:spacing w:before="100" w:beforeAutospacing="1" w:after="100" w:afterAutospacing="1"/>
      <w:jc w:val="center"/>
      <w:textAlignment w:val="center"/>
    </w:pPr>
    <w:rPr>
      <w:kern w:val="0"/>
      <w:sz w:val="16"/>
      <w:szCs w:val="16"/>
    </w:rPr>
  </w:style>
  <w:style w:type="paragraph" w:customStyle="1" w:styleId="363">
    <w:name w:val="xl40"/>
    <w:basedOn w:val="1"/>
    <w:semiHidden/>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kern w:val="0"/>
      <w:sz w:val="16"/>
      <w:szCs w:val="16"/>
    </w:rPr>
  </w:style>
  <w:style w:type="paragraph" w:customStyle="1" w:styleId="364">
    <w:name w:val="xl41"/>
    <w:basedOn w:val="1"/>
    <w:semiHidden/>
    <w:qFormat/>
    <w:uiPriority w:val="0"/>
    <w:pPr>
      <w:widowControl/>
      <w:pBdr>
        <w:top w:val="single" w:color="auto" w:sz="4" w:space="0"/>
        <w:left w:val="single" w:color="auto" w:sz="4" w:space="0"/>
        <w:right w:val="single" w:color="auto" w:sz="4" w:space="0"/>
      </w:pBdr>
      <w:spacing w:before="100" w:beforeAutospacing="1" w:after="100" w:afterAutospacing="1"/>
      <w:jc w:val="center"/>
      <w:textAlignment w:val="center"/>
    </w:pPr>
    <w:rPr>
      <w:color w:val="000000"/>
      <w:kern w:val="0"/>
      <w:sz w:val="16"/>
      <w:szCs w:val="16"/>
    </w:rPr>
  </w:style>
  <w:style w:type="paragraph" w:customStyle="1" w:styleId="365">
    <w:name w:val="xl42"/>
    <w:basedOn w:val="1"/>
    <w:semiHidden/>
    <w:qFormat/>
    <w:uiPriority w:val="0"/>
    <w:pPr>
      <w:widowControl/>
      <w:pBdr>
        <w:left w:val="single" w:color="auto" w:sz="4" w:space="0"/>
        <w:right w:val="single" w:color="auto" w:sz="4" w:space="0"/>
      </w:pBdr>
      <w:spacing w:before="100" w:beforeAutospacing="1" w:after="100" w:afterAutospacing="1"/>
      <w:jc w:val="center"/>
      <w:textAlignment w:val="center"/>
    </w:pPr>
    <w:rPr>
      <w:color w:val="000000"/>
      <w:kern w:val="0"/>
      <w:sz w:val="16"/>
      <w:szCs w:val="16"/>
    </w:rPr>
  </w:style>
  <w:style w:type="paragraph" w:customStyle="1" w:styleId="366">
    <w:name w:val="xl43"/>
    <w:basedOn w:val="1"/>
    <w:semiHidden/>
    <w:qFormat/>
    <w:uiPriority w:val="0"/>
    <w:pPr>
      <w:widowControl/>
      <w:pBdr>
        <w:left w:val="single" w:color="auto" w:sz="4" w:space="0"/>
        <w:bottom w:val="single" w:color="auto" w:sz="4" w:space="0"/>
        <w:right w:val="single" w:color="auto" w:sz="4" w:space="0"/>
      </w:pBdr>
      <w:spacing w:before="100" w:beforeAutospacing="1" w:after="100" w:afterAutospacing="1"/>
      <w:jc w:val="center"/>
      <w:textAlignment w:val="center"/>
    </w:pPr>
    <w:rPr>
      <w:color w:val="000000"/>
      <w:kern w:val="0"/>
      <w:sz w:val="16"/>
      <w:szCs w:val="16"/>
    </w:rPr>
  </w:style>
  <w:style w:type="paragraph" w:customStyle="1" w:styleId="367">
    <w:name w:val="xl44"/>
    <w:basedOn w:val="1"/>
    <w:semiHidden/>
    <w:qFormat/>
    <w:uiPriority w:val="0"/>
    <w:pPr>
      <w:widowControl/>
      <w:pBdr>
        <w:top w:val="single" w:color="auto" w:sz="4" w:space="0"/>
        <w:left w:val="single" w:color="auto" w:sz="4" w:space="0"/>
        <w:right w:val="single" w:color="auto" w:sz="4" w:space="0"/>
      </w:pBdr>
      <w:shd w:val="clear" w:color="auto" w:fill="C0C0C0"/>
      <w:spacing w:before="100" w:beforeAutospacing="1" w:after="100" w:afterAutospacing="1"/>
      <w:jc w:val="center"/>
      <w:textAlignment w:val="center"/>
    </w:pPr>
    <w:rPr>
      <w:color w:val="000000"/>
      <w:kern w:val="0"/>
      <w:sz w:val="16"/>
      <w:szCs w:val="16"/>
    </w:rPr>
  </w:style>
  <w:style w:type="paragraph" w:customStyle="1" w:styleId="368">
    <w:name w:val="xl45"/>
    <w:basedOn w:val="1"/>
    <w:semiHidden/>
    <w:qFormat/>
    <w:uiPriority w:val="0"/>
    <w:pPr>
      <w:widowControl/>
      <w:pBdr>
        <w:left w:val="single" w:color="auto" w:sz="4" w:space="0"/>
        <w:right w:val="single" w:color="auto" w:sz="4" w:space="0"/>
      </w:pBdr>
      <w:shd w:val="clear" w:color="auto" w:fill="C0C0C0"/>
      <w:spacing w:before="100" w:beforeAutospacing="1" w:after="100" w:afterAutospacing="1"/>
      <w:jc w:val="center"/>
      <w:textAlignment w:val="center"/>
    </w:pPr>
    <w:rPr>
      <w:color w:val="000000"/>
      <w:kern w:val="0"/>
      <w:sz w:val="16"/>
      <w:szCs w:val="16"/>
    </w:rPr>
  </w:style>
  <w:style w:type="paragraph" w:customStyle="1" w:styleId="369">
    <w:name w:val="xl46"/>
    <w:basedOn w:val="1"/>
    <w:semiHidden/>
    <w:qFormat/>
    <w:uiPriority w:val="0"/>
    <w:pPr>
      <w:widowControl/>
      <w:pBdr>
        <w:left w:val="single" w:color="auto" w:sz="4" w:space="0"/>
        <w:bottom w:val="single" w:color="auto" w:sz="4" w:space="0"/>
        <w:right w:val="single" w:color="auto" w:sz="4" w:space="0"/>
      </w:pBdr>
      <w:shd w:val="clear" w:color="auto" w:fill="C0C0C0"/>
      <w:spacing w:before="100" w:beforeAutospacing="1" w:after="100" w:afterAutospacing="1"/>
      <w:jc w:val="center"/>
      <w:textAlignment w:val="center"/>
    </w:pPr>
    <w:rPr>
      <w:color w:val="000000"/>
      <w:kern w:val="0"/>
      <w:sz w:val="16"/>
      <w:szCs w:val="16"/>
    </w:rPr>
  </w:style>
  <w:style w:type="paragraph" w:customStyle="1" w:styleId="370">
    <w:name w:val="xl47"/>
    <w:basedOn w:val="1"/>
    <w:semiHidden/>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宋体" w:hAnsi="宋体"/>
      <w:kern w:val="0"/>
      <w:sz w:val="20"/>
      <w:szCs w:val="20"/>
    </w:rPr>
  </w:style>
  <w:style w:type="paragraph" w:customStyle="1" w:styleId="371">
    <w:name w:val="xl48"/>
    <w:basedOn w:val="1"/>
    <w:semiHidden/>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kern w:val="0"/>
      <w:sz w:val="20"/>
      <w:szCs w:val="20"/>
    </w:rPr>
  </w:style>
  <w:style w:type="paragraph" w:customStyle="1" w:styleId="372">
    <w:name w:val="xl49"/>
    <w:basedOn w:val="1"/>
    <w:semiHidden/>
    <w:qFormat/>
    <w:uiPriority w:val="0"/>
    <w:pPr>
      <w:widowControl/>
      <w:pBdr>
        <w:left w:val="single" w:color="auto" w:sz="4" w:space="0"/>
        <w:right w:val="single" w:color="auto" w:sz="4" w:space="0"/>
      </w:pBdr>
      <w:spacing w:before="100" w:beforeAutospacing="1" w:after="100" w:afterAutospacing="1"/>
      <w:jc w:val="center"/>
      <w:textAlignment w:val="center"/>
    </w:pPr>
    <w:rPr>
      <w:kern w:val="0"/>
      <w:sz w:val="16"/>
      <w:szCs w:val="16"/>
    </w:rPr>
  </w:style>
  <w:style w:type="paragraph" w:customStyle="1" w:styleId="373">
    <w:name w:val="xl51"/>
    <w:basedOn w:val="1"/>
    <w:semiHidden/>
    <w:qFormat/>
    <w:uiPriority w:val="0"/>
    <w:pPr>
      <w:widowControl/>
      <w:pBdr>
        <w:top w:val="single" w:color="auto" w:sz="4" w:space="0"/>
        <w:left w:val="single" w:color="auto" w:sz="4" w:space="0"/>
        <w:right w:val="single" w:color="auto" w:sz="4" w:space="0"/>
      </w:pBdr>
      <w:shd w:val="clear" w:color="auto" w:fill="C0C0C0"/>
      <w:spacing w:before="100" w:beforeAutospacing="1" w:after="100" w:afterAutospacing="1"/>
      <w:jc w:val="center"/>
      <w:textAlignment w:val="center"/>
    </w:pPr>
    <w:rPr>
      <w:kern w:val="0"/>
      <w:sz w:val="16"/>
      <w:szCs w:val="16"/>
    </w:rPr>
  </w:style>
  <w:style w:type="paragraph" w:customStyle="1" w:styleId="374">
    <w:name w:val="xl52"/>
    <w:basedOn w:val="1"/>
    <w:semiHidden/>
    <w:qFormat/>
    <w:uiPriority w:val="0"/>
    <w:pPr>
      <w:widowControl/>
      <w:pBdr>
        <w:left w:val="single" w:color="auto" w:sz="4" w:space="0"/>
        <w:right w:val="single" w:color="auto" w:sz="4" w:space="0"/>
      </w:pBdr>
      <w:shd w:val="clear" w:color="auto" w:fill="C0C0C0"/>
      <w:spacing w:before="100" w:beforeAutospacing="1" w:after="100" w:afterAutospacing="1"/>
      <w:jc w:val="center"/>
      <w:textAlignment w:val="center"/>
    </w:pPr>
    <w:rPr>
      <w:kern w:val="0"/>
      <w:sz w:val="16"/>
      <w:szCs w:val="16"/>
    </w:rPr>
  </w:style>
  <w:style w:type="paragraph" w:customStyle="1" w:styleId="375">
    <w:name w:val="xl53"/>
    <w:basedOn w:val="1"/>
    <w:semiHidden/>
    <w:qFormat/>
    <w:uiPriority w:val="0"/>
    <w:pPr>
      <w:widowControl/>
      <w:pBdr>
        <w:left w:val="single" w:color="auto" w:sz="4" w:space="0"/>
        <w:bottom w:val="single" w:color="auto" w:sz="4" w:space="0"/>
        <w:right w:val="single" w:color="auto" w:sz="4" w:space="0"/>
      </w:pBdr>
      <w:shd w:val="clear" w:color="auto" w:fill="C0C0C0"/>
      <w:spacing w:before="100" w:beforeAutospacing="1" w:after="100" w:afterAutospacing="1"/>
      <w:jc w:val="center"/>
      <w:textAlignment w:val="center"/>
    </w:pPr>
    <w:rPr>
      <w:kern w:val="0"/>
      <w:sz w:val="16"/>
      <w:szCs w:val="16"/>
    </w:rPr>
  </w:style>
  <w:style w:type="paragraph" w:customStyle="1" w:styleId="376">
    <w:name w:val="xl54"/>
    <w:basedOn w:val="1"/>
    <w:semiHidden/>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kern w:val="0"/>
      <w:sz w:val="20"/>
      <w:szCs w:val="20"/>
    </w:rPr>
  </w:style>
  <w:style w:type="paragraph" w:customStyle="1" w:styleId="377">
    <w:name w:val="xl55"/>
    <w:basedOn w:val="1"/>
    <w:semiHidden/>
    <w:qFormat/>
    <w:uiPriority w:val="0"/>
    <w:pPr>
      <w:widowControl/>
      <w:pBdr>
        <w:left w:val="single" w:color="auto" w:sz="4" w:space="0"/>
        <w:bottom w:val="single" w:color="auto" w:sz="4" w:space="0"/>
        <w:right w:val="single" w:color="auto" w:sz="4" w:space="0"/>
      </w:pBdr>
      <w:shd w:val="clear" w:color="auto" w:fill="C0C0C0"/>
      <w:spacing w:before="100" w:beforeAutospacing="1" w:after="100" w:afterAutospacing="1"/>
      <w:jc w:val="center"/>
      <w:textAlignment w:val="center"/>
    </w:pPr>
    <w:rPr>
      <w:kern w:val="0"/>
      <w:sz w:val="16"/>
      <w:szCs w:val="16"/>
    </w:rPr>
  </w:style>
  <w:style w:type="paragraph" w:customStyle="1" w:styleId="378">
    <w:name w:val="xl56"/>
    <w:basedOn w:val="1"/>
    <w:semiHidden/>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kern w:val="0"/>
      <w:sz w:val="20"/>
      <w:szCs w:val="20"/>
    </w:rPr>
  </w:style>
  <w:style w:type="paragraph" w:customStyle="1" w:styleId="379">
    <w:name w:val="图形标题"/>
    <w:basedOn w:val="20"/>
    <w:semiHidden/>
    <w:qFormat/>
    <w:uiPriority w:val="0"/>
    <w:pPr>
      <w:jc w:val="center"/>
    </w:pPr>
    <w:rPr>
      <w:rFonts w:ascii="宋体" w:hAnsi="Plotter" w:eastAsia="宋体"/>
      <w:sz w:val="21"/>
    </w:rPr>
  </w:style>
  <w:style w:type="paragraph" w:customStyle="1" w:styleId="380">
    <w:name w:val="font0"/>
    <w:basedOn w:val="1"/>
    <w:semiHidden/>
    <w:qFormat/>
    <w:uiPriority w:val="0"/>
    <w:pPr>
      <w:widowControl/>
      <w:spacing w:before="100" w:beforeAutospacing="1" w:after="100" w:afterAutospacing="1"/>
      <w:jc w:val="left"/>
    </w:pPr>
    <w:rPr>
      <w:rFonts w:hint="eastAsia" w:ascii="宋体"/>
      <w:kern w:val="0"/>
      <w:sz w:val="24"/>
    </w:rPr>
  </w:style>
  <w:style w:type="paragraph" w:customStyle="1" w:styleId="381">
    <w:name w:val="p82"/>
    <w:basedOn w:val="1"/>
    <w:semiHidden/>
    <w:qFormat/>
    <w:uiPriority w:val="0"/>
    <w:pPr>
      <w:widowControl/>
      <w:tabs>
        <w:tab w:val="left" w:pos="460"/>
      </w:tabs>
      <w:overflowPunct w:val="0"/>
      <w:autoSpaceDE w:val="0"/>
      <w:autoSpaceDN w:val="0"/>
      <w:adjustRightInd w:val="0"/>
      <w:spacing w:line="320" w:lineRule="atLeast"/>
      <w:textAlignment w:val="baseline"/>
    </w:pPr>
    <w:rPr>
      <w:kern w:val="0"/>
      <w:sz w:val="24"/>
      <w:szCs w:val="20"/>
      <w:lang w:val="en-GB"/>
    </w:rPr>
  </w:style>
  <w:style w:type="paragraph" w:customStyle="1" w:styleId="382">
    <w:name w:val="样式 首行缩进:  0 厘米 行距: 单倍行距 Char"/>
    <w:basedOn w:val="1"/>
    <w:qFormat/>
    <w:uiPriority w:val="0"/>
    <w:pPr>
      <w:adjustRightInd w:val="0"/>
      <w:textAlignment w:val="baseline"/>
    </w:pPr>
    <w:rPr>
      <w:kern w:val="0"/>
      <w:szCs w:val="21"/>
    </w:rPr>
  </w:style>
  <w:style w:type="paragraph" w:customStyle="1" w:styleId="383">
    <w:name w:val="样式 Arial 首行缩进:  2 字符"/>
    <w:basedOn w:val="1"/>
    <w:qFormat/>
    <w:uiPriority w:val="0"/>
    <w:pPr>
      <w:ind w:firstLine="403" w:firstLineChars="200"/>
    </w:pPr>
    <w:rPr>
      <w:rFonts w:cs="华文新魏"/>
      <w:szCs w:val="21"/>
    </w:rPr>
  </w:style>
  <w:style w:type="character" w:customStyle="1" w:styleId="384">
    <w:name w:val="样式 Arial"/>
    <w:qFormat/>
    <w:uiPriority w:val="0"/>
    <w:rPr>
      <w:rFonts w:hint="default" w:ascii="Times New Roman" w:hAnsi="Times New Roman" w:eastAsia="宋体" w:cs="Times New Roman"/>
      <w:sz w:val="21"/>
      <w:szCs w:val="21"/>
    </w:rPr>
  </w:style>
  <w:style w:type="paragraph" w:customStyle="1" w:styleId="385">
    <w:name w:val="表文"/>
    <w:basedOn w:val="1"/>
    <w:qFormat/>
    <w:uiPriority w:val="0"/>
    <w:pPr>
      <w:topLinePunct/>
      <w:spacing w:before="40" w:after="40"/>
    </w:pPr>
    <w:rPr>
      <w:sz w:val="18"/>
      <w:szCs w:val="18"/>
    </w:rPr>
  </w:style>
  <w:style w:type="character" w:customStyle="1" w:styleId="386">
    <w:name w:val="Char Char16"/>
    <w:qFormat/>
    <w:uiPriority w:val="0"/>
    <w:rPr>
      <w:rFonts w:ascii="Arial" w:hAnsi="Arial" w:eastAsia="黑体"/>
      <w:b/>
      <w:bCs/>
      <w:kern w:val="2"/>
      <w:sz w:val="32"/>
      <w:szCs w:val="32"/>
      <w:lang w:val="en-US" w:eastAsia="zh-CN" w:bidi="ar-SA"/>
    </w:rPr>
  </w:style>
  <w:style w:type="paragraph" w:customStyle="1" w:styleId="387">
    <w:name w:val="附录"/>
    <w:basedOn w:val="2"/>
    <w:qFormat/>
    <w:uiPriority w:val="0"/>
    <w:pPr>
      <w:numPr>
        <w:numId w:val="0"/>
      </w:numPr>
      <w:topLinePunct/>
      <w:snapToGrid/>
      <w:spacing w:before="0" w:beforeLines="0" w:line="960" w:lineRule="auto"/>
      <w:ind w:firstLine="420"/>
      <w:jc w:val="center"/>
      <w:textAlignment w:val="baseline"/>
    </w:pPr>
    <w:rPr>
      <w:rFonts w:ascii="Times New Roman" w:eastAsia="黑体"/>
      <w:b w:val="0"/>
      <w:bCs w:val="0"/>
      <w:kern w:val="2"/>
      <w:sz w:val="28"/>
      <w:szCs w:val="28"/>
    </w:rPr>
  </w:style>
  <w:style w:type="paragraph" w:customStyle="1" w:styleId="388">
    <w:name w:val="Char31"/>
    <w:basedOn w:val="1"/>
    <w:qFormat/>
    <w:uiPriority w:val="0"/>
    <w:pPr>
      <w:spacing w:line="360" w:lineRule="auto"/>
    </w:pPr>
    <w:rPr>
      <w:rFonts w:ascii="Tahoma" w:hAnsi="Tahoma"/>
      <w:sz w:val="24"/>
      <w:szCs w:val="20"/>
    </w:rPr>
  </w:style>
  <w:style w:type="paragraph" w:customStyle="1" w:styleId="389">
    <w:name w:val="Normal1"/>
    <w:link w:val="390"/>
    <w:qFormat/>
    <w:uiPriority w:val="0"/>
    <w:pPr>
      <w:widowControl w:val="0"/>
      <w:adjustRightInd w:val="0"/>
      <w:spacing w:line="360" w:lineRule="atLeast"/>
      <w:jc w:val="both"/>
      <w:textAlignment w:val="baseline"/>
    </w:pPr>
    <w:rPr>
      <w:rFonts w:ascii="宋体" w:hAnsi="Times New Roman" w:eastAsia="宋体" w:cs="Times New Roman"/>
      <w:sz w:val="24"/>
      <w:lang w:val="en-US" w:eastAsia="zh-CN" w:bidi="ar-SA"/>
    </w:rPr>
  </w:style>
  <w:style w:type="character" w:customStyle="1" w:styleId="390">
    <w:name w:val="Normal1 Char"/>
    <w:link w:val="389"/>
    <w:qFormat/>
    <w:uiPriority w:val="0"/>
    <w:rPr>
      <w:rFonts w:ascii="宋体" w:hAnsi="Times New Roman"/>
      <w:sz w:val="24"/>
    </w:rPr>
  </w:style>
  <w:style w:type="paragraph" w:customStyle="1" w:styleId="391">
    <w:name w:val="Char Char Char Char Char Char Char Char Char Char Char Char2"/>
    <w:basedOn w:val="1"/>
    <w:qFormat/>
    <w:uiPriority w:val="0"/>
    <w:pPr>
      <w:spacing w:line="360" w:lineRule="auto"/>
    </w:pPr>
    <w:rPr>
      <w:rFonts w:ascii="Tahoma" w:hAnsi="Tahoma"/>
      <w:sz w:val="24"/>
      <w:szCs w:val="20"/>
    </w:rPr>
  </w:style>
  <w:style w:type="character" w:customStyle="1" w:styleId="392">
    <w:name w:val="标题1.1.1.1.1 Char"/>
    <w:qFormat/>
    <w:uiPriority w:val="0"/>
    <w:rPr>
      <w:rFonts w:eastAsia="宋体"/>
      <w:b/>
      <w:bCs/>
      <w:kern w:val="2"/>
      <w:sz w:val="28"/>
      <w:szCs w:val="28"/>
      <w:lang w:val="en-US" w:eastAsia="zh-CN" w:bidi="ar-SA"/>
    </w:rPr>
  </w:style>
  <w:style w:type="character" w:customStyle="1" w:styleId="393">
    <w:name w:val="个人答复风格"/>
    <w:qFormat/>
    <w:uiPriority w:val="0"/>
    <w:rPr>
      <w:rFonts w:ascii="Arial" w:hAnsi="Arial" w:eastAsia="宋体" w:cs="Arial"/>
      <w:color w:val="auto"/>
      <w:sz w:val="20"/>
    </w:rPr>
  </w:style>
  <w:style w:type="character" w:customStyle="1" w:styleId="394">
    <w:name w:val="个人撰写风格"/>
    <w:qFormat/>
    <w:uiPriority w:val="0"/>
    <w:rPr>
      <w:rFonts w:ascii="Arial" w:hAnsi="Arial" w:eastAsia="宋体" w:cs="Arial"/>
      <w:color w:val="auto"/>
      <w:sz w:val="20"/>
    </w:rPr>
  </w:style>
  <w:style w:type="paragraph" w:customStyle="1" w:styleId="395">
    <w:name w:val="Char Char1 Char Char Char Char Char Char Char"/>
    <w:basedOn w:val="1"/>
    <w:qFormat/>
    <w:uiPriority w:val="0"/>
    <w:pPr>
      <w:widowControl/>
      <w:spacing w:before="100" w:beforeAutospacing="1" w:after="100" w:afterAutospacing="1" w:line="330" w:lineRule="atLeast"/>
      <w:ind w:left="360"/>
      <w:jc w:val="left"/>
    </w:pPr>
    <w:rPr>
      <w:rFonts w:ascii="ˎ̥" w:hAnsi="ˎ̥" w:cs="宋体"/>
      <w:color w:val="51585D"/>
      <w:kern w:val="0"/>
      <w:sz w:val="24"/>
      <w:szCs w:val="18"/>
    </w:rPr>
  </w:style>
  <w:style w:type="paragraph" w:customStyle="1" w:styleId="396">
    <w:name w:val="Char Char1 Char"/>
    <w:basedOn w:val="1"/>
    <w:qFormat/>
    <w:uiPriority w:val="0"/>
    <w:pPr>
      <w:widowControl/>
      <w:numPr>
        <w:ilvl w:val="0"/>
        <w:numId w:val="19"/>
      </w:numPr>
      <w:tabs>
        <w:tab w:val="clear" w:pos="900"/>
      </w:tabs>
      <w:spacing w:before="100" w:beforeAutospacing="1" w:after="100" w:afterAutospacing="1" w:line="330" w:lineRule="atLeast"/>
      <w:ind w:left="360" w:firstLine="0"/>
      <w:jc w:val="left"/>
    </w:pPr>
    <w:rPr>
      <w:rFonts w:ascii="ˎ̥" w:hAnsi="ˎ̥" w:cs="宋体"/>
      <w:color w:val="51585D"/>
      <w:kern w:val="0"/>
      <w:sz w:val="24"/>
      <w:szCs w:val="18"/>
    </w:rPr>
  </w:style>
  <w:style w:type="paragraph" w:customStyle="1" w:styleId="397">
    <w:name w:val="默认段落字体 Para Char"/>
    <w:basedOn w:val="1"/>
    <w:qFormat/>
    <w:uiPriority w:val="0"/>
    <w:pPr>
      <w:spacing w:line="360" w:lineRule="auto"/>
    </w:pPr>
    <w:rPr>
      <w:rFonts w:ascii="Tahoma" w:hAnsi="Tahoma"/>
      <w:sz w:val="24"/>
      <w:szCs w:val="20"/>
    </w:rPr>
  </w:style>
  <w:style w:type="paragraph" w:customStyle="1" w:styleId="398">
    <w:name w:val="Char Char Char Char Char Char Char Char Char Char Char Char Char Char"/>
    <w:basedOn w:val="1"/>
    <w:qFormat/>
    <w:uiPriority w:val="0"/>
  </w:style>
  <w:style w:type="paragraph" w:customStyle="1" w:styleId="399">
    <w:name w:val="样式 标题 2 + 宋体 加粗"/>
    <w:basedOn w:val="3"/>
    <w:qFormat/>
    <w:uiPriority w:val="0"/>
    <w:pPr>
      <w:keepNext/>
      <w:numPr>
        <w:ilvl w:val="0"/>
        <w:numId w:val="0"/>
      </w:numPr>
      <w:adjustRightInd/>
      <w:snapToGrid/>
      <w:spacing w:line="600" w:lineRule="exact"/>
    </w:pPr>
    <w:rPr>
      <w:rFonts w:hAnsi="宋体"/>
      <w:b/>
      <w:sz w:val="32"/>
      <w:szCs w:val="20"/>
    </w:rPr>
  </w:style>
  <w:style w:type="paragraph" w:customStyle="1" w:styleId="400">
    <w:name w:val="Char Char Char1 Char Char Char Char Char Char Char"/>
    <w:basedOn w:val="1"/>
    <w:semiHidden/>
    <w:qFormat/>
    <w:uiPriority w:val="0"/>
  </w:style>
  <w:style w:type="character" w:customStyle="1" w:styleId="401">
    <w:name w:val="标题 4 Char Char"/>
    <w:qFormat/>
    <w:uiPriority w:val="0"/>
    <w:rPr>
      <w:rFonts w:ascii="宋体" w:eastAsia="宋体"/>
      <w:bCs/>
      <w:kern w:val="2"/>
      <w:sz w:val="21"/>
      <w:szCs w:val="21"/>
      <w:lang w:val="en-US" w:eastAsia="zh-CN" w:bidi="ar-SA"/>
    </w:rPr>
  </w:style>
  <w:style w:type="character" w:customStyle="1" w:styleId="402">
    <w:name w:val="普通文字 Char Char Char"/>
    <w:qFormat/>
    <w:uiPriority w:val="0"/>
    <w:rPr>
      <w:rFonts w:ascii="宋体" w:hAnsi="Courier New" w:eastAsia="宋体"/>
      <w:kern w:val="2"/>
      <w:sz w:val="21"/>
      <w:lang w:val="en-US" w:eastAsia="zh-CN" w:bidi="ar-SA"/>
    </w:rPr>
  </w:style>
  <w:style w:type="paragraph" w:customStyle="1" w:styleId="403">
    <w:name w:val="B"/>
    <w:basedOn w:val="1"/>
    <w:qFormat/>
    <w:uiPriority w:val="0"/>
    <w:pPr>
      <w:adjustRightInd w:val="0"/>
      <w:spacing w:line="480" w:lineRule="atLeast"/>
      <w:ind w:firstLine="601"/>
      <w:jc w:val="center"/>
      <w:textAlignment w:val="baseline"/>
    </w:pPr>
    <w:rPr>
      <w:rFonts w:ascii="宋体"/>
      <w:kern w:val="0"/>
      <w:sz w:val="32"/>
      <w:szCs w:val="20"/>
    </w:rPr>
  </w:style>
  <w:style w:type="paragraph" w:customStyle="1" w:styleId="404">
    <w:name w:val="默认段落字体 Para Char Char Char Char Char Char Char Char"/>
    <w:basedOn w:val="1"/>
    <w:qFormat/>
    <w:uiPriority w:val="0"/>
    <w:rPr>
      <w:rFonts w:ascii="Tahoma" w:hAnsi="Tahoma"/>
      <w:sz w:val="24"/>
      <w:szCs w:val="20"/>
    </w:rPr>
  </w:style>
  <w:style w:type="paragraph" w:customStyle="1" w:styleId="405">
    <w:name w:val="标题3"/>
    <w:basedOn w:val="1"/>
    <w:qFormat/>
    <w:uiPriority w:val="0"/>
    <w:rPr>
      <w:rFonts w:ascii="仿宋_GB2312" w:eastAsia="仿宋_GB2312"/>
      <w:sz w:val="28"/>
      <w:szCs w:val="28"/>
    </w:rPr>
  </w:style>
  <w:style w:type="paragraph" w:customStyle="1" w:styleId="406">
    <w:name w:val="字元 Char Char Char Char Char Char"/>
    <w:basedOn w:val="1"/>
    <w:qFormat/>
    <w:uiPriority w:val="0"/>
    <w:rPr>
      <w:rFonts w:ascii="Tahoma" w:hAnsi="Tahoma"/>
      <w:sz w:val="24"/>
      <w:szCs w:val="20"/>
    </w:rPr>
  </w:style>
  <w:style w:type="paragraph" w:customStyle="1" w:styleId="407">
    <w:name w:val="a"/>
    <w:basedOn w:val="1"/>
    <w:qFormat/>
    <w:uiPriority w:val="0"/>
    <w:pPr>
      <w:adjustRightInd w:val="0"/>
      <w:spacing w:before="60" w:after="60" w:line="315" w:lineRule="atLeast"/>
      <w:jc w:val="left"/>
      <w:textAlignment w:val="baseline"/>
    </w:pPr>
    <w:rPr>
      <w:rFonts w:ascii="宋体"/>
      <w:kern w:val="0"/>
      <w:sz w:val="24"/>
      <w:szCs w:val="20"/>
    </w:rPr>
  </w:style>
  <w:style w:type="character" w:customStyle="1" w:styleId="408">
    <w:name w:val="样式 标题 1 + 加粗 Char"/>
    <w:qFormat/>
    <w:uiPriority w:val="0"/>
    <w:rPr>
      <w:rFonts w:eastAsia="黑体"/>
      <w:b/>
      <w:bCs/>
      <w:kern w:val="44"/>
      <w:sz w:val="28"/>
      <w:szCs w:val="28"/>
      <w:lang w:val="en-US" w:eastAsia="zh-CN" w:bidi="ar-SA"/>
    </w:rPr>
  </w:style>
  <w:style w:type="paragraph" w:customStyle="1" w:styleId="409">
    <w:name w:val="样式 标题 2 + 段前: 0.5 行 段后: 0.5 行"/>
    <w:basedOn w:val="3"/>
    <w:qFormat/>
    <w:uiPriority w:val="0"/>
    <w:pPr>
      <w:keepNext/>
      <w:numPr>
        <w:ilvl w:val="0"/>
        <w:numId w:val="0"/>
      </w:numPr>
      <w:snapToGrid/>
      <w:spacing w:before="156" w:beforeLines="50" w:after="156" w:afterLines="50" w:line="240" w:lineRule="auto"/>
      <w:ind w:firstLine="200" w:firstLineChars="200"/>
      <w:jc w:val="left"/>
      <w:textAlignment w:val="baseline"/>
    </w:pPr>
    <w:rPr>
      <w:rFonts w:ascii="Times New Roman" w:eastAsia="黑体"/>
      <w:kern w:val="0"/>
    </w:rPr>
  </w:style>
  <w:style w:type="paragraph" w:customStyle="1" w:styleId="410">
    <w:name w:val="样式 标题 1 + 加粗"/>
    <w:basedOn w:val="2"/>
    <w:qFormat/>
    <w:uiPriority w:val="0"/>
    <w:pPr>
      <w:numPr>
        <w:numId w:val="0"/>
      </w:numPr>
      <w:snapToGrid/>
      <w:spacing w:before="100" w:after="100" w:afterLines="100" w:line="240" w:lineRule="auto"/>
    </w:pPr>
    <w:rPr>
      <w:rFonts w:ascii="Times New Roman" w:eastAsia="黑体"/>
      <w:sz w:val="28"/>
      <w:szCs w:val="28"/>
    </w:rPr>
  </w:style>
  <w:style w:type="paragraph" w:customStyle="1" w:styleId="411">
    <w:name w:val="Char Char Char Char"/>
    <w:basedOn w:val="1"/>
    <w:qFormat/>
    <w:uiPriority w:val="0"/>
  </w:style>
  <w:style w:type="paragraph" w:customStyle="1" w:styleId="412">
    <w:name w:val="图"/>
    <w:basedOn w:val="1"/>
    <w:qFormat/>
    <w:uiPriority w:val="0"/>
    <w:pPr>
      <w:keepNext/>
      <w:adjustRightInd w:val="0"/>
      <w:spacing w:before="60" w:after="60" w:line="300" w:lineRule="auto"/>
      <w:jc w:val="center"/>
      <w:textAlignment w:val="center"/>
    </w:pPr>
    <w:rPr>
      <w:snapToGrid w:val="0"/>
      <w:spacing w:val="20"/>
      <w:kern w:val="0"/>
      <w:sz w:val="24"/>
      <w:szCs w:val="20"/>
    </w:rPr>
  </w:style>
  <w:style w:type="paragraph" w:customStyle="1" w:styleId="413">
    <w:name w:val="Char1 Char Char Char Char Char Char"/>
    <w:basedOn w:val="1"/>
    <w:qFormat/>
    <w:uiPriority w:val="0"/>
    <w:rPr>
      <w:rFonts w:ascii="Tahoma" w:hAnsi="Tahoma"/>
      <w:sz w:val="24"/>
      <w:szCs w:val="20"/>
    </w:rPr>
  </w:style>
  <w:style w:type="character" w:customStyle="1" w:styleId="414">
    <w:name w:val="日期 Char1"/>
    <w:semiHidden/>
    <w:qFormat/>
    <w:uiPriority w:val="99"/>
    <w:rPr>
      <w:kern w:val="2"/>
      <w:sz w:val="21"/>
      <w:szCs w:val="22"/>
    </w:rPr>
  </w:style>
  <w:style w:type="character" w:customStyle="1" w:styleId="415">
    <w:name w:val="页眉 Char1"/>
    <w:semiHidden/>
    <w:qFormat/>
    <w:uiPriority w:val="99"/>
    <w:rPr>
      <w:kern w:val="2"/>
      <w:sz w:val="18"/>
      <w:szCs w:val="18"/>
    </w:rPr>
  </w:style>
  <w:style w:type="character" w:customStyle="1" w:styleId="416">
    <w:name w:val="文档结构图 Char1"/>
    <w:semiHidden/>
    <w:qFormat/>
    <w:uiPriority w:val="99"/>
    <w:rPr>
      <w:rFonts w:ascii="Microsoft YaHei UI" w:eastAsia="Microsoft YaHei UI"/>
      <w:kern w:val="2"/>
      <w:sz w:val="18"/>
      <w:szCs w:val="18"/>
    </w:rPr>
  </w:style>
  <w:style w:type="character" w:customStyle="1" w:styleId="417">
    <w:name w:val="批注文字 Char1"/>
    <w:semiHidden/>
    <w:qFormat/>
    <w:uiPriority w:val="0"/>
    <w:rPr>
      <w:kern w:val="2"/>
      <w:sz w:val="21"/>
      <w:szCs w:val="22"/>
    </w:rPr>
  </w:style>
  <w:style w:type="character" w:customStyle="1" w:styleId="418">
    <w:name w:val="批注主题 Char1"/>
    <w:semiHidden/>
    <w:qFormat/>
    <w:uiPriority w:val="99"/>
    <w:rPr>
      <w:b/>
      <w:bCs/>
      <w:kern w:val="2"/>
      <w:sz w:val="21"/>
      <w:szCs w:val="22"/>
    </w:rPr>
  </w:style>
  <w:style w:type="character" w:customStyle="1" w:styleId="419">
    <w:name w:val="页脚 Char1"/>
    <w:semiHidden/>
    <w:qFormat/>
    <w:uiPriority w:val="99"/>
    <w:rPr>
      <w:kern w:val="2"/>
      <w:sz w:val="18"/>
      <w:szCs w:val="18"/>
    </w:rPr>
  </w:style>
  <w:style w:type="character" w:customStyle="1" w:styleId="420">
    <w:name w:val="批注框文本 Char1"/>
    <w:semiHidden/>
    <w:qFormat/>
    <w:uiPriority w:val="99"/>
    <w:rPr>
      <w:kern w:val="2"/>
      <w:sz w:val="18"/>
      <w:szCs w:val="18"/>
    </w:rPr>
  </w:style>
  <w:style w:type="paragraph" w:customStyle="1" w:styleId="421">
    <w:name w:val="Text"/>
    <w:basedOn w:val="1"/>
    <w:link w:val="422"/>
    <w:qFormat/>
    <w:uiPriority w:val="0"/>
    <w:pPr>
      <w:spacing w:line="300" w:lineRule="auto"/>
    </w:pPr>
    <w:rPr>
      <w:rFonts w:ascii="宋体" w:hAnsi="宋体"/>
      <w:kern w:val="0"/>
      <w:sz w:val="22"/>
      <w:szCs w:val="20"/>
      <w:lang w:val="en-GB"/>
    </w:rPr>
  </w:style>
  <w:style w:type="character" w:customStyle="1" w:styleId="422">
    <w:name w:val="Text Char1"/>
    <w:link w:val="421"/>
    <w:qFormat/>
    <w:uiPriority w:val="0"/>
    <w:rPr>
      <w:rFonts w:ascii="宋体" w:hAnsi="宋体"/>
      <w:sz w:val="22"/>
      <w:lang w:val="en-GB"/>
    </w:rPr>
  </w:style>
  <w:style w:type="character" w:customStyle="1" w:styleId="423">
    <w:name w:val="首行缩进 Char Char"/>
    <w:qFormat/>
    <w:uiPriority w:val="0"/>
    <w:rPr>
      <w:rFonts w:eastAsia="方正书宋简体" w:cs="宋体"/>
      <w:kern w:val="2"/>
      <w:sz w:val="21"/>
      <w:lang w:val="en-US" w:eastAsia="zh-CN" w:bidi="ar-SA"/>
    </w:rPr>
  </w:style>
  <w:style w:type="character" w:customStyle="1" w:styleId="424">
    <w:name w:val="font31"/>
    <w:qFormat/>
    <w:uiPriority w:val="0"/>
    <w:rPr>
      <w:rFonts w:hint="eastAsia" w:ascii="等线" w:hAnsi="等线" w:eastAsia="等线" w:cs="等线"/>
      <w:color w:val="000000"/>
      <w:sz w:val="18"/>
      <w:szCs w:val="18"/>
      <w:u w:val="none"/>
    </w:rPr>
  </w:style>
  <w:style w:type="character" w:customStyle="1" w:styleId="425">
    <w:name w:val="font11"/>
    <w:qFormat/>
    <w:uiPriority w:val="0"/>
    <w:rPr>
      <w:rFonts w:hint="eastAsia" w:ascii="等线" w:hAnsi="等线" w:eastAsia="等线" w:cs="等线"/>
      <w:color w:val="000000"/>
      <w:sz w:val="18"/>
      <w:szCs w:val="18"/>
      <w:u w:val="none"/>
      <w:vertAlign w:val="subscript"/>
    </w:rPr>
  </w:style>
</w:styles>
</file>

<file path=word/_rels/document.xml.rels><?xml version="1.0" encoding="UTF-8" standalone="yes"?>
<Relationships xmlns="http://schemas.openxmlformats.org/package/2006/relationships"><Relationship Id="rId9" Type="http://schemas.openxmlformats.org/officeDocument/2006/relationships/image" Target="media/image1.png"/><Relationship Id="rId8" Type="http://schemas.openxmlformats.org/officeDocument/2006/relationships/theme" Target="theme/theme1.xml"/><Relationship Id="rId7" Type="http://schemas.openxmlformats.org/officeDocument/2006/relationships/footer" Target="footer4.xml"/><Relationship Id="rId6" Type="http://schemas.openxmlformats.org/officeDocument/2006/relationships/footer" Target="footer3.xml"/><Relationship Id="rId5" Type="http://schemas.openxmlformats.org/officeDocument/2006/relationships/footer" Target="footer2.xml"/><Relationship Id="rId4" Type="http://schemas.openxmlformats.org/officeDocument/2006/relationships/footer" Target="footer1.xml"/><Relationship Id="rId31" Type="http://schemas.openxmlformats.org/officeDocument/2006/relationships/fontTable" Target="fontTable.xml"/><Relationship Id="rId30" Type="http://schemas.openxmlformats.org/officeDocument/2006/relationships/numbering" Target="numbering.xml"/><Relationship Id="rId3" Type="http://schemas.openxmlformats.org/officeDocument/2006/relationships/header" Target="header1.xml"/><Relationship Id="rId29" Type="http://schemas.openxmlformats.org/officeDocument/2006/relationships/customXml" Target="../customXml/item1.xml"/><Relationship Id="rId28" Type="http://schemas.openxmlformats.org/officeDocument/2006/relationships/image" Target="media/image20.png"/><Relationship Id="rId27" Type="http://schemas.openxmlformats.org/officeDocument/2006/relationships/image" Target="media/image19.png"/><Relationship Id="rId26" Type="http://schemas.openxmlformats.org/officeDocument/2006/relationships/image" Target="media/image18.png"/><Relationship Id="rId25" Type="http://schemas.openxmlformats.org/officeDocument/2006/relationships/image" Target="media/image17.png"/><Relationship Id="rId24" Type="http://schemas.openxmlformats.org/officeDocument/2006/relationships/image" Target="media/image16.png"/><Relationship Id="rId23" Type="http://schemas.openxmlformats.org/officeDocument/2006/relationships/image" Target="media/image15.png"/><Relationship Id="rId22" Type="http://schemas.openxmlformats.org/officeDocument/2006/relationships/image" Target="media/image14.png"/><Relationship Id="rId21" Type="http://schemas.openxmlformats.org/officeDocument/2006/relationships/image" Target="media/image13.png"/><Relationship Id="rId20" Type="http://schemas.openxmlformats.org/officeDocument/2006/relationships/image" Target="media/image12.png"/><Relationship Id="rId2" Type="http://schemas.openxmlformats.org/officeDocument/2006/relationships/settings" Target="settings.xml"/><Relationship Id="rId19" Type="http://schemas.openxmlformats.org/officeDocument/2006/relationships/image" Target="media/image11.png"/><Relationship Id="rId18" Type="http://schemas.openxmlformats.org/officeDocument/2006/relationships/image" Target="media/image10.emf"/><Relationship Id="rId17" Type="http://schemas.openxmlformats.org/officeDocument/2006/relationships/image" Target="media/image9.emf"/><Relationship Id="rId16" Type="http://schemas.openxmlformats.org/officeDocument/2006/relationships/image" Target="media/image8.emf"/><Relationship Id="rId15" Type="http://schemas.openxmlformats.org/officeDocument/2006/relationships/image" Target="media/image7.emf"/><Relationship Id="rId14" Type="http://schemas.openxmlformats.org/officeDocument/2006/relationships/image" Target="media/image6.png"/><Relationship Id="rId13" Type="http://schemas.openxmlformats.org/officeDocument/2006/relationships/image" Target="media/image5.jpeg"/><Relationship Id="rId12" Type="http://schemas.openxmlformats.org/officeDocument/2006/relationships/image" Target="media/image4.png"/><Relationship Id="rId11" Type="http://schemas.openxmlformats.org/officeDocument/2006/relationships/image" Target="media/image3.png"/><Relationship Id="rId10" Type="http://schemas.openxmlformats.org/officeDocument/2006/relationships/image" Target="media/image2.png"/><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ops>
  <customShpExts>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Company>GEDI</Company>
  <Pages>53</Pages>
  <Words>5402</Words>
  <Characters>30798</Characters>
  <Lines>256</Lines>
  <Paragraphs>72</Paragraphs>
  <TotalTime>0</TotalTime>
  <ScaleCrop>false</ScaleCrop>
  <LinksUpToDate>false</LinksUpToDate>
  <CharactersWithSpaces>36128</CharactersWithSpaces>
  <Application>WPS Office_11.8.2.12309_F1E327BC-269C-435d-A152-05C5408002CA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2025-02-07T09:21:00Z</dcterms:created>
  <dc:creator>二分部</dc:creator>
  <cp:lastModifiedBy>lintongdan</cp:lastModifiedBy>
  <cp:lastPrinted>2018-03-30T00:45:00Z</cp:lastPrinted>
  <dcterms:modified xsi:type="dcterms:W3CDTF">2025-03-07T10:20:17Z</dcterms:modified>
  <dc:title> </dc:title>
  <cp:revision>77</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状态">
    <vt:lpwstr>xxx</vt:lpwstr>
  </property>
  <property fmtid="{D5CDD505-2E9C-101B-9397-08002B2CF9AE}" pid="3" name="KSOProductBuildVer">
    <vt:lpwstr>2052-11.8.2.12309</vt:lpwstr>
  </property>
  <property fmtid="{D5CDD505-2E9C-101B-9397-08002B2CF9AE}" pid="4" name="ICV">
    <vt:lpwstr>B3245B8C51CD46B28A89488A43989881</vt:lpwstr>
  </property>
</Properties>
</file>