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25D7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i w:val="0"/>
          <w:iCs w:val="0"/>
          <w:caps w:val="0"/>
          <w:color w:val="auto"/>
          <w:spacing w:val="0"/>
          <w:sz w:val="30"/>
          <w:szCs w:val="30"/>
        </w:rPr>
      </w:pPr>
      <w:bookmarkStart w:id="0" w:name="_GoBack"/>
      <w:r>
        <w:rPr>
          <w:rFonts w:hint="eastAsia" w:ascii="方正小标宋_GBK" w:hAnsi="方正小标宋_GBK" w:eastAsia="方正小标宋_GBK" w:cs="方正小标宋_GBK"/>
          <w:i w:val="0"/>
          <w:iCs w:val="0"/>
          <w:caps w:val="0"/>
          <w:color w:val="auto"/>
          <w:spacing w:val="0"/>
          <w:sz w:val="30"/>
          <w:szCs w:val="30"/>
        </w:rPr>
        <w:t>分布式车棚光伏安全性评估技术服务采购技术规范书</w:t>
      </w:r>
    </w:p>
    <w:bookmarkEnd w:id="0"/>
    <w:p w14:paraId="248616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i w:val="0"/>
          <w:iCs w:val="0"/>
          <w:caps w:val="0"/>
          <w:color w:val="auto"/>
          <w:spacing w:val="0"/>
          <w:sz w:val="30"/>
          <w:szCs w:val="30"/>
        </w:rPr>
      </w:pPr>
    </w:p>
    <w:p w14:paraId="2CAEC4A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黑体" w:hAnsi="黑体" w:eastAsia="黑体" w:cs="黑体"/>
          <w:i w:val="0"/>
          <w:iCs w:val="0"/>
          <w:caps w:val="0"/>
          <w:color w:val="auto"/>
          <w:spacing w:val="0"/>
          <w:sz w:val="28"/>
          <w:szCs w:val="28"/>
        </w:rPr>
      </w:pPr>
      <w:r>
        <w:rPr>
          <w:rFonts w:hint="eastAsia" w:ascii="黑体" w:hAnsi="黑体" w:eastAsia="黑体" w:cs="黑体"/>
          <w:i w:val="0"/>
          <w:iCs w:val="0"/>
          <w:caps w:val="0"/>
          <w:color w:val="auto"/>
          <w:spacing w:val="0"/>
          <w:sz w:val="28"/>
          <w:szCs w:val="28"/>
        </w:rPr>
        <w:t xml:space="preserve">项目概述 </w:t>
      </w:r>
    </w:p>
    <w:p w14:paraId="59F675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lang w:val="en-US" w:eastAsia="zh-CN"/>
        </w:rPr>
        <w:t>开远市泸江变电站公共停车场屋顶分布式光伏发电项目车棚光伏安全性评估技术服务，</w:t>
      </w:r>
      <w:r>
        <w:rPr>
          <w:rFonts w:hint="eastAsia" w:ascii="仿宋" w:hAnsi="仿宋" w:eastAsia="仿宋" w:cs="仿宋"/>
          <w:i w:val="0"/>
          <w:iCs w:val="0"/>
          <w:caps w:val="0"/>
          <w:color w:val="auto"/>
          <w:spacing w:val="0"/>
          <w:sz w:val="28"/>
          <w:szCs w:val="28"/>
        </w:rPr>
        <w:t>现需要选择合适的</w:t>
      </w:r>
      <w:r>
        <w:rPr>
          <w:rFonts w:hint="eastAsia" w:ascii="仿宋" w:hAnsi="仿宋" w:eastAsia="仿宋" w:cs="仿宋"/>
          <w:i w:val="0"/>
          <w:iCs w:val="0"/>
          <w:caps w:val="0"/>
          <w:color w:val="auto"/>
          <w:spacing w:val="0"/>
          <w:sz w:val="28"/>
          <w:szCs w:val="28"/>
          <w:lang w:val="en-US" w:eastAsia="zh-CN"/>
        </w:rPr>
        <w:t>评估</w:t>
      </w:r>
      <w:r>
        <w:rPr>
          <w:rFonts w:hint="eastAsia" w:ascii="仿宋" w:hAnsi="仿宋" w:eastAsia="仿宋" w:cs="仿宋"/>
          <w:i w:val="0"/>
          <w:iCs w:val="0"/>
          <w:caps w:val="0"/>
          <w:color w:val="auto"/>
          <w:spacing w:val="0"/>
          <w:sz w:val="28"/>
          <w:szCs w:val="28"/>
        </w:rPr>
        <w:t>咨询服务机构为我公司提供</w:t>
      </w:r>
      <w:r>
        <w:rPr>
          <w:rFonts w:hint="eastAsia" w:ascii="仿宋" w:hAnsi="仿宋" w:eastAsia="仿宋" w:cs="仿宋"/>
          <w:i w:val="0"/>
          <w:iCs w:val="0"/>
          <w:caps w:val="0"/>
          <w:color w:val="auto"/>
          <w:spacing w:val="0"/>
          <w:sz w:val="28"/>
          <w:szCs w:val="28"/>
          <w:lang w:val="en-US" w:eastAsia="zh-CN"/>
        </w:rPr>
        <w:t>评估</w:t>
      </w:r>
      <w:r>
        <w:rPr>
          <w:rFonts w:hint="eastAsia" w:ascii="仿宋" w:hAnsi="仿宋" w:eastAsia="仿宋" w:cs="仿宋"/>
          <w:i w:val="0"/>
          <w:iCs w:val="0"/>
          <w:caps w:val="0"/>
          <w:color w:val="auto"/>
          <w:spacing w:val="0"/>
          <w:sz w:val="28"/>
          <w:szCs w:val="28"/>
        </w:rPr>
        <w:t>服务，</w:t>
      </w:r>
      <w:r>
        <w:rPr>
          <w:rFonts w:hint="eastAsia" w:ascii="仿宋" w:hAnsi="仿宋" w:eastAsia="仿宋" w:cs="仿宋"/>
          <w:i w:val="0"/>
          <w:iCs w:val="0"/>
          <w:caps w:val="0"/>
          <w:color w:val="auto"/>
          <w:spacing w:val="0"/>
          <w:sz w:val="28"/>
          <w:szCs w:val="28"/>
          <w:lang w:val="en-US" w:eastAsia="zh-CN"/>
        </w:rPr>
        <w:t>出具安全评估报告</w:t>
      </w:r>
      <w:r>
        <w:rPr>
          <w:rFonts w:hint="eastAsia" w:ascii="仿宋" w:hAnsi="仿宋" w:eastAsia="仿宋" w:cs="仿宋"/>
          <w:i w:val="0"/>
          <w:iCs w:val="0"/>
          <w:caps w:val="0"/>
          <w:color w:val="auto"/>
          <w:spacing w:val="0"/>
          <w:sz w:val="28"/>
          <w:szCs w:val="28"/>
        </w:rPr>
        <w:t>。</w:t>
      </w:r>
    </w:p>
    <w:p w14:paraId="039DD72B">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0" w:firstLineChars="200"/>
        <w:textAlignment w:val="auto"/>
        <w:rPr>
          <w:rFonts w:hint="eastAsia" w:ascii="黑体" w:hAnsi="黑体" w:eastAsia="黑体" w:cs="黑体"/>
          <w:i w:val="0"/>
          <w:iCs w:val="0"/>
          <w:caps w:val="0"/>
          <w:color w:val="auto"/>
          <w:spacing w:val="0"/>
          <w:sz w:val="28"/>
          <w:szCs w:val="28"/>
        </w:rPr>
      </w:pPr>
      <w:r>
        <w:rPr>
          <w:rFonts w:hint="eastAsia" w:ascii="黑体" w:hAnsi="黑体" w:eastAsia="黑体" w:cs="黑体"/>
          <w:i w:val="0"/>
          <w:iCs w:val="0"/>
          <w:caps w:val="0"/>
          <w:color w:val="auto"/>
          <w:spacing w:val="0"/>
          <w:sz w:val="28"/>
          <w:szCs w:val="28"/>
        </w:rPr>
        <w:t>服务内容及技术要求</w:t>
      </w:r>
    </w:p>
    <w:p w14:paraId="7560965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aps w:val="0"/>
          <w:color w:val="auto"/>
          <w:spacing w:val="0"/>
          <w:sz w:val="28"/>
          <w:szCs w:val="28"/>
          <w:lang w:val="en-US" w:eastAsia="zh-CN"/>
        </w:rPr>
      </w:pPr>
      <w:r>
        <w:rPr>
          <w:rFonts w:hint="eastAsia" w:ascii="仿宋" w:hAnsi="仿宋" w:eastAsia="仿宋" w:cs="仿宋"/>
          <w:b/>
          <w:bCs/>
          <w:i w:val="0"/>
          <w:iCs w:val="0"/>
          <w:caps w:val="0"/>
          <w:color w:val="auto"/>
          <w:spacing w:val="0"/>
          <w:sz w:val="28"/>
          <w:szCs w:val="28"/>
          <w:lang w:val="en-US" w:eastAsia="zh-CN"/>
        </w:rPr>
        <w:t xml:space="preserve">2.1 评估范围 </w:t>
      </w:r>
    </w:p>
    <w:p w14:paraId="0AD1E0DB">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i w:val="0"/>
          <w:iCs w:val="0"/>
          <w:caps w:val="0"/>
          <w:color w:val="auto"/>
          <w:spacing w:val="0"/>
          <w:sz w:val="28"/>
          <w:szCs w:val="28"/>
          <w:lang w:val="en-US" w:eastAsia="zh-CN"/>
        </w:rPr>
      </w:pPr>
      <w:r>
        <w:rPr>
          <w:rFonts w:hint="eastAsia" w:ascii="仿宋" w:hAnsi="仿宋" w:eastAsia="仿宋" w:cs="仿宋"/>
          <w:b w:val="0"/>
          <w:bCs w:val="0"/>
          <w:i w:val="0"/>
          <w:iCs w:val="0"/>
          <w:caps w:val="0"/>
          <w:color w:val="auto"/>
          <w:spacing w:val="0"/>
          <w:sz w:val="28"/>
          <w:szCs w:val="28"/>
          <w:lang w:val="en-US" w:eastAsia="zh-CN"/>
        </w:rPr>
        <w:t>结构安全评估：安装稳定性，荷载计算（风压、雪压、抗震等）是否符合规范。</w:t>
      </w:r>
    </w:p>
    <w:p w14:paraId="43B982B5">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i w:val="0"/>
          <w:iCs w:val="0"/>
          <w:caps w:val="0"/>
          <w:color w:val="auto"/>
          <w:spacing w:val="0"/>
          <w:sz w:val="28"/>
          <w:szCs w:val="28"/>
          <w:lang w:val="en-US" w:eastAsia="zh-CN"/>
        </w:rPr>
      </w:pPr>
      <w:r>
        <w:rPr>
          <w:rFonts w:hint="eastAsia" w:ascii="仿宋" w:hAnsi="仿宋" w:eastAsia="仿宋" w:cs="仿宋"/>
          <w:b w:val="0"/>
          <w:bCs w:val="0"/>
          <w:i w:val="0"/>
          <w:iCs w:val="0"/>
          <w:caps w:val="0"/>
          <w:color w:val="auto"/>
          <w:spacing w:val="0"/>
          <w:sz w:val="28"/>
          <w:szCs w:val="28"/>
          <w:lang w:val="en-US" w:eastAsia="zh-CN"/>
        </w:rPr>
        <w:t>电气安全评估：电气设计合理性，电缆敷设、接地保护、绝缘性能、短路保护等是否符合标准。</w:t>
      </w:r>
    </w:p>
    <w:p w14:paraId="16CF32C6">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i w:val="0"/>
          <w:iCs w:val="0"/>
          <w:caps w:val="0"/>
          <w:color w:val="auto"/>
          <w:spacing w:val="0"/>
          <w:sz w:val="28"/>
          <w:szCs w:val="28"/>
          <w:lang w:val="en-US" w:eastAsia="zh-CN"/>
        </w:rPr>
      </w:pPr>
      <w:r>
        <w:rPr>
          <w:rFonts w:hint="eastAsia" w:ascii="仿宋" w:hAnsi="仿宋" w:eastAsia="仿宋" w:cs="仿宋"/>
          <w:b w:val="0"/>
          <w:bCs w:val="0"/>
          <w:i w:val="0"/>
          <w:iCs w:val="0"/>
          <w:caps w:val="0"/>
          <w:color w:val="auto"/>
          <w:spacing w:val="0"/>
          <w:sz w:val="28"/>
          <w:szCs w:val="28"/>
          <w:lang w:val="en-US" w:eastAsia="zh-CN"/>
        </w:rPr>
        <w:t>防火防雷评估：防火等级匹配性，防雷接地系统有效性。</w:t>
      </w:r>
    </w:p>
    <w:p w14:paraId="4C1B46ED">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i w:val="0"/>
          <w:iCs w:val="0"/>
          <w:caps w:val="0"/>
          <w:color w:val="auto"/>
          <w:spacing w:val="0"/>
          <w:sz w:val="28"/>
          <w:szCs w:val="28"/>
          <w:lang w:val="en-US" w:eastAsia="zh-CN"/>
        </w:rPr>
      </w:pPr>
      <w:r>
        <w:rPr>
          <w:rFonts w:hint="eastAsia" w:ascii="仿宋" w:hAnsi="仿宋" w:eastAsia="仿宋" w:cs="仿宋"/>
          <w:b w:val="0"/>
          <w:bCs w:val="0"/>
          <w:i w:val="0"/>
          <w:iCs w:val="0"/>
          <w:caps w:val="0"/>
          <w:color w:val="auto"/>
          <w:spacing w:val="0"/>
          <w:sz w:val="28"/>
          <w:szCs w:val="28"/>
          <w:lang w:val="en-US" w:eastAsia="zh-CN"/>
        </w:rPr>
        <w:t>环境适应性评估：高温、潮湿等环境对设备寿命的影响分析。</w:t>
      </w:r>
    </w:p>
    <w:p w14:paraId="1E3A46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aps w:val="0"/>
          <w:color w:val="auto"/>
          <w:spacing w:val="0"/>
          <w:sz w:val="28"/>
          <w:szCs w:val="28"/>
          <w:lang w:val="en-US" w:eastAsia="zh-CN"/>
        </w:rPr>
      </w:pPr>
      <w:r>
        <w:rPr>
          <w:rFonts w:hint="eastAsia" w:ascii="仿宋" w:hAnsi="仿宋" w:eastAsia="仿宋" w:cs="仿宋"/>
          <w:b/>
          <w:bCs/>
          <w:i w:val="0"/>
          <w:iCs w:val="0"/>
          <w:caps w:val="0"/>
          <w:color w:val="auto"/>
          <w:spacing w:val="0"/>
          <w:sz w:val="28"/>
          <w:szCs w:val="28"/>
          <w:lang w:val="en-US" w:eastAsia="zh-CN"/>
        </w:rPr>
        <w:t>2.2 技术标准</w:t>
      </w:r>
    </w:p>
    <w:p w14:paraId="72B5AB73">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0"/>
          <w:sz w:val="28"/>
          <w:szCs w:val="28"/>
          <w:lang w:val="en-US" w:eastAsia="zh-CN"/>
        </w:rPr>
        <w:t>《光伏发电站设计规范》（GB 50797）</w:t>
      </w:r>
    </w:p>
    <w:p w14:paraId="4F8AB48E">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0"/>
          <w:sz w:val="28"/>
          <w:szCs w:val="28"/>
          <w:lang w:val="en-US" w:eastAsia="zh-CN"/>
        </w:rPr>
        <w:t>《建筑电气工程施工质量验收规范》（GB 50303）</w:t>
      </w:r>
    </w:p>
    <w:p w14:paraId="4E480C62">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0"/>
          <w:sz w:val="28"/>
          <w:szCs w:val="28"/>
          <w:lang w:val="en-US" w:eastAsia="zh-CN"/>
        </w:rPr>
        <w:t>《建筑物防雷设计规范》（GB 50057）</w:t>
      </w:r>
    </w:p>
    <w:p w14:paraId="0FF4827E">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0"/>
          <w:sz w:val="28"/>
          <w:szCs w:val="28"/>
          <w:lang w:val="en-US" w:eastAsia="zh-CN"/>
        </w:rPr>
        <w:t>《低压配电设计规范》（GB 50054）</w:t>
      </w:r>
    </w:p>
    <w:p w14:paraId="0090425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i w:val="0"/>
          <w:iCs w:val="0"/>
          <w:caps w:val="0"/>
          <w:color w:val="auto"/>
          <w:spacing w:val="0"/>
          <w:sz w:val="28"/>
          <w:szCs w:val="28"/>
          <w:lang w:val="en-US" w:eastAsia="zh-CN"/>
        </w:rPr>
      </w:pPr>
      <w:r>
        <w:rPr>
          <w:rFonts w:hint="eastAsia" w:ascii="仿宋" w:hAnsi="仿宋" w:eastAsia="仿宋" w:cs="仿宋"/>
          <w:b/>
          <w:bCs/>
          <w:i w:val="0"/>
          <w:iCs w:val="0"/>
          <w:caps w:val="0"/>
          <w:color w:val="auto"/>
          <w:spacing w:val="0"/>
          <w:sz w:val="28"/>
          <w:szCs w:val="28"/>
          <w:lang w:val="en-US" w:eastAsia="zh-CN"/>
        </w:rPr>
        <w:t>2.3 服务要求</w:t>
      </w:r>
    </w:p>
    <w:p w14:paraId="4CEBFD65">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lang w:val="en-US" w:eastAsia="zh-CN"/>
        </w:rPr>
      </w:pPr>
      <w:r>
        <w:rPr>
          <w:rFonts w:hint="eastAsia" w:ascii="仿宋" w:hAnsi="仿宋" w:eastAsia="仿宋" w:cs="仿宋"/>
          <w:i w:val="0"/>
          <w:iCs w:val="0"/>
          <w:caps w:val="0"/>
          <w:color w:val="auto"/>
          <w:spacing w:val="0"/>
          <w:sz w:val="28"/>
          <w:szCs w:val="28"/>
          <w:lang w:val="en-US" w:eastAsia="zh-CN"/>
        </w:rPr>
        <w:t>评估团队需包含</w:t>
      </w:r>
      <w:r>
        <w:rPr>
          <w:rFonts w:hint="default" w:ascii="仿宋" w:hAnsi="仿宋" w:eastAsia="仿宋" w:cs="仿宋"/>
          <w:i w:val="0"/>
          <w:iCs w:val="0"/>
          <w:caps w:val="0"/>
          <w:color w:val="auto"/>
          <w:spacing w:val="0"/>
          <w:sz w:val="28"/>
          <w:szCs w:val="28"/>
          <w:lang w:val="en-US" w:eastAsia="zh-CN"/>
        </w:rPr>
        <w:t>注册安全工程师</w:t>
      </w:r>
      <w:r>
        <w:rPr>
          <w:rFonts w:hint="eastAsia" w:ascii="仿宋" w:hAnsi="仿宋" w:eastAsia="仿宋" w:cs="仿宋"/>
          <w:i w:val="0"/>
          <w:iCs w:val="0"/>
          <w:caps w:val="0"/>
          <w:color w:val="auto"/>
          <w:spacing w:val="0"/>
          <w:sz w:val="28"/>
          <w:szCs w:val="28"/>
          <w:lang w:val="en-US" w:eastAsia="zh-CN"/>
        </w:rPr>
        <w:t xml:space="preserve">，现场勘察覆盖全部车棚光伏设施，提供评估报告。 </w:t>
      </w:r>
    </w:p>
    <w:p w14:paraId="7368753B">
      <w:pPr>
        <w:keepNext w:val="0"/>
        <w:keepLines w:val="0"/>
        <w:pageBreakBefore w:val="0"/>
        <w:widowControl w:val="0"/>
        <w:numPr>
          <w:numId w:val="0"/>
        </w:numPr>
        <w:kinsoku/>
        <w:wordWrap/>
        <w:overflowPunct/>
        <w:topLinePunct w:val="0"/>
        <w:autoSpaceDE/>
        <w:autoSpaceDN/>
        <w:bidi w:val="0"/>
        <w:adjustRightInd/>
        <w:snapToGrid/>
        <w:spacing w:line="560" w:lineRule="exact"/>
        <w:ind w:leftChars="0" w:firstLine="560" w:firstLineChars="200"/>
        <w:textAlignment w:val="auto"/>
        <w:rPr>
          <w:rFonts w:hint="eastAsia" w:ascii="仿宋" w:hAnsi="仿宋" w:eastAsia="仿宋" w:cs="仿宋"/>
          <w:i w:val="0"/>
          <w:iCs w:val="0"/>
          <w:caps w:val="0"/>
          <w:color w:val="auto"/>
          <w:spacing w:val="0"/>
          <w:sz w:val="28"/>
          <w:szCs w:val="28"/>
        </w:rPr>
      </w:pPr>
      <w:r>
        <w:rPr>
          <w:rFonts w:hint="eastAsia" w:ascii="黑体" w:hAnsi="黑体" w:eastAsia="黑体" w:cs="黑体"/>
          <w:i w:val="0"/>
          <w:iCs w:val="0"/>
          <w:caps w:val="0"/>
          <w:color w:val="auto"/>
          <w:spacing w:val="0"/>
          <w:sz w:val="28"/>
          <w:szCs w:val="28"/>
          <w:lang w:val="en-US" w:eastAsia="zh-CN"/>
        </w:rPr>
        <w:t>三、</w:t>
      </w:r>
      <w:r>
        <w:rPr>
          <w:rFonts w:hint="eastAsia" w:ascii="黑体" w:hAnsi="黑体" w:eastAsia="黑体" w:cs="黑体"/>
          <w:i w:val="0"/>
          <w:iCs w:val="0"/>
          <w:caps w:val="0"/>
          <w:color w:val="auto"/>
          <w:spacing w:val="0"/>
          <w:sz w:val="28"/>
          <w:szCs w:val="28"/>
        </w:rPr>
        <w:t>交付成果与验收标准</w:t>
      </w:r>
    </w:p>
    <w:p w14:paraId="49D46B2C">
      <w:pPr>
        <w:keepNext w:val="0"/>
        <w:keepLines w:val="0"/>
        <w:pageBreakBefore w:val="0"/>
        <w:widowControl w:val="0"/>
        <w:numPr>
          <w:numId w:val="0"/>
        </w:numPr>
        <w:kinsoku/>
        <w:wordWrap/>
        <w:overflowPunct/>
        <w:topLinePunct w:val="0"/>
        <w:autoSpaceDE/>
        <w:autoSpaceDN/>
        <w:bidi w:val="0"/>
        <w:adjustRightInd/>
        <w:snapToGrid/>
        <w:spacing w:line="560" w:lineRule="exact"/>
        <w:ind w:leftChars="0" w:firstLine="560" w:firstLine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lang w:val="en-US" w:eastAsia="zh-CN"/>
        </w:rPr>
        <w:t>1.</w:t>
      </w:r>
      <w:r>
        <w:rPr>
          <w:rFonts w:hint="eastAsia" w:ascii="仿宋" w:hAnsi="仿宋" w:eastAsia="仿宋" w:cs="仿宋"/>
          <w:i w:val="0"/>
          <w:iCs w:val="0"/>
          <w:caps w:val="0"/>
          <w:color w:val="auto"/>
          <w:spacing w:val="0"/>
          <w:sz w:val="28"/>
          <w:szCs w:val="28"/>
        </w:rPr>
        <w:t xml:space="preserve">交付成果 </w:t>
      </w:r>
    </w:p>
    <w:p w14:paraId="2CD0499E">
      <w:pPr>
        <w:keepNext w:val="0"/>
        <w:keepLines w:val="0"/>
        <w:pageBreakBefore w:val="0"/>
        <w:widowControl w:val="0"/>
        <w:numPr>
          <w:numId w:val="0"/>
        </w:numPr>
        <w:kinsoku/>
        <w:wordWrap/>
        <w:overflowPunct/>
        <w:topLinePunct w:val="0"/>
        <w:autoSpaceDE/>
        <w:autoSpaceDN/>
        <w:bidi w:val="0"/>
        <w:adjustRightInd/>
        <w:snapToGrid/>
        <w:spacing w:line="560" w:lineRule="exact"/>
        <w:ind w:leftChars="0" w:firstLine="560" w:firstLine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lang w:val="en-US" w:eastAsia="zh-CN"/>
        </w:rPr>
        <w:t>安全</w:t>
      </w:r>
      <w:r>
        <w:rPr>
          <w:rFonts w:hint="eastAsia" w:ascii="仿宋" w:hAnsi="仿宋" w:eastAsia="仿宋" w:cs="仿宋"/>
          <w:i w:val="0"/>
          <w:iCs w:val="0"/>
          <w:caps w:val="0"/>
          <w:color w:val="auto"/>
          <w:spacing w:val="0"/>
          <w:sz w:val="28"/>
          <w:szCs w:val="28"/>
        </w:rPr>
        <w:t>评估报告</w:t>
      </w:r>
      <w:r>
        <w:rPr>
          <w:rFonts w:hint="eastAsia" w:ascii="仿宋" w:hAnsi="仿宋" w:eastAsia="仿宋" w:cs="仿宋"/>
          <w:i w:val="0"/>
          <w:iCs w:val="0"/>
          <w:caps w:val="0"/>
          <w:color w:val="auto"/>
          <w:spacing w:val="0"/>
          <w:sz w:val="28"/>
          <w:szCs w:val="28"/>
          <w:lang w:val="en-US" w:eastAsia="zh-CN"/>
        </w:rPr>
        <w:t>一份</w:t>
      </w:r>
      <w:r>
        <w:rPr>
          <w:rFonts w:hint="eastAsia" w:ascii="仿宋" w:hAnsi="仿宋" w:eastAsia="仿宋" w:cs="仿宋"/>
          <w:i w:val="0"/>
          <w:iCs w:val="0"/>
          <w:caps w:val="0"/>
          <w:color w:val="auto"/>
          <w:spacing w:val="0"/>
          <w:sz w:val="28"/>
          <w:szCs w:val="28"/>
        </w:rPr>
        <w:t xml:space="preserve">。 </w:t>
      </w:r>
    </w:p>
    <w:p w14:paraId="7CC4E34A">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lang w:val="en-US" w:eastAsia="zh-CN"/>
        </w:rPr>
        <w:t>2.</w:t>
      </w:r>
      <w:r>
        <w:rPr>
          <w:rFonts w:hint="eastAsia" w:ascii="仿宋" w:hAnsi="仿宋" w:eastAsia="仿宋" w:cs="仿宋"/>
          <w:i w:val="0"/>
          <w:iCs w:val="0"/>
          <w:caps w:val="0"/>
          <w:color w:val="auto"/>
          <w:spacing w:val="0"/>
          <w:sz w:val="28"/>
          <w:szCs w:val="28"/>
        </w:rPr>
        <w:t xml:space="preserve">验收标准 </w:t>
      </w:r>
    </w:p>
    <w:p w14:paraId="54AB4C8F">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rPr>
        <w:t>完整性：报告内容完整，数据真实。</w:t>
      </w:r>
    </w:p>
    <w:p w14:paraId="0FA81091">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rPr>
        <w:t>合规性：结论符合国家及行业标准，无重大遗漏项。</w:t>
      </w:r>
    </w:p>
    <w:p w14:paraId="30696B74">
      <w:pPr>
        <w:keepNext w:val="0"/>
        <w:keepLines w:val="0"/>
        <w:pageBreakBefore w:val="0"/>
        <w:widowControl w:val="0"/>
        <w:numPr>
          <w:numId w:val="0"/>
        </w:numPr>
        <w:kinsoku/>
        <w:wordWrap/>
        <w:overflowPunct/>
        <w:topLinePunct w:val="0"/>
        <w:autoSpaceDE/>
        <w:autoSpaceDN/>
        <w:bidi w:val="0"/>
        <w:adjustRightInd/>
        <w:snapToGrid/>
        <w:spacing w:line="560" w:lineRule="exact"/>
        <w:ind w:left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rPr>
        <w:t>时效性：自合同签订之日起30日内完成现场评估并提交报告。</w:t>
      </w:r>
    </w:p>
    <w:p w14:paraId="0957436B">
      <w:pPr>
        <w:keepNext w:val="0"/>
        <w:keepLines w:val="0"/>
        <w:pageBreakBefore w:val="0"/>
        <w:widowControl w:val="0"/>
        <w:numPr>
          <w:numId w:val="0"/>
        </w:numPr>
        <w:kinsoku/>
        <w:wordWrap/>
        <w:overflowPunct/>
        <w:topLinePunct w:val="0"/>
        <w:autoSpaceDE/>
        <w:autoSpaceDN/>
        <w:bidi w:val="0"/>
        <w:adjustRightInd/>
        <w:snapToGrid/>
        <w:spacing w:line="560" w:lineRule="exact"/>
        <w:ind w:leftChars="0" w:firstLine="560" w:firstLineChars="200"/>
        <w:textAlignment w:val="auto"/>
        <w:rPr>
          <w:rFonts w:hint="default" w:ascii="黑体" w:hAnsi="黑体" w:eastAsia="黑体" w:cs="黑体"/>
          <w:i w:val="0"/>
          <w:iCs w:val="0"/>
          <w:caps w:val="0"/>
          <w:color w:val="auto"/>
          <w:spacing w:val="0"/>
          <w:sz w:val="28"/>
          <w:szCs w:val="28"/>
          <w:lang w:val="en-US" w:eastAsia="zh-CN"/>
        </w:rPr>
      </w:pPr>
      <w:r>
        <w:rPr>
          <w:rFonts w:hint="eastAsia" w:ascii="黑体" w:hAnsi="黑体" w:eastAsia="黑体" w:cs="黑体"/>
          <w:i w:val="0"/>
          <w:iCs w:val="0"/>
          <w:caps w:val="0"/>
          <w:color w:val="auto"/>
          <w:spacing w:val="0"/>
          <w:sz w:val="28"/>
          <w:szCs w:val="28"/>
          <w:lang w:val="en-US" w:eastAsia="zh-CN"/>
        </w:rPr>
        <w:t>四、付款方式</w:t>
      </w:r>
    </w:p>
    <w:p w14:paraId="467E60EA">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lang w:val="en-US" w:eastAsia="zh-CN"/>
        </w:rPr>
        <w:t>合同签订，且安全评估</w:t>
      </w:r>
      <w:r>
        <w:rPr>
          <w:rFonts w:hint="eastAsia" w:ascii="仿宋" w:hAnsi="仿宋" w:eastAsia="仿宋" w:cs="仿宋"/>
          <w:i w:val="0"/>
          <w:iCs w:val="0"/>
          <w:caps w:val="0"/>
          <w:color w:val="auto"/>
          <w:spacing w:val="0"/>
          <w:sz w:val="28"/>
          <w:szCs w:val="28"/>
        </w:rPr>
        <w:t>报告验收合格后</w:t>
      </w:r>
      <w:r>
        <w:rPr>
          <w:rFonts w:hint="eastAsia" w:ascii="仿宋" w:hAnsi="仿宋" w:eastAsia="仿宋" w:cs="仿宋"/>
          <w:i w:val="0"/>
          <w:iCs w:val="0"/>
          <w:caps w:val="0"/>
          <w:color w:val="auto"/>
          <w:spacing w:val="0"/>
          <w:sz w:val="28"/>
          <w:szCs w:val="28"/>
          <w:lang w:val="en-US" w:eastAsia="zh-CN"/>
        </w:rPr>
        <w:t>10天内一次性</w:t>
      </w:r>
      <w:r>
        <w:rPr>
          <w:rFonts w:hint="eastAsia" w:ascii="仿宋" w:hAnsi="仿宋" w:eastAsia="仿宋" w:cs="仿宋"/>
          <w:i w:val="0"/>
          <w:iCs w:val="0"/>
          <w:caps w:val="0"/>
          <w:color w:val="auto"/>
          <w:spacing w:val="0"/>
          <w:sz w:val="28"/>
          <w:szCs w:val="28"/>
        </w:rPr>
        <w:t xml:space="preserve">支付。 </w:t>
      </w:r>
    </w:p>
    <w:p w14:paraId="1C71CC3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黑体" w:hAnsi="黑体" w:eastAsia="黑体" w:cs="黑体"/>
          <w:i w:val="0"/>
          <w:iCs w:val="0"/>
          <w:caps w:val="0"/>
          <w:color w:val="auto"/>
          <w:spacing w:val="0"/>
          <w:sz w:val="28"/>
          <w:szCs w:val="28"/>
        </w:rPr>
      </w:pPr>
      <w:r>
        <w:rPr>
          <w:rFonts w:hint="eastAsia" w:ascii="黑体" w:hAnsi="黑体" w:eastAsia="黑体" w:cs="黑体"/>
          <w:i w:val="0"/>
          <w:iCs w:val="0"/>
          <w:caps w:val="0"/>
          <w:color w:val="auto"/>
          <w:spacing w:val="0"/>
          <w:sz w:val="28"/>
          <w:szCs w:val="28"/>
          <w:lang w:val="en-US" w:eastAsia="zh-CN"/>
        </w:rPr>
        <w:t>五、</w:t>
      </w:r>
      <w:r>
        <w:rPr>
          <w:rFonts w:hint="eastAsia" w:ascii="黑体" w:hAnsi="黑体" w:eastAsia="黑体" w:cs="黑体"/>
          <w:i w:val="0"/>
          <w:iCs w:val="0"/>
          <w:caps w:val="0"/>
          <w:color w:val="auto"/>
          <w:spacing w:val="0"/>
          <w:sz w:val="28"/>
          <w:szCs w:val="28"/>
        </w:rPr>
        <w:t xml:space="preserve">其他条款 </w:t>
      </w:r>
    </w:p>
    <w:p w14:paraId="117072B0">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i w:val="0"/>
          <w:iCs w:val="0"/>
          <w:caps w:val="0"/>
          <w:color w:val="auto"/>
          <w:spacing w:val="0"/>
          <w:sz w:val="28"/>
          <w:szCs w:val="28"/>
        </w:rPr>
      </w:pPr>
      <w:r>
        <w:rPr>
          <w:rFonts w:hint="eastAsia" w:ascii="仿宋" w:hAnsi="仿宋" w:eastAsia="仿宋" w:cs="仿宋"/>
          <w:i w:val="0"/>
          <w:iCs w:val="0"/>
          <w:caps w:val="0"/>
          <w:color w:val="auto"/>
          <w:spacing w:val="0"/>
          <w:sz w:val="28"/>
          <w:szCs w:val="28"/>
        </w:rPr>
        <w:t>保密义务：供应商需对甲方项目数据及技术信息严格保密。</w:t>
      </w:r>
    </w:p>
    <w:p w14:paraId="4B1B7B24">
      <w:pPr>
        <w:keepNext w:val="0"/>
        <w:keepLines w:val="0"/>
        <w:pageBreakBefore w:val="0"/>
        <w:widowControl w:val="0"/>
        <w:numPr>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i w:val="0"/>
          <w:iCs w:val="0"/>
          <w:caps w:val="0"/>
          <w:color w:val="auto"/>
          <w:spacing w:val="0"/>
          <w:sz w:val="28"/>
          <w:szCs w:val="28"/>
        </w:rPr>
        <w:t>争议处理：</w:t>
      </w:r>
      <w:r>
        <w:rPr>
          <w:rFonts w:hint="eastAsia" w:ascii="仿宋" w:hAnsi="仿宋" w:eastAsia="仿宋" w:cs="仿宋"/>
          <w:i w:val="0"/>
          <w:iCs w:val="0"/>
          <w:caps w:val="0"/>
          <w:color w:val="auto"/>
          <w:spacing w:val="0"/>
          <w:sz w:val="28"/>
          <w:szCs w:val="28"/>
        </w:rPr>
        <w:t>未尽事宜双方协商解决，协商不成</w:t>
      </w:r>
      <w:r>
        <w:rPr>
          <w:rFonts w:hint="eastAsia" w:ascii="仿宋" w:hAnsi="仿宋" w:eastAsia="仿宋" w:cs="仿宋"/>
          <w:i w:val="0"/>
          <w:iCs w:val="0"/>
          <w:caps w:val="0"/>
          <w:color w:val="auto"/>
          <w:spacing w:val="0"/>
          <w:sz w:val="28"/>
          <w:szCs w:val="28"/>
          <w:lang w:val="en-US" w:eastAsia="zh-CN"/>
        </w:rPr>
        <w:t>向甲方所在地</w:t>
      </w:r>
      <w:r>
        <w:rPr>
          <w:rFonts w:hint="eastAsia" w:ascii="仿宋" w:hAnsi="仿宋" w:eastAsia="仿宋" w:cs="仿宋"/>
          <w:i w:val="0"/>
          <w:iCs w:val="0"/>
          <w:caps w:val="0"/>
          <w:color w:val="auto"/>
          <w:spacing w:val="0"/>
          <w:sz w:val="28"/>
          <w:szCs w:val="28"/>
        </w:rPr>
        <w:t>属地</w:t>
      </w:r>
      <w:r>
        <w:rPr>
          <w:rFonts w:hint="eastAsia" w:ascii="仿宋" w:hAnsi="仿宋" w:eastAsia="仿宋" w:cs="仿宋"/>
          <w:i w:val="0"/>
          <w:iCs w:val="0"/>
          <w:caps w:val="0"/>
          <w:color w:val="auto"/>
          <w:spacing w:val="0"/>
          <w:sz w:val="28"/>
          <w:szCs w:val="28"/>
          <w:lang w:val="zh-CN"/>
        </w:rPr>
        <w:t>人民法院起诉</w:t>
      </w:r>
      <w:r>
        <w:rPr>
          <w:rFonts w:hint="eastAsia" w:ascii="仿宋" w:hAnsi="仿宋" w:eastAsia="仿宋" w:cs="仿宋"/>
          <w:i w:val="0"/>
          <w:iCs w:val="0"/>
          <w:caps w:val="0"/>
          <w:color w:val="auto"/>
          <w:spacing w:val="0"/>
          <w:sz w:val="28"/>
          <w:szCs w:val="28"/>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1435A51-AF23-4CC5-B748-48D01C20BA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criptC">
    <w:panose1 w:val="00000400000000000000"/>
    <w:charset w:val="00"/>
    <w:family w:val="auto"/>
    <w:pitch w:val="default"/>
    <w:sig w:usb0="00000207" w:usb1="00000000" w:usb2="00000000" w:usb3="00000000" w:csb0="000001FF" w:csb1="00000000"/>
  </w:font>
  <w:font w:name="Rockwell Condensed">
    <w:panose1 w:val="02060603050405020104"/>
    <w:charset w:val="00"/>
    <w:family w:val="auto"/>
    <w:pitch w:val="default"/>
    <w:sig w:usb0="00000003" w:usb1="00000000" w:usb2="00000000" w:usb3="00000000" w:csb0="20000001" w:csb1="00000000"/>
  </w:font>
  <w:font w:name="Proxy 4">
    <w:panose1 w:val="00000400000000000000"/>
    <w:charset w:val="00"/>
    <w:family w:val="auto"/>
    <w:pitch w:val="default"/>
    <w:sig w:usb0="80000023" w:usb1="00000000" w:usb2="00000000" w:usb3="00000000" w:csb0="0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embedRegular r:id="rId2" w:fontKey="{7C5A1E4A-7409-435C-B3DB-6A3AA6C39D39}"/>
  </w:font>
  <w:font w:name="方正小标宋_GBK">
    <w:panose1 w:val="02000000000000000000"/>
    <w:charset w:val="86"/>
    <w:family w:val="auto"/>
    <w:pitch w:val="default"/>
    <w:sig w:usb0="A00002BF" w:usb1="38CF7CFA" w:usb2="00082016" w:usb3="00000000" w:csb0="00040001" w:csb1="00000000"/>
    <w:embedRegular r:id="rId3" w:fontKey="{B467FAFC-6660-480D-A7B0-58F9081C7358}"/>
  </w:font>
  <w:font w:name="Calibri Light">
    <w:panose1 w:val="020F03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8BA229"/>
    <w:multiLevelType w:val="singleLevel"/>
    <w:tmpl w:val="2F8BA22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A93A98"/>
    <w:rsid w:val="3DA93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2025-03-05T05:56:00Z</dcterms:created>
  <dc:creator>康立伟</dc:creator>
  <cp:lastModifiedBy>康立伟</cp:lastModifiedBy>
  <dcterms:modified xsi:type="dcterms:W3CDTF">2025-03-05T06:37:22Z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A2650B69F6634E2A89EF91AAB51B79C8_11</vt:lpwstr>
  </property>
  <property fmtid="{D5CDD505-2E9C-101B-9397-08002B2CF9AE}" pid="4" name="KSOTemplateDocerSaveRecord">
    <vt:lpwstr>eyJoZGlkIjoiZTNiMmJjMGUyMDNhMGI0MjllZTc4OTE3ODRjOTBjMWQiLCJ1c2VySWQiOiIyNjgyNDUwOTkifQ==</vt:lpwstr>
  </property>
</Properties>
</file>