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680"/>
        </w:tabs>
        <w:rPr>
          <w:sz w:val="24"/>
          <w:highlight w:val="none"/>
        </w:rPr>
      </w:pPr>
      <w:r>
        <w:rPr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3388995</wp:posOffset>
                </wp:positionV>
                <wp:extent cx="5593080" cy="700405"/>
                <wp:effectExtent l="0" t="0" r="9525" b="1270"/>
                <wp:wrapNone/>
                <wp:docPr id="54776" name="文本框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593080" cy="700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right"/>
                              <w:rPr>
                                <w:rFonts w:ascii="黑体" w:hAnsi="黑体" w:eastAsia="黑体"/>
                                <w:b/>
                                <w:bCs/>
                                <w:kern w:val="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/>
                                <w:bCs/>
                                <w:kern w:val="0"/>
                                <w:sz w:val="52"/>
                                <w:szCs w:val="52"/>
                              </w:rPr>
                              <w:t>采购技术文件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06" o:spid="_x0000_s1026" o:spt="1" style="position:absolute;left:0pt;margin-left:-22.7pt;margin-top:266.85pt;height:55.15pt;width:440.4pt;z-index:251660288;mso-width-relative:page;mso-height-relative:page;" fillcolor="#FFFFFF" filled="t" stroked="f" coordsize="21600,21600" o:gfxdata="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G/4FMDYAAAACwEAAA8AAAAAAAAAAQAgAAAAIgAAAGRycy9kb3ducmV2Lnht&#10;bFBLAQIUABQAAAAIAIdO4kCQ+xLxMgIAAEwEAAAOAAAAAAAAAAEAIAAAACcBAABkcnMvZTJvRG9j&#10;LnhtbFBLBQYAAAAABgAGAFkBAADL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right"/>
                        <w:rPr>
                          <w:rFonts w:ascii="黑体" w:hAnsi="黑体" w:eastAsia="黑体"/>
                          <w:b/>
                          <w:bCs/>
                          <w:kern w:val="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/>
                          <w:bCs/>
                          <w:kern w:val="0"/>
                          <w:sz w:val="52"/>
                          <w:szCs w:val="52"/>
                        </w:rPr>
                        <w:t>采购技术文件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-422275</wp:posOffset>
                </wp:positionH>
                <wp:positionV relativeFrom="paragraph">
                  <wp:posOffset>1805940</wp:posOffset>
                </wp:positionV>
                <wp:extent cx="5711825" cy="1425575"/>
                <wp:effectExtent l="0" t="0" r="9525" b="10160"/>
                <wp:wrapNone/>
                <wp:docPr id="54777" name="文本框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711825" cy="142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黑体" w:hAnsi="黑体" w:eastAsia="黑体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kern w:val="0"/>
                                <w:sz w:val="44"/>
                                <w:szCs w:val="44"/>
                                <w:lang w:val="en-US" w:eastAsia="zh-CN"/>
                              </w:rPr>
                              <w:t>佛山宝塘储能电站门窗三性、生活饮用水检测和空气质量检测零星采购项目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08" o:spid="_x0000_s1026" o:spt="1" style="position:absolute;left:0pt;margin-left:-33.25pt;margin-top:142.2pt;height:112.25pt;width:449.75pt;z-index:251662336;mso-width-relative:page;mso-height-relative:page;" fillcolor="#FFFFFF" filled="t" stroked="f" coordsize="21600,21600" o:gfxdata="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g8DOy2QAAAAsBAAAPAAAAAAAAAAEAIAAAACIAAABkcnMvZG93bnJldi54&#10;bWxQSwECFAAUAAAACACHTuJA1ZJvHjICAABNBAAADgAAAAAAAAABACAAAAAoAQAAZHJzL2Uyb0Rv&#10;Yy54bWxQSwUGAAAAAAYABgBZAQAAzA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黑体" w:hAnsi="黑体" w:eastAsia="黑体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kern w:val="0"/>
                          <w:sz w:val="44"/>
                          <w:szCs w:val="44"/>
                          <w:lang w:val="en-US" w:eastAsia="zh-CN"/>
                        </w:rPr>
                        <w:t>佛山宝塘储能电站门窗三性、生活饮用水检测和空气质量检测零星采购项目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4"/>
          <w:highlight w:val="non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-6350</wp:posOffset>
            </wp:positionH>
            <wp:positionV relativeFrom="page">
              <wp:posOffset>-24765</wp:posOffset>
            </wp:positionV>
            <wp:extent cx="7599045" cy="6250940"/>
            <wp:effectExtent l="0" t="0" r="635" b="10160"/>
            <wp:wrapTopAndBottom/>
            <wp:docPr id="54778" name="图片 307" descr="说明: D02-L [Converted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78" name="图片 307" descr="说明: D02-L [Converted]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99045" cy="625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highlight w:val="none"/>
          <w:shd w:val="clear" w:color="FFFFFF" w:fill="D9D9D9"/>
          <w:lang w:val="en-US" w:eastAsia="zh-CN"/>
        </w:rPr>
        <w:t>·</w:t>
      </w:r>
    </w:p>
    <w:p>
      <w:pPr>
        <w:widowControl/>
        <w:tabs>
          <w:tab w:val="left" w:pos="7680"/>
        </w:tabs>
        <w:jc w:val="left"/>
        <w:rPr>
          <w:sz w:val="24"/>
          <w:highlight w:val="none"/>
        </w:rPr>
      </w:pPr>
    </w:p>
    <w:p>
      <w:pPr>
        <w:rPr>
          <w:sz w:val="24"/>
          <w:highlight w:val="none"/>
        </w:rPr>
      </w:pPr>
    </w:p>
    <w:p>
      <w:pPr>
        <w:pStyle w:val="21"/>
        <w:ind w:firstLine="480"/>
        <w:rPr>
          <w:highlight w:val="none"/>
        </w:rPr>
      </w:pPr>
    </w:p>
    <w:p>
      <w:pPr>
        <w:rPr>
          <w:highlight w:val="none"/>
        </w:rPr>
      </w:pPr>
    </w:p>
    <w:p>
      <w:pPr>
        <w:tabs>
          <w:tab w:val="left" w:pos="7680"/>
        </w:tabs>
        <w:rPr>
          <w:b/>
          <w:sz w:val="24"/>
          <w:highlight w:val="none"/>
        </w:rPr>
      </w:pPr>
    </w:p>
    <w:p>
      <w:pPr>
        <w:widowControl/>
        <w:tabs>
          <w:tab w:val="left" w:pos="7680"/>
        </w:tabs>
        <w:jc w:val="left"/>
        <w:rPr>
          <w:b/>
          <w:sz w:val="24"/>
          <w:highlight w:val="none"/>
        </w:rPr>
      </w:pPr>
    </w:p>
    <w:p>
      <w:pPr>
        <w:tabs>
          <w:tab w:val="left" w:pos="7680"/>
        </w:tabs>
        <w:rPr>
          <w:b/>
          <w:sz w:val="24"/>
          <w:highlight w:val="none"/>
        </w:rPr>
      </w:pPr>
      <w:r>
        <w:rPr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650875</wp:posOffset>
                </wp:positionH>
                <wp:positionV relativeFrom="paragraph">
                  <wp:posOffset>93980</wp:posOffset>
                </wp:positionV>
                <wp:extent cx="4135755" cy="1469390"/>
                <wp:effectExtent l="0" t="0" r="0" b="0"/>
                <wp:wrapNone/>
                <wp:docPr id="54779" name="文本框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928967" cy="793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 w:val="0"/>
                              <w:snapToGrid w:val="0"/>
                              <w:ind w:firstLine="0" w:firstLineChars="0"/>
                              <w:jc w:val="center"/>
                              <w:textAlignment w:val="auto"/>
                              <w:rPr>
                                <w:rFonts w:eastAsia="黑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eastAsia="黑体"/>
                                <w:sz w:val="36"/>
                                <w:szCs w:val="36"/>
                              </w:rPr>
                              <w:t>南方电网调峰调频</w:t>
                            </w:r>
                            <w:r>
                              <w:rPr>
                                <w:rFonts w:hint="eastAsia" w:eastAsia="黑体"/>
                                <w:sz w:val="36"/>
                                <w:szCs w:val="36"/>
                                <w:lang w:eastAsia="zh-CN"/>
                              </w:rPr>
                              <w:t>（</w:t>
                            </w:r>
                            <w:r>
                              <w:rPr>
                                <w:rFonts w:hint="eastAsia" w:eastAsia="黑体"/>
                                <w:sz w:val="36"/>
                                <w:szCs w:val="36"/>
                                <w:lang w:val="en-US" w:eastAsia="zh-CN"/>
                              </w:rPr>
                              <w:t>佛山）储能科技有限公司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 w:val="0"/>
                              <w:snapToGrid w:val="0"/>
                              <w:ind w:firstLine="0" w:firstLineChars="0"/>
                              <w:jc w:val="center"/>
                              <w:textAlignment w:val="auto"/>
                              <w:rPr>
                                <w:rFonts w:eastAsia="黑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黑体"/>
                                <w:sz w:val="36"/>
                                <w:szCs w:val="36"/>
                              </w:rPr>
                              <w:t>20</w:t>
                            </w:r>
                            <w:r>
                              <w:rPr>
                                <w:rFonts w:hint="eastAsia" w:eastAsia="黑体"/>
                                <w:sz w:val="36"/>
                                <w:szCs w:val="36"/>
                              </w:rPr>
                              <w:t>2</w:t>
                            </w:r>
                            <w:r>
                              <w:rPr>
                                <w:rFonts w:hint="eastAsia" w:eastAsia="黑体"/>
                                <w:sz w:val="36"/>
                                <w:szCs w:val="36"/>
                                <w:lang w:val="en-US" w:eastAsia="zh-CN"/>
                              </w:rPr>
                              <w:t>5</w:t>
                            </w:r>
                            <w:r>
                              <w:rPr>
                                <w:rFonts w:eastAsia="黑体"/>
                                <w:sz w:val="36"/>
                                <w:szCs w:val="36"/>
                              </w:rPr>
                              <w:t>年</w:t>
                            </w:r>
                            <w:r>
                              <w:rPr>
                                <w:rFonts w:hint="eastAsia" w:eastAsia="黑体"/>
                                <w:sz w:val="36"/>
                                <w:szCs w:val="36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eastAsia="黑体"/>
                                <w:sz w:val="36"/>
                                <w:szCs w:val="36"/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05" o:spid="_x0000_s1026" o:spt="1" style="position:absolute;left:0pt;margin-left:51.25pt;margin-top:7.4pt;height:115.7pt;width:325.65pt;z-index:251663360;mso-width-relative:page;mso-height-relative:page;" filled="f" stroked="f" coordsize="21600,21600" o:gfxdata="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TlLzvdoA&#10;AAAKAQAADwAAAAAAAAABACAAAAAiAAAAZHJzL2Rvd25yZXYueG1sUEsBAhQAFAAAAAgAh07iQDhI&#10;tp8dAgAAIwQAAA4AAAAAAAAAAQAgAAAAKQEAAGRycy9lMm9Eb2MueG1sUEsFBgAAAAAGAAYAWQEA&#10;ALg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 w:val="0"/>
                        <w:snapToGrid w:val="0"/>
                        <w:ind w:firstLine="0" w:firstLineChars="0"/>
                        <w:jc w:val="center"/>
                        <w:textAlignment w:val="auto"/>
                        <w:rPr>
                          <w:rFonts w:eastAsia="黑体"/>
                          <w:sz w:val="36"/>
                          <w:szCs w:val="36"/>
                        </w:rPr>
                      </w:pPr>
                      <w:r>
                        <w:rPr>
                          <w:rFonts w:hint="eastAsia" w:eastAsia="黑体"/>
                          <w:sz w:val="36"/>
                          <w:szCs w:val="36"/>
                        </w:rPr>
                        <w:t>南方电网调峰调频</w:t>
                      </w:r>
                      <w:r>
                        <w:rPr>
                          <w:rFonts w:hint="eastAsia" w:eastAsia="黑体"/>
                          <w:sz w:val="36"/>
                          <w:szCs w:val="36"/>
                          <w:lang w:eastAsia="zh-CN"/>
                        </w:rPr>
                        <w:t>（</w:t>
                      </w:r>
                      <w:r>
                        <w:rPr>
                          <w:rFonts w:hint="eastAsia" w:eastAsia="黑体"/>
                          <w:sz w:val="36"/>
                          <w:szCs w:val="36"/>
                          <w:lang w:val="en-US" w:eastAsia="zh-CN"/>
                        </w:rPr>
                        <w:t>佛山）储能科技有限公司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 w:val="0"/>
                        <w:snapToGrid w:val="0"/>
                        <w:ind w:firstLine="0" w:firstLineChars="0"/>
                        <w:jc w:val="center"/>
                        <w:textAlignment w:val="auto"/>
                        <w:rPr>
                          <w:rFonts w:eastAsia="黑体"/>
                          <w:sz w:val="36"/>
                          <w:szCs w:val="36"/>
                        </w:rPr>
                      </w:pPr>
                      <w:r>
                        <w:rPr>
                          <w:rFonts w:eastAsia="黑体"/>
                          <w:sz w:val="36"/>
                          <w:szCs w:val="36"/>
                        </w:rPr>
                        <w:t>20</w:t>
                      </w:r>
                      <w:r>
                        <w:rPr>
                          <w:rFonts w:hint="eastAsia" w:eastAsia="黑体"/>
                          <w:sz w:val="36"/>
                          <w:szCs w:val="36"/>
                        </w:rPr>
                        <w:t>2</w:t>
                      </w:r>
                      <w:r>
                        <w:rPr>
                          <w:rFonts w:hint="eastAsia" w:eastAsia="黑体"/>
                          <w:sz w:val="36"/>
                          <w:szCs w:val="36"/>
                          <w:lang w:val="en-US" w:eastAsia="zh-CN"/>
                        </w:rPr>
                        <w:t>5</w:t>
                      </w:r>
                      <w:r>
                        <w:rPr>
                          <w:rFonts w:eastAsia="黑体"/>
                          <w:sz w:val="36"/>
                          <w:szCs w:val="36"/>
                        </w:rPr>
                        <w:t>年</w:t>
                      </w:r>
                      <w:r>
                        <w:rPr>
                          <w:rFonts w:hint="eastAsia" w:eastAsia="黑体"/>
                          <w:sz w:val="36"/>
                          <w:szCs w:val="36"/>
                          <w:lang w:val="en-US" w:eastAsia="zh-CN"/>
                        </w:rPr>
                        <w:t>3</w:t>
                      </w:r>
                      <w:r>
                        <w:rPr>
                          <w:rFonts w:eastAsia="黑体"/>
                          <w:sz w:val="36"/>
                          <w:szCs w:val="36"/>
                        </w:rPr>
                        <w:t>月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tabs>
          <w:tab w:val="left" w:pos="7680"/>
        </w:tabs>
        <w:rPr>
          <w:b/>
          <w:sz w:val="24"/>
          <w:highlight w:val="none"/>
        </w:rPr>
      </w:pPr>
    </w:p>
    <w:p>
      <w:pPr>
        <w:pStyle w:val="11"/>
        <w:tabs>
          <w:tab w:val="left" w:pos="7680"/>
        </w:tabs>
        <w:spacing w:line="360" w:lineRule="auto"/>
        <w:ind w:left="1960" w:firstLine="560"/>
        <w:rPr>
          <w:rFonts w:hint="default" w:ascii="Times New Roman" w:hAnsi="Times New Roman"/>
          <w:color w:val="000000"/>
          <w:sz w:val="24"/>
          <w:szCs w:val="24"/>
          <w:highlight w:val="none"/>
        </w:rPr>
      </w:pPr>
    </w:p>
    <w:p>
      <w:pPr>
        <w:jc w:val="center"/>
        <w:rPr>
          <w:b/>
          <w:bCs/>
          <w:sz w:val="24"/>
          <w:highlight w:val="none"/>
        </w:rPr>
      </w:pPr>
      <w: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b/>
          <w:bCs/>
          <w:sz w:val="32"/>
          <w:szCs w:val="32"/>
          <w:highlight w:val="none"/>
        </w:rPr>
      </w:pPr>
      <w:r>
        <w:rPr>
          <w:rFonts w:hint="eastAsia"/>
          <w:b/>
          <w:bCs/>
          <w:sz w:val="32"/>
          <w:szCs w:val="32"/>
          <w:highlight w:val="none"/>
        </w:rPr>
        <w:t>佛山宝塘储能电站</w:t>
      </w:r>
      <w:r>
        <w:rPr>
          <w:rFonts w:hint="eastAsia"/>
          <w:b/>
          <w:bCs/>
          <w:sz w:val="32"/>
          <w:szCs w:val="32"/>
          <w:highlight w:val="none"/>
          <w:lang w:val="en-US" w:eastAsia="zh-CN"/>
        </w:rPr>
        <w:t>门窗三性、</w:t>
      </w:r>
      <w:r>
        <w:rPr>
          <w:rFonts w:hint="eastAsia"/>
          <w:b/>
          <w:bCs/>
          <w:sz w:val="32"/>
          <w:szCs w:val="32"/>
          <w:highlight w:val="none"/>
        </w:rPr>
        <w:t>生活饮用水检测和空气质量检测零星采购技术文件</w:t>
      </w:r>
    </w:p>
    <w:p>
      <w:pPr>
        <w:pStyle w:val="2"/>
        <w:numPr>
          <w:ilvl w:val="0"/>
          <w:numId w:val="1"/>
        </w:numPr>
        <w:bidi w:val="0"/>
      </w:pPr>
      <w:r>
        <w:rPr>
          <w:rFonts w:hint="eastAsia"/>
        </w:rPr>
        <w:t>工程概况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佛山宝塘储能电站位于广东省佛山市南海区狮山镇小塘工业大道，占地面积为57.5亩。建设容量300MW/600MWh，其主要作用在于缓解电网调峰压力，提高系统运行灵活性，作为电网供电能力的有益补充，满足本项目近区电力需求快速增长的需要，缓解电网运行压力，延缓输变电工程投资建设，保障电网安全经济运行。</w:t>
      </w:r>
    </w:p>
    <w:p>
      <w:pPr>
        <w:bidi w:val="0"/>
        <w:rPr>
          <w:rFonts w:hint="default" w:eastAsia="仿宋_GB2312"/>
          <w:lang w:val="en-US" w:eastAsia="zh-CN"/>
        </w:rPr>
      </w:pPr>
      <w:r>
        <w:rPr>
          <w:rFonts w:hint="eastAsia" w:ascii="宋体" w:hAnsi="宋体"/>
          <w:color w:val="000000"/>
          <w:szCs w:val="21"/>
        </w:rPr>
        <w:t>本项目拟</w:t>
      </w:r>
      <w:r>
        <w:rPr>
          <w:rFonts w:hint="eastAsia" w:ascii="宋体" w:hAnsi="宋体"/>
          <w:color w:val="000000"/>
          <w:szCs w:val="21"/>
          <w:lang w:val="en-US" w:eastAsia="zh-CN"/>
        </w:rPr>
        <w:t>采购</w:t>
      </w:r>
      <w:r>
        <w:rPr>
          <w:rFonts w:hint="eastAsia"/>
          <w:lang w:val="en-US" w:eastAsia="zh-CN"/>
        </w:rPr>
        <w:t>佛山宝塘储能电站站内的门窗三性、生活饮用水及空气质量检测技术服务，承包商须按规范要求进行检测并出具相关报告，具体检测工作量需按照相关规范并对照项目图纸进行估计，项目相关</w:t>
      </w:r>
      <w:bookmarkStart w:id="0" w:name="_GoBack"/>
      <w:bookmarkEnd w:id="0"/>
      <w:r>
        <w:rPr>
          <w:rFonts w:hint="eastAsia"/>
          <w:lang w:val="en-US" w:eastAsia="zh-CN"/>
        </w:rPr>
        <w:t>图纸见附件。</w:t>
      </w:r>
    </w:p>
    <w:p>
      <w:pPr>
        <w:pStyle w:val="21"/>
        <w:ind w:firstLine="480"/>
        <w:jc w:val="both"/>
        <w:rPr>
          <w:sz w:val="24"/>
          <w:szCs w:val="24"/>
          <w:highlight w:val="yellow"/>
        </w:rPr>
      </w:pPr>
    </w:p>
    <w:p>
      <w:pPr>
        <w:pStyle w:val="2"/>
        <w:numPr>
          <w:ilvl w:val="0"/>
          <w:numId w:val="1"/>
        </w:numPr>
        <w:bidi w:val="0"/>
        <w:rPr>
          <w:rFonts w:hint="eastAsia" w:eastAsia="宋体" w:cs="Times New Roman"/>
        </w:rPr>
      </w:pPr>
      <w:r>
        <w:rPr>
          <w:rFonts w:hint="eastAsia" w:eastAsia="宋体" w:cs="Times New Roman"/>
          <w:lang w:val="en-US" w:eastAsia="zh-CN"/>
        </w:rPr>
        <w:t>承包人须遵循的</w:t>
      </w:r>
      <w:r>
        <w:rPr>
          <w:rFonts w:hint="eastAsia" w:eastAsia="宋体" w:cs="Times New Roman"/>
        </w:rPr>
        <w:t>规范</w:t>
      </w:r>
    </w:p>
    <w:p>
      <w:pPr>
        <w:bidi w:val="0"/>
        <w:ind w:firstLine="48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门窗三性：GB/T 7106-2019《建筑外门窗气密性、水密性、抗风压性能分级及检测方法》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生活饮用水：《生活饮用水卫生标准》（GB 5749-2006）；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空气质量：《环境空气质量标准》（GB 3095-2012）。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其他相关的国家、行业、南方电网公司规范、制度及设计文件等，以上技术文件和规范以最新版本为准。</w:t>
      </w:r>
    </w:p>
    <w:p>
      <w:pPr>
        <w:pStyle w:val="21"/>
        <w:numPr>
          <w:ilvl w:val="0"/>
          <w:numId w:val="0"/>
        </w:numPr>
        <w:ind w:firstLine="480"/>
        <w:rPr>
          <w:rFonts w:eastAsia="宋体" w:cs="宋体"/>
          <w:highlight w:val="none"/>
        </w:rPr>
      </w:pPr>
    </w:p>
    <w:p>
      <w:pPr>
        <w:pStyle w:val="2"/>
        <w:numPr>
          <w:ilvl w:val="0"/>
          <w:numId w:val="1"/>
        </w:numPr>
        <w:bidi w:val="0"/>
        <w:rPr>
          <w:rFonts w:hint="eastAsia" w:eastAsia="宋体" w:cs="Times New Roman"/>
        </w:rPr>
      </w:pPr>
      <w:r>
        <w:rPr>
          <w:rFonts w:hint="eastAsia" w:eastAsia="宋体" w:cs="Times New Roman"/>
        </w:rPr>
        <w:t>技术</w:t>
      </w:r>
      <w:r>
        <w:rPr>
          <w:rFonts w:hint="eastAsia" w:eastAsia="宋体" w:cs="Times New Roman"/>
          <w:lang w:val="en-US" w:eastAsia="zh-CN"/>
        </w:rPr>
        <w:t>要求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1. 生活饮用水检测要求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检测项目：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常规指标：pH、浑浊度、色度、臭和味、肉眼可见物、余氯等；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微生物指标：菌落总数、总大肠菌群、耐热大肠菌群等；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毒理学指标：砷、镉、铅、汞、硒等；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放射性指标：总α放射性、总β放射性等。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检测方法： 采用国家及行业标准方法，如《生活饮用水标准检验方法》（GB/T 5750-2006）。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采样点设置： 在电站生活区、办公区、供水管网等关键点布设采样点。</w:t>
      </w:r>
    </w:p>
    <w:p>
      <w:pPr>
        <w:bidi w:val="0"/>
        <w:ind w:firstLine="48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2. 空气质量检测要求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检测项目：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甲醛、苯、甲苯、二甲苯、TVOC、氡、氨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检测方法： 采用《环境空气质量监测技术规范》（HJ/T 194-2005）及相应标准方法。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采样点设置： 在电站厂界及周边敏感点布设固定或移动采样点。</w:t>
      </w:r>
    </w:p>
    <w:p>
      <w:pPr>
        <w:numPr>
          <w:ilvl w:val="0"/>
          <w:numId w:val="2"/>
        </w:numPr>
        <w:bidi w:val="0"/>
        <w:ind w:firstLine="48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门窗三性检测要求：</w:t>
      </w:r>
    </w:p>
    <w:p>
      <w:pPr>
        <w:numPr>
          <w:ilvl w:val="0"/>
          <w:numId w:val="0"/>
        </w:numPr>
        <w:bidi w:val="0"/>
        <w:ind w:firstLine="56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检测项目：a.气密性检测：测定门窗在不同压力差下的空气渗透量，确定气密性能等级。</w:t>
      </w:r>
    </w:p>
    <w:p>
      <w:pPr>
        <w:numPr>
          <w:ilvl w:val="0"/>
          <w:numId w:val="0"/>
        </w:numPr>
        <w:bidi w:val="0"/>
        <w:ind w:firstLine="56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b.水密性检测：测定门窗在不同淋水量和风压作用下的渗漏情况，确定水密性能等级。</w:t>
      </w:r>
    </w:p>
    <w:p>
      <w:pPr>
        <w:numPr>
          <w:ilvl w:val="0"/>
          <w:numId w:val="0"/>
        </w:numPr>
        <w:bidi w:val="0"/>
        <w:ind w:firstLine="56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c.抗风压性检测：测定门窗在不同风压作用下的变形和承载能力，确定抗风压性能等级</w:t>
      </w:r>
    </w:p>
    <w:p>
      <w:pPr>
        <w:pStyle w:val="2"/>
        <w:numPr>
          <w:ilvl w:val="0"/>
          <w:numId w:val="1"/>
        </w:numPr>
        <w:bidi w:val="0"/>
        <w:rPr>
          <w:rFonts w:hint="eastAsia" w:eastAsia="宋体" w:cs="Times New Roman"/>
        </w:rPr>
      </w:pPr>
      <w:r>
        <w:rPr>
          <w:rFonts w:hint="eastAsia" w:eastAsia="宋体" w:cs="Times New Roman"/>
        </w:rPr>
        <w:t>工作</w:t>
      </w:r>
      <w:r>
        <w:rPr>
          <w:rFonts w:hint="eastAsia" w:eastAsia="宋体" w:cs="Times New Roman"/>
          <w:lang w:val="en-US" w:eastAsia="zh-CN"/>
        </w:rPr>
        <w:t>范围</w:t>
      </w:r>
      <w:r>
        <w:rPr>
          <w:rFonts w:hint="eastAsia" w:eastAsia="宋体" w:cs="Times New Roman"/>
        </w:rPr>
        <w:t>和成果</w:t>
      </w:r>
    </w:p>
    <w:p>
      <w:pPr>
        <w:bidi w:val="0"/>
        <w:ind w:firstLine="48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检测点位：覆盖办公区、生活区、控制室等人员密集区域，不得少于相关规范的要求布置的监测点位；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检测后7个工作日内提交正式检测报告；</w:t>
      </w:r>
    </w:p>
    <w:p>
      <w:pPr>
        <w:bidi w:val="0"/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报告需加盖CMA或CNAS等认证章，内容真实、准确、完整。</w:t>
      </w:r>
    </w:p>
    <w:p>
      <w:pPr>
        <w:pStyle w:val="8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验收标准</w:t>
      </w:r>
    </w:p>
    <w:p>
      <w:pPr>
        <w:pStyle w:val="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1、检测数据准确无误，符合国家相关标准要求；</w:t>
      </w:r>
    </w:p>
    <w:p>
      <w:pPr>
        <w:pStyle w:val="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2、检测报告格式规范，内容完整，结论清晰；</w:t>
      </w:r>
    </w:p>
    <w:p>
      <w:pPr>
        <w:pStyle w:val="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3、检测服务及时到位，满足甲方需求。</w:t>
      </w:r>
    </w:p>
    <w:p>
      <w:pPr>
        <w:rPr>
          <w:rFonts w:hint="eastAsia"/>
          <w:lang w:val="en-US" w:eastAsia="zh-CN"/>
        </w:rPr>
      </w:pPr>
    </w:p>
    <w:p>
      <w:pPr>
        <w:bidi w:val="0"/>
        <w:ind w:firstLine="480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headerReference r:id="rId7" w:type="first"/>
      <w:headerReference r:id="rId5" w:type="default"/>
      <w:headerReference r:id="rId6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T Xingkai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PowerPlusWaterMarkObject1026" o:spid="_x0000_s2050" o:spt="136" type="#_x0000_t136" style="position:absolute;left:0pt;height:84.85pt;width:383.25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CSG    CSG" style="font-family:Times New Roman;font-size:75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PowerPlusWaterMarkObject1025" o:spid="_x0000_s2049" o:spt="136" type="#_x0000_t136" style="position:absolute;left:0pt;height:84.85pt;width:383.25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CSG    CSG" style="font-family:Times New Roman;font-size:75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PowerPlusWaterMarkObject1027" o:spid="_x0000_s2051" o:spt="136" type="#_x0000_t136" style="position:absolute;left:0pt;height:84.85pt;width:383.25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CSG    CSG" style="font-family:Times New Roman;font-size:75pt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440788"/>
    <w:multiLevelType w:val="singleLevel"/>
    <w:tmpl w:val="95440788"/>
    <w:lvl w:ilvl="0" w:tentative="0">
      <w:start w:val="3"/>
      <w:numFmt w:val="decimal"/>
      <w:suff w:val="space"/>
      <w:lvlText w:val="%1."/>
      <w:lvlJc w:val="left"/>
    </w:lvl>
  </w:abstractNum>
  <w:abstractNum w:abstractNumId="1">
    <w:nsid w:val="0053208E"/>
    <w:multiLevelType w:val="singleLevel"/>
    <w:tmpl w:val="0053208E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wODQ1MDU2NmNiYjQ1ZjY2OWFiZjMzYTM4ZTZjNDAifQ=="/>
  </w:docVars>
  <w:rsids>
    <w:rsidRoot w:val="00000000"/>
    <w:rsid w:val="01B8360A"/>
    <w:rsid w:val="043A79D7"/>
    <w:rsid w:val="089A3866"/>
    <w:rsid w:val="097D7EAF"/>
    <w:rsid w:val="0A0C48AD"/>
    <w:rsid w:val="0D2E6BFD"/>
    <w:rsid w:val="117A19B7"/>
    <w:rsid w:val="12F37781"/>
    <w:rsid w:val="13685067"/>
    <w:rsid w:val="149F64D6"/>
    <w:rsid w:val="17802DEB"/>
    <w:rsid w:val="198A2AC1"/>
    <w:rsid w:val="1B66455F"/>
    <w:rsid w:val="1CA13E7F"/>
    <w:rsid w:val="1EE21F2B"/>
    <w:rsid w:val="204F718E"/>
    <w:rsid w:val="21D55B9A"/>
    <w:rsid w:val="21DD6039"/>
    <w:rsid w:val="24466453"/>
    <w:rsid w:val="248D2A40"/>
    <w:rsid w:val="25E77628"/>
    <w:rsid w:val="26225067"/>
    <w:rsid w:val="29FA09E7"/>
    <w:rsid w:val="2AA23EBA"/>
    <w:rsid w:val="2AD11E8A"/>
    <w:rsid w:val="2AF44C85"/>
    <w:rsid w:val="2CCF3C98"/>
    <w:rsid w:val="2D21631A"/>
    <w:rsid w:val="2E450096"/>
    <w:rsid w:val="2F23768A"/>
    <w:rsid w:val="2F666AFC"/>
    <w:rsid w:val="30065E78"/>
    <w:rsid w:val="307F111D"/>
    <w:rsid w:val="325501D4"/>
    <w:rsid w:val="331B6301"/>
    <w:rsid w:val="393C667D"/>
    <w:rsid w:val="39F43063"/>
    <w:rsid w:val="3ABB3115"/>
    <w:rsid w:val="3BDE36FA"/>
    <w:rsid w:val="403126A3"/>
    <w:rsid w:val="405779A5"/>
    <w:rsid w:val="415231A7"/>
    <w:rsid w:val="41E97689"/>
    <w:rsid w:val="43DE4A77"/>
    <w:rsid w:val="44393A89"/>
    <w:rsid w:val="4ACD21D8"/>
    <w:rsid w:val="4B50661E"/>
    <w:rsid w:val="4DDD3691"/>
    <w:rsid w:val="4F711331"/>
    <w:rsid w:val="52224F28"/>
    <w:rsid w:val="533372ED"/>
    <w:rsid w:val="58CE048A"/>
    <w:rsid w:val="59680383"/>
    <w:rsid w:val="5B2005B3"/>
    <w:rsid w:val="5C4343D3"/>
    <w:rsid w:val="61766036"/>
    <w:rsid w:val="626E7A51"/>
    <w:rsid w:val="634604EA"/>
    <w:rsid w:val="63946FE8"/>
    <w:rsid w:val="649B7296"/>
    <w:rsid w:val="66FF5EE5"/>
    <w:rsid w:val="67C506DA"/>
    <w:rsid w:val="6A157F7B"/>
    <w:rsid w:val="6C0E3E4D"/>
    <w:rsid w:val="730D6260"/>
    <w:rsid w:val="73136DA7"/>
    <w:rsid w:val="7B8C26F4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480" w:firstLineChars="200"/>
      <w:jc w:val="both"/>
    </w:pPr>
    <w:rPr>
      <w:rFonts w:eastAsia="仿宋_GB2312" w:asciiTheme="minorAscii" w:hAnsiTheme="minorAscii" w:cstheme="minorBidi"/>
      <w:kern w:val="2"/>
      <w:sz w:val="28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="340" w:after="330" w:line="578" w:lineRule="auto"/>
      <w:outlineLvl w:val="0"/>
    </w:pPr>
    <w:rPr>
      <w:rFonts w:eastAsia="宋体" w:cs="Times New Roman" w:asciiTheme="minorAscii" w:hAnsiTheme="minorAscii"/>
      <w:b/>
      <w:bCs/>
      <w:kern w:val="44"/>
      <w:sz w:val="32"/>
      <w:szCs w:val="44"/>
    </w:rPr>
  </w:style>
  <w:style w:type="paragraph" w:styleId="3">
    <w:name w:val="heading 2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 w:cs="Times New Roman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next w:val="9"/>
    <w:qFormat/>
    <w:uiPriority w:val="0"/>
    <w:pPr>
      <w:spacing w:after="120"/>
    </w:pPr>
  </w:style>
  <w:style w:type="paragraph" w:styleId="9">
    <w:name w:val="Title"/>
    <w:basedOn w:val="1"/>
    <w:next w:val="1"/>
    <w:qFormat/>
    <w:uiPriority w:val="0"/>
    <w:pPr>
      <w:adjustRightInd/>
      <w:spacing w:before="240" w:after="60" w:line="240" w:lineRule="auto"/>
      <w:ind w:firstLine="0" w:firstLineChars="0"/>
      <w:jc w:val="center"/>
      <w:textAlignment w:val="auto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10">
    <w:name w:val="Body Text Indent"/>
    <w:basedOn w:val="1"/>
    <w:qFormat/>
    <w:uiPriority w:val="0"/>
    <w:pPr>
      <w:ind w:firstLine="480"/>
    </w:pPr>
    <w:rPr>
      <w:rFonts w:ascii="宋体"/>
      <w:color w:val="FF0000"/>
      <w:sz w:val="24"/>
    </w:rPr>
  </w:style>
  <w:style w:type="paragraph" w:styleId="11">
    <w:name w:val="Plain Text"/>
    <w:basedOn w:val="1"/>
    <w:qFormat/>
    <w:uiPriority w:val="0"/>
    <w:rPr>
      <w:rFonts w:hint="eastAsia" w:ascii="宋体" w:hAnsi="Courier New" w:eastAsia="宋体" w:cs="Times New Roman"/>
      <w:szCs w:val="21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Body Text First Indent"/>
    <w:basedOn w:val="8"/>
    <w:qFormat/>
    <w:uiPriority w:val="0"/>
    <w:pPr>
      <w:ind w:firstLine="420" w:firstLineChars="1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page number"/>
    <w:basedOn w:val="18"/>
    <w:qFormat/>
    <w:uiPriority w:val="0"/>
  </w:style>
  <w:style w:type="paragraph" w:customStyle="1" w:styleId="21">
    <w:name w:val="样式4缩"/>
    <w:basedOn w:val="1"/>
    <w:next w:val="1"/>
    <w:qFormat/>
    <w:uiPriority w:val="0"/>
    <w:pPr>
      <w:spacing w:line="360" w:lineRule="auto"/>
      <w:ind w:firstLine="200" w:firstLineChars="200"/>
      <w:jc w:val="left"/>
    </w:pPr>
    <w:rPr>
      <w:rFonts w:ascii="宋体" w:hAnsi="宋体"/>
      <w:kern w:val="0"/>
      <w:sz w:val="24"/>
    </w:rPr>
  </w:style>
  <w:style w:type="paragraph" w:customStyle="1" w:styleId="22">
    <w:name w:val="正文字样D"/>
    <w:basedOn w:val="1"/>
    <w:semiHidden/>
    <w:qFormat/>
    <w:uiPriority w:val="0"/>
    <w:pPr>
      <w:adjustRightInd w:val="0"/>
      <w:snapToGrid w:val="0"/>
      <w:spacing w:line="490" w:lineRule="exact"/>
      <w:ind w:firstLine="560" w:firstLineChars="200"/>
      <w:jc w:val="left"/>
    </w:pPr>
    <w:rPr>
      <w:rFonts w:eastAsia="仿宋_GB2312" w:cs="宋体"/>
      <w:color w:val="000000"/>
      <w:sz w:val="28"/>
    </w:rPr>
  </w:style>
  <w:style w:type="paragraph" w:customStyle="1" w:styleId="23">
    <w:name w:val="样式 样式 标题 2 + Times New Roman 段前: 0.5 行 段后: 0.5 行 + 段前: 0.3 行 段后..."/>
    <w:basedOn w:val="1"/>
    <w:qFormat/>
    <w:uiPriority w:val="0"/>
    <w:pPr>
      <w:spacing w:beforeLines="30" w:afterLines="20" w:line="360" w:lineRule="auto"/>
      <w:outlineLvl w:val="1"/>
    </w:pPr>
    <w:rPr>
      <w:rFonts w:cs="宋体"/>
      <w:b/>
      <w:bCs/>
      <w:sz w:val="28"/>
    </w:rPr>
  </w:style>
  <w:style w:type="paragraph" w:customStyle="1" w:styleId="24">
    <w:name w:val="CM76"/>
    <w:basedOn w:val="25"/>
    <w:qFormat/>
    <w:uiPriority w:val="0"/>
    <w:pPr>
      <w:spacing w:after="293"/>
    </w:pPr>
    <w:rPr>
      <w:rFonts w:ascii="ST Xingkai" w:eastAsia="ST Xingkai" w:cs="Times New Roman"/>
      <w:color w:val="auto"/>
    </w:rPr>
  </w:style>
  <w:style w:type="paragraph" w:customStyle="1" w:styleId="2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6">
    <w:name w:val="font21"/>
    <w:basedOn w:val="18"/>
    <w:qFormat/>
    <w:uiPriority w:val="0"/>
    <w:rPr>
      <w:rFonts w:hint="default" w:ascii="仿宋_GB2312" w:eastAsia="仿宋_GB2312" w:cs="仿宋_GB2312"/>
      <w:color w:val="000000"/>
      <w:sz w:val="18"/>
      <w:szCs w:val="18"/>
      <w:u w:val="none"/>
    </w:rPr>
  </w:style>
  <w:style w:type="character" w:customStyle="1" w:styleId="27">
    <w:name w:val="font11"/>
    <w:basedOn w:val="18"/>
    <w:qFormat/>
    <w:uiPriority w:val="0"/>
    <w:rPr>
      <w:rFonts w:hint="default" w:ascii="仿宋_GB2312" w:eastAsia="仿宋_GB2312" w:cs="仿宋_GB2312"/>
      <w:color w:val="FF0000"/>
      <w:sz w:val="18"/>
      <w:szCs w:val="18"/>
      <w:u w:val="none"/>
    </w:rPr>
  </w:style>
  <w:style w:type="character" w:customStyle="1" w:styleId="28">
    <w:name w:val="font01"/>
    <w:basedOn w:val="18"/>
    <w:qFormat/>
    <w:uiPriority w:val="0"/>
    <w:rPr>
      <w:rFonts w:hint="default" w:ascii="仿宋_GB2312" w:eastAsia="仿宋_GB2312" w:cs="仿宋_GB2312"/>
      <w:color w:val="000000"/>
      <w:sz w:val="18"/>
      <w:szCs w:val="18"/>
      <w:u w:val="none"/>
    </w:rPr>
  </w:style>
  <w:style w:type="character" w:customStyle="1" w:styleId="29">
    <w:name w:val="页眉 字符"/>
    <w:basedOn w:val="1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30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31">
    <w:name w:val="font51"/>
    <w:basedOn w:val="18"/>
    <w:qFormat/>
    <w:uiPriority w:val="0"/>
    <w:rPr>
      <w:rFonts w:hint="eastAsia" w:ascii="宋体" w:hAnsi="宋体" w:eastAsia="宋体" w:cs="宋体"/>
      <w:b/>
      <w:color w:val="000000"/>
      <w:sz w:val="32"/>
      <w:szCs w:val="32"/>
      <w:u w:val="none"/>
    </w:rPr>
  </w:style>
  <w:style w:type="character" w:customStyle="1" w:styleId="32">
    <w:name w:val="font41"/>
    <w:basedOn w:val="18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33">
    <w:name w:val="font31"/>
    <w:basedOn w:val="1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4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49"/>
    <customShpInfo spid="_x0000_s2051"/>
    <customShpInfo spid="_x0000_s1026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Pages>19</Pages>
  <Words>1848</Words>
  <Characters>10536</Characters>
  <Lines>87</Lines>
  <Paragraphs>24</Paragraphs>
  <TotalTime>48</TotalTime>
  <ScaleCrop>false</ScaleCrop>
  <LinksUpToDate>false</LinksUpToDate>
  <CharactersWithSpaces>12360</CharactersWithSpaces>
  <Application>WPS Office_11.8.2.9022_F1E327BC-269C-435d-A152-05C5408002CA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2021-12-30T17:21:00Z</dcterms:created>
  <dc:creator>Administrator</dc:creator>
  <cp:lastModifiedBy>黄文锋</cp:lastModifiedBy>
  <cp:lastPrinted>2021-11-13T00:44:00Z</cp:lastPrinted>
  <dcterms:modified xsi:type="dcterms:W3CDTF">2022-02-25T09:23:28Z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4754da3-204e-47f8-9313-589622c1f86c}">
  <ds:schemaRefs/>
</ds:datastoreItem>
</file>

<file path=customXml/itemProps3.xml><?xml version="1.0" encoding="utf-8"?>
<ds:datastoreItem xmlns:ds="http://schemas.openxmlformats.org/officeDocument/2006/customXml" ds:itemID="{97da9760-30f3-4a2f-9a27-208c1da0795b}">
  <ds:schemaRefs/>
</ds:datastoreItem>
</file>

<file path=customXml/itemProps4.xml><?xml version="1.0" encoding="utf-8"?>
<ds:datastoreItem xmlns:ds="http://schemas.openxmlformats.org/officeDocument/2006/customXml" ds:itemID="{61cef448-d235-4e45-8430-0e58b21fd0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9311</Words>
  <Characters>9634</Characters>
  <Lines>87</Lines>
  <Paragraphs>24</Paragraphs>
  <TotalTime>18</TotalTime>
  <ScaleCrop>false</ScaleCrop>
  <LinksUpToDate>false</LinksUpToDate>
  <CharactersWithSpaces>9683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2021-12-30T17:21:00Z</dcterms:created>
  <dc:creator>Administrator</dc:creator>
  <cp:lastModifiedBy>汪林威</cp:lastModifiedBy>
  <cp:lastPrinted>2024-04-07T08:03:00Z</cp:lastPrinted>
  <dcterms:modified xsi:type="dcterms:W3CDTF">2025-03-06T05:54:15Z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D2AFACCD383C40688580B6C89677CDA4</vt:lpwstr>
  </property>
</Properties>
</file>