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r>
        <w:rPr>
          <w:rFonts w:hint="default" w:ascii="Times New Roman" w:hAnsi="Times New Roman" w:eastAsia="宋体" w:cs="Times New Roman"/>
          <w:b/>
          <w:bCs/>
          <w:color w:val="000000"/>
          <w:kern w:val="0"/>
          <w:sz w:val="24"/>
          <w:szCs w:val="24"/>
          <w:lang w:val="en-US" w:eastAsia="zh-CN" w:bidi="ar"/>
        </w:rPr>
        <w:t>南方电网科学研究院有限责任公司</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color w:val="000000"/>
          <w:kern w:val="0"/>
          <w:sz w:val="24"/>
          <w:szCs w:val="24"/>
          <w:lang w:val="en-US" w:eastAsia="zh-CN" w:bidi="ar"/>
        </w:rPr>
      </w:pPr>
      <w:r>
        <w:rPr>
          <w:rFonts w:hint="eastAsia" w:ascii="Times New Roman" w:hAnsi="Times New Roman" w:eastAsia="宋体" w:cs="Times New Roman"/>
          <w:b/>
          <w:bCs/>
          <w:color w:val="000000"/>
          <w:kern w:val="0"/>
          <w:sz w:val="24"/>
          <w:szCs w:val="24"/>
          <w:lang w:val="en-US" w:eastAsia="zh-CN" w:bidi="ar"/>
        </w:rPr>
        <w:t>“</w:t>
      </w:r>
      <w:r>
        <w:rPr>
          <w:rFonts w:hint="default" w:ascii="Times New Roman" w:hAnsi="Times New Roman" w:eastAsia="宋体" w:cs="Times New Roman"/>
          <w:b/>
          <w:bCs/>
          <w:color w:val="000000"/>
          <w:kern w:val="0"/>
          <w:sz w:val="24"/>
          <w:szCs w:val="24"/>
          <w:lang w:val="en-US" w:eastAsia="zh-CN" w:bidi="ar"/>
        </w:rPr>
        <w:t>电动汽车用单体蓄电池室温放电容量试验</w:t>
      </w:r>
      <w:r>
        <w:rPr>
          <w:rFonts w:hint="eastAsia" w:ascii="Times New Roman" w:hAnsi="Times New Roman" w:eastAsia="宋体" w:cs="Times New Roman"/>
          <w:b/>
          <w:bCs/>
          <w:color w:val="000000"/>
          <w:kern w:val="0"/>
          <w:sz w:val="24"/>
          <w:szCs w:val="24"/>
          <w:lang w:val="en-US" w:eastAsia="zh-CN" w:bidi="ar"/>
        </w:rPr>
        <w:t>”</w:t>
      </w:r>
      <w:r>
        <w:rPr>
          <w:rFonts w:hint="default" w:ascii="Times New Roman" w:hAnsi="Times New Roman" w:eastAsia="宋体" w:cs="Times New Roman"/>
          <w:b/>
          <w:bCs/>
          <w:color w:val="000000"/>
          <w:kern w:val="0"/>
          <w:sz w:val="24"/>
          <w:szCs w:val="24"/>
          <w:lang w:val="en-US" w:eastAsia="zh-CN" w:bidi="ar"/>
        </w:rPr>
        <w:t>能力验证服务</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r>
        <w:rPr>
          <w:rFonts w:hint="default" w:ascii="Times New Roman" w:hAnsi="Times New Roman" w:eastAsia="宋体" w:cs="Times New Roman"/>
          <w:b/>
          <w:bCs/>
          <w:color w:val="000000"/>
          <w:kern w:val="0"/>
          <w:sz w:val="24"/>
          <w:szCs w:val="24"/>
          <w:lang w:val="en-US" w:eastAsia="zh-CN" w:bidi="ar"/>
        </w:rPr>
        <w:t>零星采购技术附件</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一、采购范围及要求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 xml:space="preserve">按照GB/T </w:t>
      </w:r>
      <w:r>
        <w:rPr>
          <w:rFonts w:hint="eastAsia" w:ascii="Times New Roman" w:hAnsi="Times New Roman" w:cs="Times New Roman"/>
          <w:sz w:val="24"/>
          <w:szCs w:val="24"/>
          <w:lang w:val="en-US" w:eastAsia="zh-CN"/>
        </w:rPr>
        <w:t>31486</w:t>
      </w:r>
      <w:r>
        <w:rPr>
          <w:rFonts w:hint="eastAsia" w:ascii="Times New Roman" w:hAnsi="Times New Roman" w:cs="Times New Roman"/>
          <w:sz w:val="24"/>
          <w:szCs w:val="24"/>
          <w:lang w:eastAsia="zh-CN"/>
        </w:rPr>
        <w:t>、</w:t>
      </w:r>
      <w:r>
        <w:rPr>
          <w:rFonts w:hint="default" w:ascii="Times New Roman" w:hAnsi="Times New Roman" w:cs="Times New Roman"/>
          <w:sz w:val="24"/>
          <w:szCs w:val="24"/>
        </w:rPr>
        <w:t xml:space="preserve">GB/T </w:t>
      </w:r>
      <w:r>
        <w:rPr>
          <w:rFonts w:hint="eastAsia" w:ascii="Times New Roman" w:hAnsi="Times New Roman" w:cs="Times New Roman"/>
          <w:sz w:val="24"/>
          <w:szCs w:val="24"/>
          <w:lang w:val="en-US" w:eastAsia="zh-CN"/>
        </w:rPr>
        <w:t>31484国家标准要求，</w:t>
      </w:r>
      <w:r>
        <w:rPr>
          <w:rFonts w:hint="default" w:ascii="Times New Roman" w:hAnsi="Times New Roman" w:cs="Times New Roman"/>
          <w:sz w:val="24"/>
          <w:szCs w:val="24"/>
          <w:lang w:val="en-US" w:eastAsia="zh-CN"/>
        </w:rPr>
        <w:t>提供</w:t>
      </w:r>
      <w:r>
        <w:rPr>
          <w:rFonts w:hint="eastAsia" w:asciiTheme="minorEastAsia" w:hAnsiTheme="minorEastAsia" w:eastAsiaTheme="minorEastAsia" w:cstheme="minorEastAsia"/>
          <w:sz w:val="24"/>
          <w:szCs w:val="24"/>
          <w:lang w:val="en-US" w:eastAsia="zh-CN"/>
        </w:rPr>
        <w:t>“电动汽车用单体蓄电池室温放电容量试验”能力验证服务</w:t>
      </w:r>
      <w:r>
        <w:rPr>
          <w:rFonts w:hint="default" w:ascii="Times New Roman" w:hAnsi="Times New Roman" w:cs="Times New Roman"/>
          <w:sz w:val="24"/>
          <w:szCs w:val="24"/>
          <w:lang w:val="en-US" w:eastAsia="zh-CN"/>
        </w:rPr>
        <w:t>，包括但不限于</w:t>
      </w:r>
      <w:r>
        <w:rPr>
          <w:rFonts w:hint="eastAsia" w:ascii="Times New Roman" w:hAnsi="Times New Roman" w:cs="Times New Roman"/>
          <w:sz w:val="24"/>
          <w:szCs w:val="24"/>
          <w:lang w:val="en-US" w:eastAsia="zh-CN"/>
        </w:rPr>
        <w:t>提供测试</w:t>
      </w:r>
      <w:r>
        <w:rPr>
          <w:rFonts w:hint="default" w:ascii="Times New Roman" w:hAnsi="Times New Roman" w:cs="Times New Roman"/>
          <w:sz w:val="24"/>
          <w:szCs w:val="24"/>
          <w:lang w:val="en-US" w:eastAsia="zh-CN"/>
        </w:rPr>
        <w:t>样品</w:t>
      </w:r>
      <w:r>
        <w:rPr>
          <w:rFonts w:hint="eastAsia" w:ascii="Times New Roman" w:hAnsi="Times New Roman" w:cs="Times New Roman"/>
          <w:sz w:val="24"/>
          <w:szCs w:val="24"/>
          <w:lang w:val="en-US" w:eastAsia="zh-CN"/>
        </w:rPr>
        <w:t>及</w:t>
      </w:r>
      <w:r>
        <w:rPr>
          <w:rFonts w:hint="default" w:ascii="Times New Roman" w:hAnsi="Times New Roman" w:cs="Times New Roman"/>
          <w:sz w:val="24"/>
          <w:szCs w:val="24"/>
          <w:lang w:val="en-US" w:eastAsia="zh-CN"/>
        </w:rPr>
        <w:t>作业指导书、审核测量结果、出具结果通知书等工作。</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二、资格条件</w:t>
      </w:r>
    </w:p>
    <w:tbl>
      <w:tblPr>
        <w:tblStyle w:val="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2"/>
        <w:gridCol w:w="7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2" w:type="dxa"/>
            <w:vAlign w:val="center"/>
          </w:tcPr>
          <w:p>
            <w:pPr>
              <w:numPr>
                <w:ilvl w:val="0"/>
                <w:numId w:val="0"/>
              </w:numPr>
              <w:jc w:val="center"/>
              <w:rPr>
                <w:rFonts w:hint="default" w:ascii="Times New Roman" w:hAnsi="Times New Roman" w:cs="Times New Roman"/>
                <w:b/>
                <w:bCs/>
                <w:i w:val="0"/>
                <w:iCs w:val="0"/>
                <w:sz w:val="21"/>
                <w:szCs w:val="21"/>
                <w:vertAlign w:val="baseline"/>
                <w:lang w:val="en-US" w:eastAsia="zh-CN"/>
              </w:rPr>
            </w:pPr>
            <w:r>
              <w:rPr>
                <w:rFonts w:hint="default" w:ascii="Times New Roman" w:hAnsi="Times New Roman" w:cs="Times New Roman"/>
                <w:b/>
                <w:bCs/>
                <w:i w:val="0"/>
                <w:iCs w:val="0"/>
                <w:sz w:val="21"/>
                <w:szCs w:val="21"/>
                <w:vertAlign w:val="baseline"/>
                <w:lang w:val="en-US" w:eastAsia="zh-CN"/>
              </w:rPr>
              <w:t>序号</w:t>
            </w:r>
          </w:p>
        </w:tc>
        <w:tc>
          <w:tcPr>
            <w:tcW w:w="7060" w:type="dxa"/>
            <w:vAlign w:val="center"/>
          </w:tcPr>
          <w:p>
            <w:pPr>
              <w:numPr>
                <w:ilvl w:val="0"/>
                <w:numId w:val="0"/>
              </w:numPr>
              <w:jc w:val="center"/>
              <w:rPr>
                <w:rFonts w:hint="default" w:ascii="Times New Roman" w:hAnsi="Times New Roman" w:cs="Times New Roman"/>
                <w:b/>
                <w:bCs/>
                <w:i w:val="0"/>
                <w:iCs w:val="0"/>
                <w:sz w:val="21"/>
                <w:szCs w:val="21"/>
                <w:vertAlign w:val="baseline"/>
                <w:lang w:val="en-US" w:eastAsia="zh-CN"/>
              </w:rPr>
            </w:pPr>
            <w:r>
              <w:rPr>
                <w:rFonts w:hint="default" w:ascii="Times New Roman" w:hAnsi="Times New Roman" w:cs="Times New Roman"/>
                <w:b/>
                <w:bCs/>
                <w:i w:val="0"/>
                <w:iCs w:val="0"/>
                <w:sz w:val="21"/>
                <w:szCs w:val="21"/>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2" w:type="dxa"/>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1</w:t>
            </w:r>
          </w:p>
        </w:tc>
        <w:tc>
          <w:tcPr>
            <w:tcW w:w="7060" w:type="dxa"/>
            <w:vAlign w:val="center"/>
          </w:tcPr>
          <w:p>
            <w:pPr>
              <w:keepNext w:val="0"/>
              <w:keepLines w:val="0"/>
              <w:widowControl/>
              <w:suppressLineNumbers w:val="0"/>
              <w:jc w:val="left"/>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报价单位提供的“电动汽车用单体蓄电池室温放电容量试验”能力验证测试项目需具备CNAS认可资质</w:t>
            </w:r>
            <w:r>
              <w:rPr>
                <w:rFonts w:hint="eastAsia" w:ascii="Times New Roman" w:hAnsi="Times New Roman" w:cs="Times New Roman"/>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2" w:type="dxa"/>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2</w:t>
            </w:r>
          </w:p>
        </w:tc>
        <w:tc>
          <w:tcPr>
            <w:tcW w:w="7060" w:type="dxa"/>
            <w:vAlign w:val="center"/>
          </w:tcPr>
          <w:p>
            <w:pPr>
              <w:keepNext w:val="0"/>
              <w:keepLines w:val="0"/>
              <w:widowControl/>
              <w:suppressLineNumbers w:val="0"/>
              <w:jc w:val="left"/>
              <w:rPr>
                <w:rFonts w:hint="default" w:ascii="Times New Roman" w:hAnsi="Times New Roman" w:cs="Times New Roman"/>
                <w:sz w:val="21"/>
                <w:szCs w:val="21"/>
                <w:vertAlign w:val="baseline"/>
                <w:lang w:val="en-US" w:eastAsia="zh-CN"/>
              </w:rPr>
            </w:pPr>
            <w:r>
              <w:rPr>
                <w:rFonts w:hint="default" w:ascii="Times New Roman" w:hAnsi="Times New Roman" w:eastAsia="宋体" w:cs="Times New Roman"/>
                <w:color w:val="000000"/>
                <w:kern w:val="0"/>
                <w:sz w:val="21"/>
                <w:szCs w:val="21"/>
                <w:lang w:val="en-US" w:eastAsia="zh-CN" w:bidi="ar"/>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报价单位为自然人的，应提供有效的身份证明</w:t>
            </w:r>
            <w:r>
              <w:rPr>
                <w:rFonts w:hint="eastAsia" w:ascii="Times New Roman" w:hAnsi="Times New Roman" w:eastAsia="宋体" w:cs="Times New Roman"/>
                <w:color w:val="000000"/>
                <w:kern w:val="0"/>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2" w:type="dxa"/>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3</w:t>
            </w:r>
          </w:p>
        </w:tc>
        <w:tc>
          <w:tcPr>
            <w:tcW w:w="7060" w:type="dxa"/>
            <w:vAlign w:val="center"/>
          </w:tcPr>
          <w:p>
            <w:pPr>
              <w:keepNext w:val="0"/>
              <w:keepLines w:val="0"/>
              <w:widowControl/>
              <w:suppressLineNumbers w:val="0"/>
              <w:jc w:val="left"/>
              <w:rPr>
                <w:rFonts w:hint="default" w:ascii="Times New Roman" w:hAnsi="Times New Roman" w:cs="Times New Roman"/>
                <w:sz w:val="21"/>
                <w:szCs w:val="21"/>
                <w:vertAlign w:val="baseline"/>
                <w:lang w:val="en-US" w:eastAsia="zh-CN"/>
              </w:rPr>
            </w:pPr>
            <w:r>
              <w:rPr>
                <w:rFonts w:hint="default" w:ascii="Times New Roman" w:hAnsi="Times New Roman" w:eastAsia="宋体" w:cs="Times New Roman"/>
                <w:color w:val="000000"/>
                <w:kern w:val="0"/>
                <w:sz w:val="21"/>
                <w:szCs w:val="21"/>
                <w:lang w:val="en-US" w:eastAsia="zh-CN" w:bidi="ar"/>
              </w:rPr>
              <w:t>单位负责人为同一人或者存在控股、管理关系的不同单位，不得同时参加报价</w:t>
            </w:r>
            <w:r>
              <w:rPr>
                <w:rFonts w:hint="eastAsia" w:ascii="Times New Roman" w:hAnsi="Times New Roman" w:eastAsia="宋体" w:cs="Times New Roman"/>
                <w:color w:val="000000"/>
                <w:kern w:val="0"/>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2" w:type="dxa"/>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4</w:t>
            </w:r>
          </w:p>
        </w:tc>
        <w:tc>
          <w:tcPr>
            <w:tcW w:w="7060" w:type="dxa"/>
            <w:vAlign w:val="center"/>
          </w:tcPr>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报价单位没有被中国南方电网有限责任公司暂停或取消其投标资格的。</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三、成交办法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sz w:val="24"/>
          <w:szCs w:val="24"/>
          <w:lang w:val="en-US" w:eastAsia="zh-CN"/>
        </w:rPr>
        <w:t>根据满足资格条件的各家单位有效报价，选择报价最低者为成交对象。</w:t>
      </w:r>
    </w:p>
    <w:p>
      <w:pPr>
        <w:pStyle w:val="2"/>
        <w:numPr>
          <w:numId w:val="0"/>
        </w:numPr>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rPr>
        <w:t>附件</w:t>
      </w:r>
      <w:r>
        <w:rPr>
          <w:rFonts w:hint="default" w:ascii="Times New Roman" w:hAnsi="Times New Roman" w:eastAsia="仿宋_GB2312" w:cs="Times New Roman"/>
          <w:b/>
          <w:color w:val="auto"/>
          <w:sz w:val="28"/>
          <w:szCs w:val="28"/>
          <w:lang w:val="en-US" w:eastAsia="zh-CN"/>
        </w:rPr>
        <w:t>1</w:t>
      </w:r>
      <w:r>
        <w:rPr>
          <w:rFonts w:hint="default" w:ascii="Times New Roman" w:hAnsi="Times New Roman" w:eastAsia="仿宋_GB2312" w:cs="Times New Roman"/>
          <w:b/>
          <w:color w:val="auto"/>
          <w:sz w:val="28"/>
          <w:szCs w:val="28"/>
        </w:rPr>
        <w:t>：报价表</w:t>
      </w:r>
    </w:p>
    <w:tbl>
      <w:tblPr>
        <w:tblStyle w:val="3"/>
        <w:tblpPr w:leftFromText="180" w:rightFromText="180" w:vertAnchor="page" w:horzAnchor="margin" w:tblpY="2236"/>
        <w:tblW w:w="932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01"/>
        <w:gridCol w:w="3047"/>
        <w:gridCol w:w="1808"/>
        <w:gridCol w:w="1605"/>
        <w:gridCol w:w="17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9322" w:type="dxa"/>
            <w:gridSpan w:val="5"/>
            <w:noWrap w:val="0"/>
            <w:vAlign w:val="top"/>
          </w:tcPr>
          <w:p>
            <w:pPr>
              <w:jc w:val="left"/>
              <w:rPr>
                <w:rFonts w:hint="default" w:ascii="Times New Roman" w:hAnsi="Times New Roman" w:eastAsia="仿宋_GB2312" w:cs="Times New Roman"/>
                <w:b/>
                <w:color w:val="auto"/>
                <w:sz w:val="32"/>
                <w:szCs w:val="32"/>
                <w:lang w:val="en-US" w:eastAsia="zh-CN"/>
              </w:rPr>
            </w:pPr>
            <w:r>
              <w:rPr>
                <w:rFonts w:hint="default" w:ascii="Times New Roman" w:hAnsi="Times New Roman" w:eastAsia="仿宋_GB2312" w:cs="Times New Roman"/>
                <w:color w:val="auto"/>
                <w:sz w:val="28"/>
                <w:szCs w:val="28"/>
              </w:rPr>
              <w:t>项目名称：</w:t>
            </w:r>
            <w:r>
              <w:rPr>
                <w:rFonts w:hint="default" w:ascii="Times New Roman" w:hAnsi="Times New Roman" w:eastAsia="仿宋_GB2312" w:cs="Times New Roman"/>
                <w:color w:val="auto"/>
                <w:sz w:val="28"/>
                <w:szCs w:val="28"/>
                <w:lang w:val="en-US" w:eastAsia="zh-CN"/>
              </w:rPr>
              <w:t>2025年南网科研院配电设备实验室CNAS能力验证</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1101" w:type="dxa"/>
            <w:noWrap w:val="0"/>
            <w:vAlign w:val="center"/>
          </w:tcPr>
          <w:p>
            <w:pPr>
              <w:widowControl/>
              <w:ind w:left="367" w:hanging="366" w:hangingChars="131"/>
              <w:jc w:val="center"/>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序号</w:t>
            </w:r>
          </w:p>
        </w:tc>
        <w:tc>
          <w:tcPr>
            <w:tcW w:w="3047" w:type="dxa"/>
            <w:noWrap w:val="0"/>
            <w:vAlign w:val="center"/>
          </w:tcPr>
          <w:p>
            <w:pPr>
              <w:widowControl/>
              <w:ind w:left="149" w:leftChars="71"/>
              <w:jc w:val="center"/>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费用项目</w:t>
            </w:r>
          </w:p>
        </w:tc>
        <w:tc>
          <w:tcPr>
            <w:tcW w:w="1808" w:type="dxa"/>
            <w:noWrap w:val="0"/>
            <w:vAlign w:val="top"/>
          </w:tcPr>
          <w:p>
            <w:pPr>
              <w:widowControl/>
              <w:jc w:val="center"/>
              <w:rPr>
                <w:rFonts w:hint="default" w:ascii="Times New Roman" w:hAnsi="Times New Roman" w:eastAsia="仿宋_GB2312" w:cs="Times New Roman"/>
                <w:color w:val="auto"/>
                <w:sz w:val="28"/>
                <w:szCs w:val="28"/>
                <w:lang w:val="en-US" w:eastAsia="zh-CN"/>
              </w:rPr>
            </w:pPr>
            <w:r>
              <w:rPr>
                <w:rFonts w:hint="eastAsia" w:ascii="Times New Roman" w:hAnsi="Times New Roman" w:eastAsia="仿宋_GB2312" w:cs="Times New Roman"/>
                <w:color w:val="auto"/>
                <w:sz w:val="28"/>
                <w:szCs w:val="28"/>
                <w:lang w:val="en-US" w:eastAsia="zh-CN"/>
              </w:rPr>
              <w:t>数量（次）</w:t>
            </w:r>
          </w:p>
        </w:tc>
        <w:tc>
          <w:tcPr>
            <w:tcW w:w="1605" w:type="dxa"/>
            <w:noWrap w:val="0"/>
            <w:vAlign w:val="center"/>
          </w:tcPr>
          <w:p>
            <w:pPr>
              <w:widowControl/>
              <w:jc w:val="center"/>
              <w:rPr>
                <w:rFonts w:hint="default" w:ascii="Times New Roman" w:hAnsi="Times New Roman" w:eastAsia="仿宋_GB2312" w:cs="Times New Roman"/>
                <w:color w:val="auto"/>
                <w:sz w:val="28"/>
                <w:szCs w:val="28"/>
                <w:lang w:val="en-US" w:eastAsia="zh-CN"/>
              </w:rPr>
            </w:pPr>
            <w:r>
              <w:rPr>
                <w:rFonts w:hint="eastAsia" w:ascii="Times New Roman" w:hAnsi="Times New Roman" w:eastAsia="仿宋_GB2312" w:cs="Times New Roman"/>
                <w:color w:val="auto"/>
                <w:sz w:val="28"/>
                <w:szCs w:val="28"/>
                <w:lang w:val="en-US" w:eastAsia="zh-CN"/>
              </w:rPr>
              <w:t>单价（元）</w:t>
            </w:r>
          </w:p>
        </w:tc>
        <w:tc>
          <w:tcPr>
            <w:tcW w:w="1761" w:type="dxa"/>
            <w:noWrap w:val="0"/>
            <w:vAlign w:val="center"/>
          </w:tcPr>
          <w:p>
            <w:pPr>
              <w:widowControl/>
              <w:jc w:val="center"/>
              <w:rPr>
                <w:rFonts w:hint="eastAsia" w:ascii="Times New Roman" w:hAnsi="Times New Roman" w:eastAsia="仿宋_GB2312" w:cs="Times New Roman"/>
                <w:color w:val="auto"/>
                <w:sz w:val="28"/>
                <w:szCs w:val="28"/>
                <w:lang w:val="en-US" w:eastAsia="zh-CN"/>
              </w:rPr>
            </w:pPr>
            <w:r>
              <w:rPr>
                <w:rFonts w:hint="eastAsia" w:ascii="Times New Roman" w:hAnsi="Times New Roman" w:eastAsia="仿宋_GB2312" w:cs="Times New Roman"/>
                <w:color w:val="auto"/>
                <w:sz w:val="28"/>
                <w:szCs w:val="28"/>
                <w:lang w:val="en-US" w:eastAsia="zh-CN"/>
              </w:rPr>
              <w:t>总价（元）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1101" w:type="dxa"/>
            <w:noWrap w:val="0"/>
            <w:vAlign w:val="center"/>
          </w:tcPr>
          <w:p>
            <w:pPr>
              <w:jc w:val="center"/>
              <w:rPr>
                <w:rFonts w:hint="default" w:ascii="Times New Roman" w:hAnsi="Times New Roman" w:cs="Times New Roman"/>
                <w:color w:val="auto"/>
                <w:sz w:val="24"/>
              </w:rPr>
            </w:pPr>
            <w:r>
              <w:rPr>
                <w:rFonts w:hint="default" w:ascii="Times New Roman" w:hAnsi="Times New Roman" w:cs="Times New Roman"/>
                <w:color w:val="auto"/>
                <w:sz w:val="24"/>
              </w:rPr>
              <w:t>1</w:t>
            </w:r>
          </w:p>
        </w:tc>
        <w:tc>
          <w:tcPr>
            <w:tcW w:w="3047" w:type="dxa"/>
            <w:noWrap w:val="0"/>
            <w:vAlign w:val="center"/>
          </w:tcPr>
          <w:p>
            <w:pPr>
              <w:jc w:val="both"/>
              <w:rPr>
                <w:rFonts w:hint="default" w:ascii="Times New Roman" w:hAnsi="Times New Roman" w:eastAsia="宋体" w:cs="Times New Roman"/>
                <w:b w:val="0"/>
                <w:bCs w:val="0"/>
                <w:color w:val="auto"/>
                <w:lang w:val="en-US" w:eastAsia="zh-CN"/>
              </w:rPr>
            </w:pPr>
            <w:r>
              <w:rPr>
                <w:rFonts w:hint="default" w:ascii="Times New Roman" w:hAnsi="Times New Roman" w:eastAsia="宋体" w:cs="Times New Roman"/>
                <w:b w:val="0"/>
                <w:bCs w:val="0"/>
                <w:color w:val="auto"/>
                <w:lang w:val="en-US" w:eastAsia="zh-CN"/>
              </w:rPr>
              <w:t>电动汽车用单体蓄电池室温放电容量试验（能力验证）</w:t>
            </w:r>
          </w:p>
        </w:tc>
        <w:tc>
          <w:tcPr>
            <w:tcW w:w="1808" w:type="dxa"/>
            <w:noWrap w:val="0"/>
            <w:vAlign w:val="center"/>
          </w:tcPr>
          <w:p>
            <w:pPr>
              <w:jc w:val="center"/>
              <w:rPr>
                <w:rFonts w:hint="default" w:ascii="Times New Roman" w:hAnsi="Times New Roman" w:cs="Times New Roman"/>
                <w:color w:val="auto"/>
                <w:sz w:val="24"/>
              </w:rPr>
            </w:pPr>
          </w:p>
        </w:tc>
        <w:tc>
          <w:tcPr>
            <w:tcW w:w="1605" w:type="dxa"/>
            <w:noWrap w:val="0"/>
            <w:vAlign w:val="center"/>
          </w:tcPr>
          <w:p>
            <w:pPr>
              <w:rPr>
                <w:rFonts w:hint="default" w:ascii="Times New Roman" w:hAnsi="Times New Roman" w:eastAsia="宋体" w:cs="Times New Roman"/>
                <w:b/>
                <w:bCs/>
                <w:i/>
                <w:iCs/>
                <w:color w:val="auto"/>
                <w:lang w:val="en-US" w:eastAsia="zh-CN"/>
              </w:rPr>
            </w:pPr>
          </w:p>
        </w:tc>
        <w:tc>
          <w:tcPr>
            <w:tcW w:w="1761" w:type="dxa"/>
            <w:noWrap w:val="0"/>
            <w:vAlign w:val="center"/>
          </w:tcPr>
          <w:p>
            <w:pPr>
              <w:rPr>
                <w:rFonts w:hint="default" w:ascii="Times New Roman" w:hAnsi="Times New Roman" w:eastAsia="宋体" w:cs="Times New Roman"/>
                <w:b/>
                <w:bCs/>
                <w:i/>
                <w:iCs/>
                <w:color w:val="auto"/>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9322" w:type="dxa"/>
            <w:gridSpan w:val="5"/>
            <w:noWrap w:val="0"/>
            <w:vAlign w:val="center"/>
          </w:tcPr>
          <w:p>
            <w:pPr>
              <w:rPr>
                <w:rFonts w:hint="default" w:ascii="Times New Roman" w:hAnsi="Times New Roman" w:eastAsia="宋体" w:cs="Times New Roman"/>
                <w:b/>
                <w:bCs/>
                <w:i/>
                <w:iCs/>
                <w:color w:val="auto"/>
                <w:lang w:val="en-US" w:eastAsia="zh-CN"/>
              </w:rPr>
            </w:pPr>
            <w:r>
              <w:rPr>
                <w:rFonts w:hint="default" w:ascii="Times New Roman" w:hAnsi="Times New Roman" w:eastAsia="仿宋_GB2312" w:cs="Times New Roman"/>
                <w:color w:val="auto"/>
                <w:sz w:val="28"/>
                <w:szCs w:val="28"/>
              </w:rPr>
              <w:t>合计：小写</w:t>
            </w:r>
            <w:r>
              <w:rPr>
                <w:rFonts w:hint="default" w:ascii="Times New Roman" w:hAnsi="Times New Roman" w:eastAsia="仿宋_GB2312" w:cs="Times New Roman"/>
                <w:color w:val="auto"/>
                <w:sz w:val="28"/>
                <w:szCs w:val="28"/>
                <w:u w:val="single"/>
              </w:rPr>
              <w:t xml:space="preserve">   </w:t>
            </w:r>
            <w:r>
              <w:rPr>
                <w:rFonts w:hint="default" w:ascii="Times New Roman" w:hAnsi="Times New Roman" w:eastAsia="仿宋_GB2312" w:cs="Times New Roman"/>
                <w:color w:val="auto"/>
                <w:sz w:val="28"/>
                <w:szCs w:val="28"/>
                <w:u w:val="single"/>
                <w:lang w:val="en-US" w:eastAsia="zh-CN"/>
              </w:rPr>
              <w:t xml:space="preserve">       </w:t>
            </w:r>
            <w:r>
              <w:rPr>
                <w:rFonts w:hint="default" w:ascii="Times New Roman" w:hAnsi="Times New Roman" w:eastAsia="仿宋_GB2312" w:cs="Times New Roman"/>
                <w:color w:val="auto"/>
                <w:sz w:val="28"/>
                <w:szCs w:val="28"/>
                <w:u w:val="single"/>
              </w:rPr>
              <w:t xml:space="preserve"> </w:t>
            </w:r>
            <w:r>
              <w:rPr>
                <w:rFonts w:hint="default" w:ascii="Times New Roman" w:hAnsi="Times New Roman" w:eastAsia="仿宋_GB2312" w:cs="Times New Roman"/>
                <w:color w:val="auto"/>
                <w:sz w:val="28"/>
                <w:szCs w:val="28"/>
              </w:rPr>
              <w:t>元　大写：</w:t>
            </w:r>
            <w:r>
              <w:rPr>
                <w:rFonts w:hint="default" w:ascii="Times New Roman" w:hAnsi="Times New Roman" w:eastAsia="仿宋_GB2312" w:cs="Times New Roman"/>
                <w:color w:val="auto"/>
                <w:sz w:val="28"/>
                <w:szCs w:val="28"/>
                <w:u w:val="single"/>
              </w:rPr>
              <w:t xml:space="preserve"> </w:t>
            </w:r>
            <w:r>
              <w:rPr>
                <w:rFonts w:hint="default" w:ascii="Times New Roman" w:hAnsi="Times New Roman" w:eastAsia="仿宋_GB2312" w:cs="Times New Roman"/>
                <w:color w:val="auto"/>
                <w:sz w:val="28"/>
                <w:szCs w:val="28"/>
                <w:u w:val="single"/>
                <w:lang w:val="en-US" w:eastAsia="zh-CN"/>
              </w:rPr>
              <w:t xml:space="preserve">           </w:t>
            </w:r>
            <w:r>
              <w:rPr>
                <w:rFonts w:hint="default" w:ascii="Times New Roman" w:hAnsi="Times New Roman" w:eastAsia="仿宋_GB2312" w:cs="Times New Roman"/>
                <w:color w:val="auto"/>
                <w:sz w:val="28"/>
                <w:szCs w:val="28"/>
                <w:u w:val="single"/>
              </w:rPr>
              <w:t xml:space="preserve">   </w:t>
            </w:r>
            <w:r>
              <w:rPr>
                <w:rFonts w:hint="default" w:ascii="Times New Roman" w:hAnsi="Times New Roman" w:eastAsia="仿宋_GB2312" w:cs="Times New Roman"/>
                <w:color w:val="auto"/>
                <w:sz w:val="28"/>
                <w:szCs w:val="28"/>
              </w:rPr>
              <w:t>元整</w:t>
            </w:r>
          </w:p>
        </w:tc>
      </w:tr>
    </w:tbl>
    <w:p>
      <w:pPr>
        <w:tabs>
          <w:tab w:val="left" w:pos="425"/>
        </w:tabs>
        <w:spacing w:line="480" w:lineRule="atLeast"/>
        <w:ind w:firstLine="480" w:firstLineChars="200"/>
        <w:jc w:val="center"/>
        <w:rPr>
          <w:rFonts w:hint="eastAsia" w:ascii="仿宋" w:hAnsi="仿宋" w:eastAsia="仿宋" w:cs="宋体"/>
          <w:kern w:val="0"/>
          <w:sz w:val="24"/>
        </w:rPr>
      </w:pPr>
      <w:r>
        <w:rPr>
          <w:rFonts w:hint="eastAsia" w:ascii="仿宋" w:hAnsi="仿宋" w:eastAsia="仿宋" w:cs="宋体"/>
          <w:kern w:val="0"/>
          <w:sz w:val="24"/>
        </w:rPr>
        <w:t xml:space="preserve">           </w:t>
      </w:r>
    </w:p>
    <w:p>
      <w:pPr>
        <w:tabs>
          <w:tab w:val="left" w:pos="425"/>
        </w:tabs>
        <w:spacing w:line="480" w:lineRule="atLeast"/>
        <w:ind w:firstLine="480" w:firstLineChars="200"/>
        <w:jc w:val="center"/>
        <w:rPr>
          <w:rFonts w:ascii="仿宋" w:hAnsi="仿宋" w:eastAsia="仿宋" w:cs="宋体"/>
          <w:kern w:val="0"/>
          <w:sz w:val="24"/>
        </w:rPr>
      </w:pPr>
      <w:r>
        <w:rPr>
          <w:rFonts w:hint="eastAsia" w:ascii="仿宋" w:hAnsi="仿宋" w:eastAsia="仿宋" w:cs="宋体"/>
          <w:kern w:val="0"/>
          <w:sz w:val="24"/>
        </w:rPr>
        <w:t xml:space="preserve">           </w:t>
      </w:r>
    </w:p>
    <w:p>
      <w:pPr>
        <w:tabs>
          <w:tab w:val="left" w:pos="425"/>
        </w:tabs>
        <w:spacing w:line="480" w:lineRule="atLeast"/>
        <w:ind w:firstLine="480" w:firstLineChars="200"/>
        <w:jc w:val="center"/>
        <w:rPr>
          <w:rFonts w:hint="eastAsia" w:ascii="仿宋" w:hAnsi="仿宋" w:eastAsia="仿宋" w:cs="宋体"/>
          <w:kern w:val="0"/>
          <w:sz w:val="28"/>
          <w:szCs w:val="28"/>
        </w:rPr>
      </w:pPr>
      <w:r>
        <w:rPr>
          <w:rFonts w:hint="eastAsia" w:ascii="仿宋" w:hAnsi="仿宋" w:eastAsia="仿宋" w:cs="宋体"/>
          <w:kern w:val="0"/>
          <w:sz w:val="24"/>
        </w:rPr>
        <w:t xml:space="preserve">                           </w:t>
      </w:r>
      <w:r>
        <w:rPr>
          <w:rFonts w:hint="eastAsia" w:ascii="仿宋" w:hAnsi="仿宋" w:eastAsia="仿宋" w:cs="宋体"/>
          <w:kern w:val="0"/>
          <w:sz w:val="28"/>
          <w:szCs w:val="28"/>
        </w:rPr>
        <w:t xml:space="preserve"> 报价单位全称(盖章)</w:t>
      </w:r>
    </w:p>
    <w:p>
      <w:pPr>
        <w:tabs>
          <w:tab w:val="left" w:pos="425"/>
        </w:tabs>
        <w:spacing w:line="480" w:lineRule="atLeast"/>
        <w:ind w:firstLine="504" w:firstLineChars="200"/>
        <w:jc w:val="center"/>
        <w:rPr>
          <w:rFonts w:hint="eastAsia" w:ascii="仿宋_GB2312" w:eastAsia="仿宋_GB2312"/>
          <w:w w:val="90"/>
          <w:sz w:val="28"/>
          <w:szCs w:val="28"/>
        </w:rPr>
      </w:pPr>
      <w:r>
        <w:rPr>
          <w:rFonts w:hint="eastAsia" w:ascii="仿宋_GB2312" w:eastAsia="仿宋_GB2312"/>
          <w:w w:val="90"/>
          <w:sz w:val="28"/>
          <w:szCs w:val="28"/>
        </w:rPr>
        <w:t xml:space="preserve">                           2025年  月   日</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FkN2RhMTBjZjk5ZWUwNDcxMmY4NjQxMGE2YmFhYzkifQ=="/>
  </w:docVars>
  <w:rsids>
    <w:rsidRoot w:val="00000000"/>
    <w:rsid w:val="07C547E0"/>
    <w:rsid w:val="0C09537D"/>
    <w:rsid w:val="161F47DC"/>
    <w:rsid w:val="1BEA512A"/>
    <w:rsid w:val="27A85F06"/>
    <w:rsid w:val="297A3B85"/>
    <w:rsid w:val="4D693233"/>
    <w:rsid w:val="4E4C6A62"/>
    <w:rsid w:val="60E91AE5"/>
    <w:rsid w:val="66195146"/>
    <w:rsid w:val="773C2B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widowControl/>
      <w:ind w:firstLine="420"/>
      <w:jc w:val="left"/>
    </w:pPr>
    <w:rPr>
      <w:kern w:val="0"/>
      <w:szCs w:val="20"/>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2021-06-16T09:00:00Z</dcterms:created>
  <dc:creator>linxiaoming</dc:creator>
  <cp:lastModifiedBy>徐鹏</cp:lastModifiedBy>
  <dcterms:modified xsi:type="dcterms:W3CDTF">2025-03-06T01:16:17Z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21EBDF75ED84413A83614DCA05BAE179</vt:lpwstr>
  </property>
</Properties>
</file>