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eastAsia="仿宋"/>
          <w:b/>
          <w:bCs/>
          <w:sz w:val="28"/>
          <w:szCs w:val="28"/>
          <w:lang w:val="en-US" w:eastAsia="zh-CN"/>
        </w:rPr>
      </w:pPr>
      <w:bookmarkStart w:id="0" w:name="_Hlk176707702"/>
      <w:r>
        <w:rPr>
          <w:rFonts w:hint="eastAsia" w:ascii="Times New Roman" w:hAnsi="Times New Roman" w:eastAsia="仿宋"/>
          <w:b/>
          <w:bCs/>
          <w:sz w:val="28"/>
          <w:szCs w:val="28"/>
          <w:lang w:val="en-US" w:eastAsia="zh-CN"/>
        </w:rPr>
        <w:t>2025年云南电力试验研究院（集团）有限公司传统能源事业部</w:t>
      </w:r>
    </w:p>
    <w:p>
      <w:pPr>
        <w:jc w:val="center"/>
        <w:rPr>
          <w:rFonts w:ascii="Times New Roman" w:hAnsi="Times New Roman" w:eastAsia="仿宋"/>
          <w:b/>
          <w:bCs/>
          <w:sz w:val="28"/>
          <w:szCs w:val="28"/>
        </w:rPr>
      </w:pPr>
      <w:r>
        <w:rPr>
          <w:rFonts w:hint="eastAsia" w:ascii="Times New Roman" w:hAnsi="Times New Roman" w:eastAsia="仿宋"/>
          <w:b/>
          <w:bCs/>
          <w:sz w:val="28"/>
          <w:szCs w:val="28"/>
          <w:lang w:val="en-US" w:eastAsia="zh-CN"/>
        </w:rPr>
        <w:t>互感器伏安变比极性综合测试仪采购</w:t>
      </w:r>
      <w:r>
        <w:rPr>
          <w:rFonts w:ascii="Times New Roman" w:hAnsi="Times New Roman" w:eastAsia="仿宋"/>
          <w:b/>
          <w:bCs/>
          <w:sz w:val="28"/>
          <w:szCs w:val="28"/>
        </w:rPr>
        <w:t>技术规范书</w:t>
      </w:r>
    </w:p>
    <w:bookmarkEnd w:id="0"/>
    <w:p>
      <w:pPr>
        <w:spacing w:line="360" w:lineRule="auto"/>
        <w:rPr>
          <w:rFonts w:ascii="Times New Roman" w:hAnsi="Times New Roman" w:eastAsia="仿宋"/>
          <w:b/>
          <w:bCs/>
          <w:sz w:val="24"/>
          <w:szCs w:val="24"/>
        </w:rPr>
      </w:pPr>
      <w:bookmarkStart w:id="1" w:name="_Toc441159752"/>
      <w:bookmarkEnd w:id="1"/>
      <w:r>
        <w:rPr>
          <w:rFonts w:ascii="Times New Roman" w:hAnsi="Times New Roman" w:eastAsia="仿宋"/>
          <w:b/>
          <w:bCs/>
          <w:sz w:val="24"/>
          <w:szCs w:val="24"/>
        </w:rPr>
        <w:t>一.采购内容</w:t>
      </w:r>
    </w:p>
    <w:p>
      <w:pPr>
        <w:spacing w:line="360" w:lineRule="auto"/>
        <w:ind w:firstLine="480" w:firstLineChars="200"/>
        <w:rPr>
          <w:rFonts w:ascii="Times New Roman" w:hAnsi="Times New Roman" w:eastAsia="仿宋"/>
          <w:kern w:val="0"/>
          <w:sz w:val="24"/>
          <w:szCs w:val="24"/>
        </w:rPr>
      </w:pPr>
      <w:r>
        <w:rPr>
          <w:rFonts w:ascii="Times New Roman" w:hAnsi="Times New Roman" w:eastAsia="仿宋"/>
          <w:kern w:val="0"/>
          <w:sz w:val="24"/>
          <w:szCs w:val="24"/>
        </w:rPr>
        <w:t>本项目采购2套互感器伏安变比极性综合测试仪。</w:t>
      </w:r>
    </w:p>
    <w:p>
      <w:pPr>
        <w:numPr>
          <w:ilvl w:val="0"/>
          <w:numId w:val="1"/>
        </w:numPr>
        <w:spacing w:line="360" w:lineRule="auto"/>
        <w:rPr>
          <w:rFonts w:ascii="Times New Roman" w:hAnsi="Times New Roman" w:eastAsia="仿宋"/>
          <w:sz w:val="24"/>
          <w:szCs w:val="20"/>
        </w:rPr>
      </w:pPr>
      <w:r>
        <w:rPr>
          <w:rFonts w:ascii="Times New Roman" w:hAnsi="Times New Roman" w:eastAsia="仿宋"/>
          <w:b/>
          <w:bCs/>
          <w:kern w:val="0"/>
          <w:sz w:val="24"/>
          <w:szCs w:val="24"/>
        </w:rPr>
        <w:t>技术要求</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2.1本设备需提供经国家法定机构检定的检定或校准证书。</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2.2 性能特点</w:t>
      </w:r>
    </w:p>
    <w:p>
      <w:pPr>
        <w:spacing w:line="360" w:lineRule="auto"/>
        <w:rPr>
          <w:rFonts w:ascii="Times New Roman" w:hAnsi="Times New Roman" w:eastAsia="仿宋"/>
          <w:b/>
          <w:bCs/>
          <w:kern w:val="0"/>
          <w:sz w:val="24"/>
          <w:szCs w:val="24"/>
        </w:rPr>
      </w:pPr>
      <w:bookmarkStart w:id="2" w:name="_GoBack"/>
      <w:r>
        <w:rPr>
          <w:rFonts w:ascii="Times New Roman" w:hAnsi="Times New Roman" w:eastAsia="仿宋"/>
          <w:b/>
          <w:bCs/>
          <w:kern w:val="0"/>
          <w:sz w:val="24"/>
          <w:szCs w:val="24"/>
        </w:rPr>
        <w:t>（1）支持检测CT和PT，能够输出1</w:t>
      </w:r>
      <w:r>
        <w:rPr>
          <w:rFonts w:ascii="Times New Roman" w:hAnsi="Times New Roman" w:eastAsia="仿宋"/>
          <w:b/>
          <w:bCs/>
          <w:color w:val="auto"/>
          <w:kern w:val="0"/>
          <w:sz w:val="24"/>
          <w:szCs w:val="24"/>
        </w:rPr>
        <w:t>000A大电流</w:t>
      </w:r>
      <w:r>
        <w:rPr>
          <w:rFonts w:hint="eastAsia" w:ascii="Times New Roman" w:hAnsi="Times New Roman" w:eastAsia="仿宋"/>
          <w:b/>
          <w:bCs/>
          <w:color w:val="auto"/>
          <w:kern w:val="0"/>
          <w:sz w:val="24"/>
          <w:szCs w:val="24"/>
        </w:rPr>
        <w:t>，400A及以下电流时至少能够保持2分钟</w:t>
      </w:r>
      <w:r>
        <w:rPr>
          <w:rFonts w:ascii="Times New Roman" w:hAnsi="Times New Roman" w:eastAsia="仿宋"/>
          <w:b/>
          <w:bCs/>
          <w:color w:val="auto"/>
          <w:kern w:val="0"/>
          <w:sz w:val="24"/>
          <w:szCs w:val="24"/>
        </w:rPr>
        <w:t>。</w:t>
      </w:r>
      <w:r>
        <w:rPr>
          <w:rFonts w:hint="eastAsia" w:ascii="Times New Roman" w:hAnsi="Times New Roman" w:eastAsia="仿宋"/>
          <w:b/>
          <w:bCs/>
          <w:color w:val="auto"/>
          <w:kern w:val="0"/>
          <w:sz w:val="24"/>
          <w:szCs w:val="24"/>
          <w:lang w:eastAsia="zh-CN"/>
        </w:rPr>
        <w:t>（</w:t>
      </w:r>
      <w:r>
        <w:rPr>
          <w:rFonts w:hint="eastAsia" w:ascii="Times New Roman" w:hAnsi="Times New Roman" w:eastAsia="仿宋"/>
          <w:b/>
          <w:bCs/>
          <w:color w:val="auto"/>
          <w:kern w:val="0"/>
          <w:sz w:val="24"/>
          <w:szCs w:val="24"/>
          <w:lang w:val="en-US" w:eastAsia="zh-CN"/>
        </w:rPr>
        <w:t>必须满足的项目）</w:t>
      </w:r>
    </w:p>
    <w:bookmarkEnd w:id="2"/>
    <w:p>
      <w:pPr>
        <w:spacing w:line="360" w:lineRule="auto"/>
        <w:rPr>
          <w:rFonts w:ascii="Times New Roman" w:hAnsi="Times New Roman" w:eastAsia="仿宋"/>
          <w:kern w:val="0"/>
          <w:sz w:val="24"/>
          <w:szCs w:val="24"/>
        </w:rPr>
      </w:pPr>
      <w:r>
        <w:rPr>
          <w:rFonts w:ascii="Times New Roman" w:hAnsi="Times New Roman" w:eastAsia="仿宋"/>
          <w:kern w:val="0"/>
          <w:sz w:val="24"/>
          <w:szCs w:val="24"/>
        </w:rPr>
        <w:t>（2）满足GB 20840.3-2013，GB 20840.2-2014等规程要求。</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（3）无需外接其它辅助设备，单机即可完成所有检测项目。</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（4）自带微型快速打印机、可直接现场打印测试结果。</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（5）操作简便，带有智能提示，使用户更易上手操作。</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（6）大屏幕液晶，图形化显示接口。</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（7）按规程自动给出CT/PT（励磁）拐点值。</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（8）自动给出5%和10%误差曲线。</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（9）可保存3000组测试资料，掉电后不丢失。</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（10）支持U盘转存资料，可以通过标准的PC进行读取，并生成WORD报告。</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（11）小巧轻便≤22kg，非常利于现场测试。</w:t>
      </w:r>
    </w:p>
    <w:p>
      <w:pPr>
        <w:spacing w:line="360" w:lineRule="auto"/>
        <w:rPr>
          <w:rFonts w:ascii="Times New Roman" w:hAnsi="Times New Roman" w:eastAsia="仿宋"/>
          <w:kern w:val="0"/>
          <w:sz w:val="24"/>
          <w:szCs w:val="24"/>
        </w:rPr>
      </w:pPr>
      <w:r>
        <w:rPr>
          <w:rFonts w:ascii="Times New Roman" w:hAnsi="Times New Roman" w:eastAsia="仿宋"/>
          <w:kern w:val="0"/>
          <w:sz w:val="24"/>
          <w:szCs w:val="24"/>
        </w:rPr>
        <w:t>2.3技术参数要求</w:t>
      </w:r>
    </w:p>
    <w:tbl>
      <w:tblPr>
        <w:tblStyle w:val="7"/>
        <w:tblW w:w="4998" w:type="pct"/>
        <w:tblInd w:w="0" w:type="dxa"/>
        <w:tblLayout w:type="autofit"/>
        <w:tblCellMar>
          <w:top w:w="0" w:type="dxa"/>
          <w:left w:w="0" w:type="dxa"/>
          <w:bottom w:w="0" w:type="dxa"/>
          <w:right w:w="0" w:type="dxa"/>
        </w:tblCellMar>
      </w:tblPr>
      <w:tblGrid>
        <w:gridCol w:w="1976"/>
        <w:gridCol w:w="1149"/>
        <w:gridCol w:w="5238"/>
      </w:tblGrid>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项目</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参数</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工作电源</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AC220V±10% 、50Hz</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设备输出</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0～2500V（电流最大设置20A）</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b/>
                <w:bCs/>
                <w:sz w:val="21"/>
                <w:szCs w:val="21"/>
                <w:shd w:val="clear" w:color="auto" w:fill="FFFFFF"/>
                <w:lang w:eastAsia="zh-CN"/>
              </w:rPr>
            </w:pPr>
            <w:r>
              <w:rPr>
                <w:rFonts w:ascii="Times New Roman" w:hAnsi="Times New Roman" w:eastAsia="仿宋" w:cs="Times New Roman"/>
                <w:b/>
                <w:bCs/>
                <w:sz w:val="21"/>
                <w:szCs w:val="21"/>
                <w:shd w:val="clear" w:color="auto" w:fill="FFFFFF"/>
                <w:lang w:eastAsia="zh-CN"/>
              </w:rPr>
              <w:t>大电流输出</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b/>
                <w:bCs/>
                <w:sz w:val="21"/>
                <w:szCs w:val="21"/>
                <w:shd w:val="clear" w:color="auto" w:fill="FFFFFF"/>
                <w:lang w:eastAsia="zh-CN"/>
              </w:rPr>
            </w:pPr>
            <w:r>
              <w:rPr>
                <w:rFonts w:ascii="Times New Roman" w:hAnsi="Times New Roman" w:eastAsia="仿宋" w:cs="Times New Roman"/>
                <w:b/>
                <w:bCs/>
                <w:sz w:val="21"/>
                <w:szCs w:val="21"/>
                <w:shd w:val="clear" w:color="auto" w:fill="FFFFFF"/>
                <w:lang w:eastAsia="zh-CN"/>
              </w:rPr>
              <w:t>0～1000A</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励磁测量精度</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≤0.5%（0.3%*读数+0.2%*量程）</w:t>
            </w:r>
          </w:p>
        </w:tc>
      </w:tr>
      <w:tr>
        <w:tblPrEx>
          <w:tblCellMar>
            <w:top w:w="0" w:type="dxa"/>
            <w:left w:w="0" w:type="dxa"/>
            <w:bottom w:w="0" w:type="dxa"/>
            <w:right w:w="0" w:type="dxa"/>
          </w:tblCellMar>
        </w:tblPrEx>
        <w:tc>
          <w:tcPr>
            <w:tcW w:w="1181" w:type="pct"/>
            <w:vMerge w:val="restar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CT变比测量</w:t>
            </w: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范围</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≤5000A/1A(25000A/5A)</w:t>
            </w:r>
          </w:p>
        </w:tc>
      </w:tr>
      <w:tr>
        <w:tblPrEx>
          <w:tblCellMar>
            <w:top w:w="0" w:type="dxa"/>
            <w:left w:w="0" w:type="dxa"/>
            <w:bottom w:w="0" w:type="dxa"/>
            <w:right w:w="0" w:type="dxa"/>
          </w:tblCellMar>
        </w:tblPrEx>
        <w:tc>
          <w:tcPr>
            <w:tcW w:w="1181" w:type="pct"/>
            <w:vMerge w:val="continue"/>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精度</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≤0.5%</w:t>
            </w:r>
          </w:p>
        </w:tc>
      </w:tr>
      <w:tr>
        <w:tblPrEx>
          <w:tblCellMar>
            <w:top w:w="0" w:type="dxa"/>
            <w:left w:w="0" w:type="dxa"/>
            <w:bottom w:w="0" w:type="dxa"/>
            <w:right w:w="0" w:type="dxa"/>
          </w:tblCellMar>
        </w:tblPrEx>
        <w:tc>
          <w:tcPr>
            <w:tcW w:w="1181" w:type="pct"/>
            <w:vMerge w:val="restar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PT变比测量</w:t>
            </w: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范围</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5--220kV</w:t>
            </w:r>
          </w:p>
        </w:tc>
      </w:tr>
      <w:tr>
        <w:tblPrEx>
          <w:tblCellMar>
            <w:top w:w="0" w:type="dxa"/>
            <w:left w:w="0" w:type="dxa"/>
            <w:bottom w:w="0" w:type="dxa"/>
            <w:right w:w="0" w:type="dxa"/>
          </w:tblCellMar>
        </w:tblPrEx>
        <w:tc>
          <w:tcPr>
            <w:tcW w:w="1181" w:type="pct"/>
            <w:vMerge w:val="continue"/>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精度</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≤0.5%</w:t>
            </w:r>
          </w:p>
        </w:tc>
      </w:tr>
      <w:tr>
        <w:tblPrEx>
          <w:tblCellMar>
            <w:top w:w="0" w:type="dxa"/>
            <w:left w:w="0" w:type="dxa"/>
            <w:bottom w:w="0" w:type="dxa"/>
            <w:right w:w="0" w:type="dxa"/>
          </w:tblCellMar>
        </w:tblPrEx>
        <w:tc>
          <w:tcPr>
            <w:tcW w:w="1181" w:type="pct"/>
            <w:vMerge w:val="restar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工作环境</w:t>
            </w: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温度</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－10℃ ～ 40℃</w:t>
            </w:r>
          </w:p>
        </w:tc>
      </w:tr>
      <w:tr>
        <w:tblPrEx>
          <w:tblCellMar>
            <w:top w:w="0" w:type="dxa"/>
            <w:left w:w="0" w:type="dxa"/>
            <w:bottom w:w="0" w:type="dxa"/>
            <w:right w:w="0" w:type="dxa"/>
          </w:tblCellMar>
        </w:tblPrEx>
        <w:tc>
          <w:tcPr>
            <w:tcW w:w="1181" w:type="pct"/>
            <w:vMerge w:val="continue"/>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p>
        </w:tc>
        <w:tc>
          <w:tcPr>
            <w:tcW w:w="686"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湿度</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≤90%</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尺寸</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410mm × 260mm × 340mm</w:t>
            </w:r>
          </w:p>
        </w:tc>
      </w:tr>
      <w:tr>
        <w:tblPrEx>
          <w:tblCellMar>
            <w:top w:w="0" w:type="dxa"/>
            <w:left w:w="0" w:type="dxa"/>
            <w:bottom w:w="0" w:type="dxa"/>
            <w:right w:w="0" w:type="dxa"/>
          </w:tblCellMar>
        </w:tblPrEx>
        <w:tc>
          <w:tcPr>
            <w:tcW w:w="1868" w:type="pct"/>
            <w:gridSpan w:val="2"/>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重量</w:t>
            </w:r>
          </w:p>
        </w:tc>
        <w:tc>
          <w:tcPr>
            <w:tcW w:w="3131" w:type="pct"/>
            <w:tcBorders>
              <w:top w:val="single" w:color="auto" w:sz="4" w:space="0"/>
              <w:left w:val="single" w:color="auto" w:sz="4" w:space="0"/>
              <w:bottom w:val="single" w:color="auto" w:sz="4" w:space="0"/>
              <w:right w:val="single" w:color="auto" w:sz="4" w:space="0"/>
            </w:tcBorders>
            <w:tcMar>
              <w:top w:w="75" w:type="dxa"/>
              <w:left w:w="30" w:type="dxa"/>
              <w:bottom w:w="75" w:type="dxa"/>
              <w:right w:w="30" w:type="dxa"/>
            </w:tcMar>
            <w:vAlign w:val="center"/>
          </w:tcPr>
          <w:p>
            <w:pPr>
              <w:pStyle w:val="4"/>
              <w:jc w:val="center"/>
              <w:rPr>
                <w:rFonts w:ascii="Times New Roman" w:hAnsi="Times New Roman" w:eastAsia="仿宋" w:cs="Times New Roman"/>
                <w:sz w:val="21"/>
                <w:szCs w:val="21"/>
                <w:shd w:val="clear" w:color="auto" w:fill="FFFFFF"/>
                <w:lang w:eastAsia="zh-CN"/>
              </w:rPr>
            </w:pPr>
            <w:r>
              <w:rPr>
                <w:rFonts w:ascii="Times New Roman" w:hAnsi="Times New Roman" w:eastAsia="仿宋" w:cs="Times New Roman"/>
                <w:sz w:val="21"/>
                <w:szCs w:val="21"/>
                <w:shd w:val="clear" w:color="auto" w:fill="FFFFFF"/>
                <w:lang w:eastAsia="zh-CN"/>
              </w:rPr>
              <w:t>≤25kg</w:t>
            </w:r>
          </w:p>
        </w:tc>
      </w:tr>
    </w:tbl>
    <w:p>
      <w:pPr>
        <w:widowControl/>
        <w:adjustRightInd w:val="0"/>
        <w:snapToGrid w:val="0"/>
        <w:spacing w:line="360" w:lineRule="auto"/>
        <w:jc w:val="left"/>
        <w:rPr>
          <w:rFonts w:ascii="Times New Roman" w:hAnsi="Times New Roman" w:eastAsia="仿宋"/>
          <w:b/>
          <w:bCs/>
          <w:kern w:val="0"/>
          <w:sz w:val="24"/>
          <w:szCs w:val="24"/>
        </w:rPr>
      </w:pP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b/>
          <w:bCs/>
          <w:kern w:val="0"/>
          <w:sz w:val="24"/>
          <w:szCs w:val="24"/>
        </w:rPr>
        <w:t>三.质保期（质量保证承诺）</w:t>
      </w:r>
      <w:r>
        <w:rPr>
          <w:rFonts w:ascii="Times New Roman" w:hAnsi="Times New Roman" w:eastAsia="仿宋"/>
          <w:kern w:val="0"/>
          <w:sz w:val="24"/>
          <w:szCs w:val="24"/>
        </w:rPr>
        <w:t xml:space="preserve">： </w:t>
      </w:r>
    </w:p>
    <w:p>
      <w:pPr>
        <w:widowControl/>
        <w:adjustRightInd w:val="0"/>
        <w:snapToGrid w:val="0"/>
        <w:spacing w:line="360" w:lineRule="auto"/>
        <w:jc w:val="left"/>
        <w:rPr>
          <w:rFonts w:ascii="Times New Roman" w:hAnsi="Times New Roman" w:eastAsia="仿宋"/>
          <w:color w:val="000000"/>
          <w:kern w:val="0"/>
          <w:sz w:val="24"/>
          <w:szCs w:val="24"/>
        </w:rPr>
      </w:pPr>
      <w:r>
        <w:rPr>
          <w:rFonts w:ascii="Times New Roman" w:hAnsi="Times New Roman" w:eastAsia="仿宋"/>
          <w:color w:val="000000"/>
          <w:kern w:val="0"/>
          <w:sz w:val="24"/>
          <w:szCs w:val="24"/>
        </w:rPr>
        <w:tab/>
      </w:r>
      <w:r>
        <w:rPr>
          <w:rFonts w:ascii="Times New Roman" w:hAnsi="Times New Roman" w:eastAsia="仿宋"/>
          <w:color w:val="000000"/>
          <w:kern w:val="0"/>
          <w:sz w:val="24"/>
          <w:szCs w:val="24"/>
        </w:rPr>
        <w:t>设备验收合格后</w:t>
      </w:r>
      <w:r>
        <w:rPr>
          <w:rFonts w:ascii="Times New Roman" w:hAnsi="Times New Roman" w:eastAsia="仿宋"/>
          <w:color w:val="000000"/>
          <w:kern w:val="0"/>
          <w:sz w:val="24"/>
          <w:szCs w:val="24"/>
          <w:u w:val="single"/>
        </w:rPr>
        <w:t xml:space="preserve"> 12 </w:t>
      </w:r>
      <w:r>
        <w:rPr>
          <w:rFonts w:ascii="Times New Roman" w:hAnsi="Times New Roman" w:eastAsia="仿宋"/>
          <w:color w:val="000000"/>
          <w:kern w:val="0"/>
          <w:sz w:val="24"/>
          <w:szCs w:val="24"/>
        </w:rPr>
        <w:t>个月</w:t>
      </w: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四.设备要求</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b/>
          <w:bCs/>
          <w:kern w:val="0"/>
          <w:sz w:val="24"/>
          <w:szCs w:val="24"/>
        </w:rPr>
        <w:t>4.1 包装方式和要求：</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4.1.1 设备制造完成并通过试验后应及时包装, 否则应得到切实的保护, 确保其不受污损。</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4.1.2所有部件经妥善包装或装箱后, 在运输过程中尚应采取其它防护措施, 以免散失损坏或被盗。</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4.1.3在包装箱外应标明需方的订货号、发货号。</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4.1.4各种包装应能确保各零部件在运输过程中不致遭到损坏、丢失、变形、受潮和腐蚀。</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4.1.5包装箱上应有明显的包装储运图示标志(按 GB/T 191-2008)。</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4.1.6整体产品或分别运输的部件都要适合运输和装载的要求。</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4.1.7随产品提供的技术资料应完整无缺。</w:t>
      </w: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4.2 运输：</w:t>
      </w:r>
    </w:p>
    <w:p>
      <w:pPr>
        <w:widowControl/>
        <w:adjustRightInd w:val="0"/>
        <w:snapToGrid w:val="0"/>
        <w:spacing w:line="360" w:lineRule="auto"/>
        <w:ind w:firstLine="480" w:firstLineChars="200"/>
        <w:rPr>
          <w:rFonts w:ascii="Times New Roman" w:hAnsi="Times New Roman" w:eastAsia="仿宋"/>
          <w:color w:val="000000"/>
          <w:kern w:val="0"/>
          <w:sz w:val="24"/>
          <w:szCs w:val="24"/>
        </w:rPr>
      </w:pPr>
      <w:r>
        <w:rPr>
          <w:rFonts w:ascii="Times New Roman" w:hAnsi="Times New Roman" w:eastAsia="仿宋"/>
          <w:color w:val="000000"/>
          <w:kern w:val="0"/>
          <w:sz w:val="24"/>
          <w:szCs w:val="24"/>
        </w:rPr>
        <w:t>必须采取符合设备要求的合理形式对设备运输和贮存，并且由委托方专人全程跟踪。</w:t>
      </w:r>
    </w:p>
    <w:p>
      <w:pPr>
        <w:widowControl/>
        <w:adjustRightInd w:val="0"/>
        <w:snapToGrid w:val="0"/>
        <w:spacing w:line="360" w:lineRule="auto"/>
        <w:ind w:firstLine="480" w:firstLineChars="200"/>
        <w:rPr>
          <w:rFonts w:ascii="Times New Roman" w:hAnsi="Times New Roman" w:eastAsia="仿宋"/>
          <w:color w:val="000000"/>
          <w:kern w:val="0"/>
          <w:sz w:val="24"/>
          <w:szCs w:val="24"/>
        </w:rPr>
      </w:pPr>
      <w:r>
        <w:rPr>
          <w:rFonts w:ascii="Times New Roman" w:hAnsi="Times New Roman" w:eastAsia="仿宋"/>
          <w:color w:val="000000"/>
          <w:kern w:val="0"/>
          <w:sz w:val="24"/>
          <w:szCs w:val="24"/>
        </w:rPr>
        <w:t>设备从乙方地到目的地的运输由乙方负责。</w:t>
      </w:r>
    </w:p>
    <w:p>
      <w:pPr>
        <w:widowControl/>
        <w:adjustRightInd w:val="0"/>
        <w:snapToGrid w:val="0"/>
        <w:spacing w:line="360" w:lineRule="auto"/>
        <w:ind w:firstLine="480" w:firstLineChars="200"/>
        <w:rPr>
          <w:rFonts w:ascii="Times New Roman" w:hAnsi="Times New Roman" w:eastAsia="仿宋"/>
          <w:color w:val="000000"/>
          <w:kern w:val="0"/>
          <w:sz w:val="24"/>
          <w:szCs w:val="24"/>
        </w:rPr>
      </w:pPr>
      <w:r>
        <w:rPr>
          <w:rFonts w:ascii="Times New Roman" w:hAnsi="Times New Roman" w:eastAsia="仿宋"/>
          <w:color w:val="000000"/>
          <w:kern w:val="0"/>
          <w:sz w:val="24"/>
          <w:szCs w:val="24"/>
        </w:rPr>
        <w:t>在设备抵达目的地后，乙方组织、甲方参加，开箱验收。如果发现任一设备有偏差、损坏、损失、遗漏或数量、质量、技术规范因乙方的责任与合同不符，甲方有权向乙方提出索赔。</w:t>
      </w:r>
    </w:p>
    <w:p>
      <w:pPr>
        <w:widowControl/>
        <w:adjustRightInd w:val="0"/>
        <w:snapToGrid w:val="0"/>
        <w:spacing w:line="360" w:lineRule="auto"/>
        <w:ind w:firstLine="480" w:firstLineChars="200"/>
        <w:rPr>
          <w:rFonts w:ascii="Times New Roman" w:hAnsi="Times New Roman" w:eastAsia="仿宋"/>
          <w:color w:val="000000"/>
          <w:kern w:val="0"/>
          <w:sz w:val="24"/>
          <w:szCs w:val="24"/>
        </w:rPr>
      </w:pPr>
      <w:r>
        <w:rPr>
          <w:rFonts w:ascii="Times New Roman" w:hAnsi="Times New Roman" w:eastAsia="仿宋"/>
          <w:color w:val="000000"/>
          <w:kern w:val="0"/>
          <w:sz w:val="24"/>
          <w:szCs w:val="24"/>
        </w:rPr>
        <w:t>现场交接的最终验收完成之后，乙方代表将设备移交甲方进行贮存。</w:t>
      </w:r>
    </w:p>
    <w:p>
      <w:pPr>
        <w:spacing w:line="360" w:lineRule="auto"/>
        <w:rPr>
          <w:rFonts w:ascii="Times New Roman" w:hAnsi="Times New Roman" w:eastAsia="仿宋"/>
          <w:b/>
          <w:bCs/>
          <w:color w:val="000000"/>
          <w:kern w:val="0"/>
          <w:sz w:val="24"/>
          <w:szCs w:val="24"/>
        </w:rPr>
      </w:pPr>
      <w:r>
        <w:rPr>
          <w:rFonts w:ascii="Times New Roman" w:hAnsi="Times New Roman" w:eastAsia="仿宋"/>
          <w:b/>
          <w:bCs/>
          <w:kern w:val="0"/>
          <w:sz w:val="24"/>
          <w:szCs w:val="24"/>
        </w:rPr>
        <w:t xml:space="preserve">4.3 </w:t>
      </w:r>
      <w:r>
        <w:rPr>
          <w:rFonts w:ascii="Times New Roman" w:hAnsi="Times New Roman" w:eastAsia="仿宋"/>
          <w:b/>
          <w:bCs/>
          <w:color w:val="000000"/>
          <w:kern w:val="0"/>
          <w:sz w:val="24"/>
          <w:szCs w:val="24"/>
        </w:rPr>
        <w:t>验收地点：</w:t>
      </w:r>
    </w:p>
    <w:p>
      <w:pPr>
        <w:spacing w:line="360" w:lineRule="auto"/>
        <w:rPr>
          <w:rFonts w:ascii="Times New Roman" w:hAnsi="Times New Roman" w:eastAsia="仿宋"/>
          <w:color w:val="000000"/>
          <w:kern w:val="0"/>
          <w:sz w:val="24"/>
          <w:szCs w:val="24"/>
        </w:rPr>
      </w:pPr>
      <w:r>
        <w:rPr>
          <w:rFonts w:ascii="Times New Roman" w:hAnsi="Times New Roman" w:eastAsia="仿宋"/>
          <w:color w:val="000000"/>
          <w:kern w:val="0"/>
          <w:sz w:val="24"/>
          <w:szCs w:val="24"/>
        </w:rPr>
        <w:t>云南电力试验研究院（集团）有限公司指定位置</w:t>
      </w: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4.4 安装和调试：</w:t>
      </w:r>
    </w:p>
    <w:p>
      <w:pPr>
        <w:widowControl/>
        <w:spacing w:line="360" w:lineRule="auto"/>
        <w:jc w:val="left"/>
        <w:rPr>
          <w:rFonts w:ascii="Times New Roman" w:hAnsi="Times New Roman" w:eastAsia="仿宋"/>
          <w:sz w:val="24"/>
          <w:szCs w:val="24"/>
        </w:rPr>
      </w:pPr>
      <w:r>
        <w:rPr>
          <w:rFonts w:ascii="Times New Roman" w:hAnsi="Times New Roman" w:eastAsia="仿宋"/>
          <w:kern w:val="0"/>
          <w:sz w:val="24"/>
          <w:szCs w:val="24"/>
        </w:rPr>
        <w:t>4.4.</w:t>
      </w:r>
      <w:r>
        <w:rPr>
          <w:rFonts w:ascii="Times New Roman" w:hAnsi="Times New Roman" w:eastAsia="仿宋"/>
          <w:kern w:val="0"/>
          <w:sz w:val="24"/>
          <w:szCs w:val="24"/>
          <w:lang w:bidi="ar"/>
        </w:rPr>
        <w:t>1乙方负责按国家相关标准或要求及本合同的约定进行安装和调试的工作，以使设备具备正常安全预定的使用功能及性能，并满足合同附件要求。并负责对甲方人员进行技术指导及培训，直到甲方人员能正常、正确、安全操作该设备为止，以保证货物达到预定的性能。乙方承担安装期间所有的安装调试费用，接受并服从甲方的管理与监督。</w:t>
      </w:r>
      <w:r>
        <w:rPr>
          <w:rFonts w:ascii="Times New Roman" w:hAnsi="Times New Roman" w:eastAsia="仿宋"/>
          <w:kern w:val="0"/>
          <w:sz w:val="24"/>
          <w:szCs w:val="24"/>
          <w:lang w:bidi="ar"/>
        </w:rPr>
        <w:br w:type="textWrapping"/>
      </w:r>
      <w:r>
        <w:rPr>
          <w:rFonts w:ascii="Times New Roman" w:hAnsi="Times New Roman" w:eastAsia="仿宋"/>
          <w:kern w:val="0"/>
          <w:sz w:val="24"/>
          <w:szCs w:val="24"/>
        </w:rPr>
        <w:t>4.4.</w:t>
      </w:r>
      <w:r>
        <w:rPr>
          <w:rFonts w:ascii="Times New Roman" w:hAnsi="Times New Roman" w:eastAsia="仿宋"/>
          <w:kern w:val="0"/>
          <w:sz w:val="24"/>
          <w:szCs w:val="24"/>
          <w:lang w:bidi="ar"/>
        </w:rPr>
        <w:t>2乙方应在货物初步验收合格后</w:t>
      </w:r>
      <w:r>
        <w:rPr>
          <w:rFonts w:ascii="Times New Roman" w:hAnsi="Times New Roman" w:eastAsia="仿宋"/>
          <w:kern w:val="0"/>
          <w:sz w:val="24"/>
          <w:szCs w:val="24"/>
          <w:u w:val="single"/>
          <w:lang w:bidi="ar"/>
        </w:rPr>
        <w:t xml:space="preserve"> 15 </w:t>
      </w:r>
      <w:r>
        <w:rPr>
          <w:rFonts w:ascii="Times New Roman" w:hAnsi="Times New Roman" w:eastAsia="仿宋"/>
          <w:kern w:val="0"/>
          <w:sz w:val="24"/>
          <w:szCs w:val="24"/>
          <w:lang w:bidi="ar"/>
        </w:rPr>
        <w:t>日内安装调试培训完毕，在乙方安装调试过程中，乙方应严格按照操作规程进行操作，并承担安装调试过程中发生的一切责任及费用。安装调试期间本项目的半成品、材料、设备及工具等，由乙方自行保管，如有遗失或损坏，由乙方自行承担责任。</w:t>
      </w:r>
      <w:r>
        <w:rPr>
          <w:rFonts w:ascii="Times New Roman" w:hAnsi="Times New Roman" w:eastAsia="仿宋"/>
          <w:kern w:val="0"/>
          <w:sz w:val="24"/>
          <w:szCs w:val="24"/>
          <w:lang w:bidi="ar"/>
        </w:rPr>
        <w:br w:type="textWrapping"/>
      </w:r>
      <w:r>
        <w:rPr>
          <w:rFonts w:ascii="Times New Roman" w:hAnsi="Times New Roman" w:eastAsia="仿宋"/>
          <w:kern w:val="0"/>
          <w:sz w:val="24"/>
          <w:szCs w:val="24"/>
        </w:rPr>
        <w:t>4.4.</w:t>
      </w:r>
      <w:r>
        <w:rPr>
          <w:rFonts w:ascii="Times New Roman" w:hAnsi="Times New Roman" w:eastAsia="仿宋"/>
          <w:kern w:val="0"/>
          <w:sz w:val="24"/>
          <w:szCs w:val="24"/>
          <w:lang w:bidi="ar"/>
        </w:rPr>
        <w:t>3货物安装调试完毕正常运行</w:t>
      </w:r>
      <w:r>
        <w:rPr>
          <w:rFonts w:ascii="Times New Roman" w:hAnsi="Times New Roman" w:eastAsia="仿宋"/>
          <w:kern w:val="0"/>
          <w:sz w:val="24"/>
          <w:szCs w:val="24"/>
          <w:u w:val="single"/>
          <w:lang w:bidi="ar"/>
        </w:rPr>
        <w:t xml:space="preserve"> 15 </w:t>
      </w:r>
      <w:r>
        <w:rPr>
          <w:rFonts w:ascii="Times New Roman" w:hAnsi="Times New Roman" w:eastAsia="仿宋"/>
          <w:kern w:val="0"/>
          <w:sz w:val="24"/>
          <w:szCs w:val="24"/>
          <w:lang w:bidi="ar"/>
        </w:rPr>
        <w:t>日内，甲方应及时组织人员对货物进行测试或试运行。若货物存在缺陷，乙方应在</w:t>
      </w:r>
      <w:r>
        <w:rPr>
          <w:rFonts w:ascii="Times New Roman" w:hAnsi="Times New Roman" w:eastAsia="仿宋"/>
          <w:kern w:val="0"/>
          <w:sz w:val="24"/>
          <w:szCs w:val="24"/>
          <w:u w:val="single"/>
          <w:lang w:bidi="ar"/>
        </w:rPr>
        <w:t xml:space="preserve"> 30 </w:t>
      </w:r>
      <w:r>
        <w:rPr>
          <w:rFonts w:ascii="Times New Roman" w:hAnsi="Times New Roman" w:eastAsia="仿宋"/>
          <w:kern w:val="0"/>
          <w:sz w:val="24"/>
          <w:szCs w:val="24"/>
          <w:lang w:bidi="ar"/>
        </w:rPr>
        <w:t>日内及时整改，使货物达到合同约定的性能，否则甲方有权解除合同。整改发生的费用应由乙方承担。</w:t>
      </w:r>
      <w:r>
        <w:rPr>
          <w:rFonts w:ascii="Times New Roman" w:hAnsi="Times New Roman" w:eastAsia="仿宋"/>
          <w:kern w:val="0"/>
          <w:sz w:val="24"/>
          <w:szCs w:val="24"/>
          <w:lang w:bidi="ar"/>
        </w:rPr>
        <w:br w:type="textWrapping"/>
      </w:r>
      <w:r>
        <w:rPr>
          <w:rFonts w:ascii="Times New Roman" w:hAnsi="Times New Roman" w:eastAsia="仿宋"/>
          <w:kern w:val="0"/>
          <w:sz w:val="24"/>
          <w:szCs w:val="24"/>
        </w:rPr>
        <w:t>4.4.</w:t>
      </w:r>
      <w:r>
        <w:rPr>
          <w:rFonts w:ascii="Times New Roman" w:hAnsi="Times New Roman" w:eastAsia="仿宋"/>
          <w:kern w:val="0"/>
          <w:sz w:val="24"/>
          <w:szCs w:val="24"/>
          <w:lang w:bidi="ar"/>
        </w:rPr>
        <w:t>4当本合同所列货物安装调试培训完毕，并通过甲方的正式验收后，双方签字确认，货物正式交付给甲方，视为正式验收合格，在此之前货物的毁损、灭失等风险由乙方承担。</w:t>
      </w: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 xml:space="preserve">4.5. 培训： </w:t>
      </w:r>
    </w:p>
    <w:p>
      <w:pPr>
        <w:widowControl/>
        <w:adjustRightInd w:val="0"/>
        <w:snapToGrid w:val="0"/>
        <w:spacing w:line="360" w:lineRule="auto"/>
        <w:jc w:val="left"/>
        <w:rPr>
          <w:rFonts w:ascii="Times New Roman" w:hAnsi="Times New Roman" w:eastAsia="仿宋"/>
          <w:color w:val="000000"/>
          <w:kern w:val="0"/>
          <w:sz w:val="24"/>
          <w:szCs w:val="24"/>
        </w:rPr>
      </w:pPr>
      <w:r>
        <w:rPr>
          <w:rFonts w:ascii="Times New Roman" w:hAnsi="Times New Roman" w:eastAsia="仿宋"/>
          <w:kern w:val="0"/>
          <w:sz w:val="24"/>
          <w:szCs w:val="24"/>
        </w:rPr>
        <w:t>4.5.</w:t>
      </w:r>
      <w:r>
        <w:rPr>
          <w:rFonts w:ascii="Times New Roman" w:hAnsi="Times New Roman" w:eastAsia="仿宋"/>
          <w:color w:val="000000"/>
          <w:kern w:val="0"/>
          <w:sz w:val="24"/>
          <w:szCs w:val="24"/>
        </w:rPr>
        <w:t>1卖方应负责与合同设备有关的培训工作。</w:t>
      </w:r>
    </w:p>
    <w:p>
      <w:pPr>
        <w:widowControl/>
        <w:adjustRightInd w:val="0"/>
        <w:snapToGrid w:val="0"/>
        <w:spacing w:line="360" w:lineRule="auto"/>
        <w:jc w:val="left"/>
        <w:rPr>
          <w:rFonts w:ascii="Times New Roman" w:hAnsi="Times New Roman" w:eastAsia="仿宋"/>
          <w:color w:val="000000"/>
          <w:kern w:val="0"/>
          <w:sz w:val="24"/>
          <w:szCs w:val="24"/>
        </w:rPr>
      </w:pPr>
      <w:r>
        <w:rPr>
          <w:rFonts w:ascii="Times New Roman" w:hAnsi="Times New Roman" w:eastAsia="仿宋"/>
          <w:kern w:val="0"/>
          <w:sz w:val="24"/>
          <w:szCs w:val="24"/>
        </w:rPr>
        <w:t>4.5.</w:t>
      </w:r>
      <w:r>
        <w:rPr>
          <w:rFonts w:ascii="Times New Roman" w:hAnsi="Times New Roman" w:eastAsia="仿宋"/>
          <w:color w:val="000000"/>
          <w:kern w:val="0"/>
          <w:sz w:val="24"/>
          <w:szCs w:val="24"/>
        </w:rPr>
        <w:t>2培训至</w:t>
      </w:r>
      <w:r>
        <w:rPr>
          <w:rFonts w:ascii="Times New Roman" w:hAnsi="Times New Roman" w:eastAsia="仿宋"/>
          <w:kern w:val="0"/>
          <w:sz w:val="24"/>
          <w:szCs w:val="24"/>
          <w:lang w:bidi="ar"/>
        </w:rPr>
        <w:t>人员能正常、正确、安全操作该设备为止</w:t>
      </w:r>
      <w:r>
        <w:rPr>
          <w:rFonts w:ascii="Times New Roman" w:hAnsi="Times New Roman" w:eastAsia="仿宋"/>
          <w:color w:val="000000"/>
          <w:kern w:val="0"/>
          <w:sz w:val="24"/>
          <w:szCs w:val="24"/>
        </w:rPr>
        <w:t>。</w:t>
      </w:r>
    </w:p>
    <w:p>
      <w:pPr>
        <w:widowControl/>
        <w:adjustRightInd w:val="0"/>
        <w:snapToGrid w:val="0"/>
        <w:spacing w:line="360" w:lineRule="auto"/>
        <w:jc w:val="left"/>
        <w:rPr>
          <w:rFonts w:ascii="Times New Roman" w:hAnsi="Times New Roman" w:eastAsia="仿宋"/>
          <w:color w:val="000000"/>
          <w:kern w:val="0"/>
          <w:sz w:val="24"/>
          <w:szCs w:val="24"/>
        </w:rPr>
      </w:pPr>
      <w:r>
        <w:rPr>
          <w:rFonts w:ascii="Times New Roman" w:hAnsi="Times New Roman" w:eastAsia="仿宋"/>
          <w:kern w:val="0"/>
          <w:sz w:val="24"/>
          <w:szCs w:val="24"/>
        </w:rPr>
        <w:t>4.5.</w:t>
      </w:r>
      <w:r>
        <w:rPr>
          <w:rFonts w:ascii="Times New Roman" w:hAnsi="Times New Roman" w:eastAsia="仿宋"/>
          <w:color w:val="000000"/>
          <w:kern w:val="0"/>
          <w:sz w:val="24"/>
          <w:szCs w:val="24"/>
        </w:rPr>
        <w:t>3培训的费用(包括食宿费、会议费、资料费等)由卖方承担。</w:t>
      </w:r>
    </w:p>
    <w:p>
      <w:pPr>
        <w:widowControl/>
        <w:adjustRightInd w:val="0"/>
        <w:snapToGrid w:val="0"/>
        <w:spacing w:line="360" w:lineRule="auto"/>
        <w:rPr>
          <w:rFonts w:ascii="Times New Roman" w:hAnsi="Times New Roman" w:eastAsia="仿宋"/>
          <w:color w:val="000000"/>
          <w:kern w:val="0"/>
          <w:sz w:val="24"/>
          <w:szCs w:val="24"/>
        </w:rPr>
      </w:pPr>
      <w:r>
        <w:rPr>
          <w:rFonts w:ascii="Times New Roman" w:hAnsi="Times New Roman" w:eastAsia="仿宋"/>
          <w:kern w:val="0"/>
          <w:sz w:val="24"/>
          <w:szCs w:val="24"/>
        </w:rPr>
        <w:t>4.5.</w:t>
      </w:r>
      <w:r>
        <w:rPr>
          <w:rFonts w:ascii="Times New Roman" w:hAnsi="Times New Roman" w:eastAsia="仿宋"/>
          <w:color w:val="000000"/>
          <w:kern w:val="0"/>
          <w:sz w:val="24"/>
          <w:szCs w:val="24"/>
        </w:rPr>
        <w:t>4现场培训，培训地点，招标方现场，培训人数、时间由招标方和投标人协商决定。</w:t>
      </w: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4.6 售后服务承诺：</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4.6.1供方对所供设备实行质量“三包”（包修、包换、包退），在使用中、运行中出现质量问题，在接到通知后的 24 小时内答复，在 48小时内派员到达现场,处理问题。</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4.6.2需方认为有必要提前交货，可同供方协商，确定提前交货日，供方应大力支持。</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4.6.3供方应及时提供与本合同设备有关的工程设计、设备监造、检验、土建、安装、调试、验收、性能验收试验、运行、检修等相应的技术指导、技术配合、技术培训等全过程的服务。</w:t>
      </w:r>
    </w:p>
    <w:p>
      <w:pPr>
        <w:widowControl/>
        <w:adjustRightInd w:val="0"/>
        <w:snapToGrid w:val="0"/>
        <w:spacing w:line="360" w:lineRule="auto"/>
        <w:jc w:val="left"/>
        <w:rPr>
          <w:rFonts w:ascii="Times New Roman" w:hAnsi="Times New Roman" w:eastAsia="仿宋"/>
          <w:kern w:val="0"/>
          <w:sz w:val="24"/>
          <w:szCs w:val="24"/>
        </w:rPr>
      </w:pPr>
      <w:r>
        <w:rPr>
          <w:rFonts w:ascii="Times New Roman" w:hAnsi="Times New Roman" w:eastAsia="仿宋"/>
          <w:kern w:val="0"/>
          <w:sz w:val="24"/>
          <w:szCs w:val="24"/>
        </w:rPr>
        <w:t>4.6.4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spacing w:line="360" w:lineRule="auto"/>
        <w:rPr>
          <w:rFonts w:ascii="Times New Roman" w:hAnsi="Times New Roman" w:eastAsia="仿宋"/>
          <w:b/>
          <w:bCs/>
          <w:sz w:val="24"/>
          <w:szCs w:val="24"/>
        </w:rPr>
      </w:pPr>
      <w:r>
        <w:rPr>
          <w:rFonts w:ascii="Times New Roman" w:hAnsi="Times New Roman" w:eastAsia="仿宋"/>
          <w:b/>
          <w:bCs/>
          <w:sz w:val="24"/>
          <w:szCs w:val="24"/>
        </w:rPr>
        <w:t>4.8交付成果、验收</w:t>
      </w:r>
    </w:p>
    <w:p>
      <w:pPr>
        <w:widowControl/>
        <w:adjustRightInd w:val="0"/>
        <w:snapToGrid w:val="0"/>
        <w:spacing w:line="360" w:lineRule="auto"/>
        <w:jc w:val="left"/>
        <w:rPr>
          <w:rFonts w:ascii="Times New Roman" w:hAnsi="Times New Roman" w:eastAsia="仿宋"/>
          <w:sz w:val="24"/>
          <w:szCs w:val="24"/>
        </w:rPr>
      </w:pPr>
      <w:r>
        <w:rPr>
          <w:rFonts w:ascii="Times New Roman" w:hAnsi="Times New Roman" w:eastAsia="仿宋"/>
          <w:sz w:val="24"/>
          <w:szCs w:val="24"/>
        </w:rPr>
        <w:t>乙方按甲方要求完成项目即达到验收条件。</w:t>
      </w:r>
    </w:p>
    <w:p>
      <w:pPr>
        <w:widowControl/>
        <w:adjustRightInd w:val="0"/>
        <w:snapToGrid w:val="0"/>
        <w:spacing w:line="360" w:lineRule="auto"/>
        <w:ind w:firstLine="480" w:firstLineChars="200"/>
        <w:jc w:val="left"/>
        <w:rPr>
          <w:rFonts w:ascii="Times New Roman" w:hAnsi="Times New Roman" w:eastAsia="仿宋"/>
          <w:kern w:val="0"/>
          <w:sz w:val="24"/>
          <w:szCs w:val="24"/>
        </w:rPr>
      </w:pPr>
      <w:r>
        <w:rPr>
          <w:rFonts w:ascii="Times New Roman" w:hAnsi="Times New Roman" w:eastAsia="仿宋"/>
          <w:kern w:val="0"/>
          <w:sz w:val="24"/>
          <w:szCs w:val="24"/>
        </w:rPr>
        <w:t>项目验收为竣工验收，具体要求如下：</w:t>
      </w:r>
    </w:p>
    <w:p>
      <w:pPr>
        <w:widowControl/>
        <w:adjustRightInd w:val="0"/>
        <w:snapToGrid w:val="0"/>
        <w:spacing w:line="360" w:lineRule="auto"/>
        <w:jc w:val="left"/>
        <w:rPr>
          <w:rFonts w:ascii="Times New Roman" w:hAnsi="Times New Roman" w:eastAsia="仿宋"/>
          <w:sz w:val="24"/>
          <w:szCs w:val="24"/>
        </w:rPr>
      </w:pPr>
      <w:r>
        <w:rPr>
          <w:rFonts w:ascii="Times New Roman" w:hAnsi="Times New Roman" w:eastAsia="仿宋"/>
          <w:kern w:val="0"/>
          <w:sz w:val="24"/>
          <w:szCs w:val="24"/>
        </w:rPr>
        <w:t>  竣工验收是指项目涉及交付成果全部完成，并经过相关评审，由集团公司按照国家、行业及企业有关标准规范及合同要求组织进行验收。</w:t>
      </w:r>
    </w:p>
    <w:p>
      <w:pPr>
        <w:rPr>
          <w:rFonts w:ascii="Times New Roman" w:hAnsi="Times New Roman" w:eastAsia="仿宋"/>
        </w:rPr>
      </w:pP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四.采购清册及权重</w:t>
      </w:r>
    </w:p>
    <w:p>
      <w:pPr>
        <w:widowControl/>
        <w:adjustRightInd w:val="0"/>
        <w:snapToGrid w:val="0"/>
        <w:spacing w:line="360" w:lineRule="auto"/>
        <w:ind w:firstLine="480" w:firstLineChars="200"/>
        <w:jc w:val="left"/>
        <w:rPr>
          <w:rFonts w:ascii="Times New Roman" w:hAnsi="Times New Roman" w:eastAsia="仿宋"/>
          <w:sz w:val="24"/>
          <w:szCs w:val="24"/>
        </w:rPr>
      </w:pPr>
      <w:r>
        <w:rPr>
          <w:rFonts w:ascii="Times New Roman" w:hAnsi="Times New Roman" w:eastAsia="仿宋"/>
          <w:color w:val="000000"/>
          <w:kern w:val="0"/>
          <w:sz w:val="24"/>
          <w:szCs w:val="24"/>
        </w:rPr>
        <w:t>物资采购清册</w:t>
      </w:r>
      <w:r>
        <w:rPr>
          <w:rFonts w:ascii="Times New Roman" w:hAnsi="Times New Roman" w:eastAsia="仿宋"/>
          <w:color w:val="FF0000"/>
          <w:kern w:val="0"/>
          <w:sz w:val="24"/>
          <w:szCs w:val="24"/>
        </w:rPr>
        <w:t>（该表格必须在报价表基础上确定，其中的物资采购清册内容应与报价表中报价清单一致，权重由需求部门根据实际需要设定）</w:t>
      </w:r>
    </w:p>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880"/>
        <w:gridCol w:w="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序号</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名称</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规格</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数量</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单位</w:t>
            </w:r>
          </w:p>
        </w:tc>
        <w:tc>
          <w:tcPr>
            <w:tcW w:w="1880"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最高限价（万元）</w:t>
            </w:r>
          </w:p>
        </w:tc>
        <w:tc>
          <w:tcPr>
            <w:tcW w:w="758"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1</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rPr>
              <w:t>互感器伏安变比极性综合测试仪</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2</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台</w:t>
            </w:r>
          </w:p>
        </w:tc>
        <w:tc>
          <w:tcPr>
            <w:tcW w:w="188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4.5</w:t>
            </w:r>
          </w:p>
        </w:tc>
        <w:tc>
          <w:tcPr>
            <w:tcW w:w="758"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88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758"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bl>
    <w:p>
      <w:pPr>
        <w:widowControl/>
        <w:adjustRightInd w:val="0"/>
        <w:snapToGrid w:val="0"/>
        <w:spacing w:line="360" w:lineRule="auto"/>
        <w:jc w:val="left"/>
        <w:rPr>
          <w:rFonts w:ascii="Times New Roman" w:hAnsi="Times New Roman" w:eastAsia="仿宋"/>
          <w:b/>
          <w:bCs/>
          <w:kern w:val="0"/>
          <w:sz w:val="24"/>
          <w:szCs w:val="24"/>
        </w:rPr>
      </w:pPr>
    </w:p>
    <w:p>
      <w:pPr>
        <w:widowControl/>
        <w:adjustRightInd w:val="0"/>
        <w:snapToGrid w:val="0"/>
        <w:spacing w:line="360" w:lineRule="auto"/>
        <w:jc w:val="left"/>
        <w:rPr>
          <w:rFonts w:ascii="Times New Roman" w:hAnsi="Times New Roman" w:eastAsia="仿宋"/>
          <w:b/>
          <w:bCs/>
          <w:kern w:val="0"/>
          <w:sz w:val="24"/>
          <w:szCs w:val="24"/>
        </w:rPr>
      </w:pPr>
      <w:r>
        <w:rPr>
          <w:rFonts w:ascii="Times New Roman" w:hAnsi="Times New Roman" w:eastAsia="仿宋"/>
          <w:b/>
          <w:bCs/>
          <w:kern w:val="0"/>
          <w:sz w:val="24"/>
          <w:szCs w:val="24"/>
        </w:rPr>
        <w:t>五.报价方面</w:t>
      </w:r>
      <w:r>
        <w:rPr>
          <w:rFonts w:ascii="Times New Roman" w:hAnsi="Times New Roman" w:eastAsia="仿宋"/>
          <w:color w:val="FF0000"/>
          <w:kern w:val="0"/>
          <w:sz w:val="24"/>
          <w:szCs w:val="24"/>
        </w:rPr>
        <w:t>（该表格必须由需求部门预先在资产系统中建立物资采购目录，经签字、盖章、确认后作为附件提供）</w:t>
      </w:r>
    </w:p>
    <w:p>
      <w:pPr>
        <w:widowControl/>
        <w:adjustRightInd w:val="0"/>
        <w:snapToGrid w:val="0"/>
        <w:spacing w:line="360" w:lineRule="auto"/>
        <w:ind w:firstLine="480" w:firstLineChars="200"/>
        <w:jc w:val="left"/>
        <w:rPr>
          <w:rFonts w:ascii="Times New Roman" w:hAnsi="Times New Roman" w:eastAsia="仿宋"/>
          <w:kern w:val="0"/>
          <w:sz w:val="24"/>
          <w:szCs w:val="24"/>
        </w:rPr>
      </w:pPr>
      <w:r>
        <w:rPr>
          <w:rFonts w:ascii="Times New Roman" w:hAnsi="Times New Roman" w:eastAsia="仿宋"/>
          <w:kern w:val="0"/>
          <w:sz w:val="24"/>
          <w:szCs w:val="24"/>
        </w:rPr>
        <w:t>报价方式：固定总价报价</w:t>
      </w:r>
      <w:r>
        <w:rPr>
          <w:rFonts w:ascii="Times New Roman" w:hAnsi="Times New Roman" w:eastAsia="仿宋"/>
          <w:color w:val="FF0000"/>
          <w:kern w:val="0"/>
          <w:sz w:val="24"/>
          <w:szCs w:val="24"/>
        </w:rPr>
        <w:t>（包含税）/固定单价报价（包含税）</w:t>
      </w:r>
      <w:r>
        <w:rPr>
          <w:rFonts w:ascii="Times New Roman" w:hAnsi="Times New Roman" w:eastAsia="仿宋"/>
          <w:kern w:val="0"/>
          <w:sz w:val="24"/>
          <w:szCs w:val="24"/>
        </w:rPr>
        <w:t>；</w:t>
      </w:r>
    </w:p>
    <w:p>
      <w:pPr>
        <w:widowControl/>
        <w:adjustRightInd w:val="0"/>
        <w:snapToGrid w:val="0"/>
        <w:spacing w:line="360" w:lineRule="auto"/>
        <w:ind w:firstLine="480" w:firstLineChars="200"/>
        <w:jc w:val="left"/>
        <w:rPr>
          <w:rFonts w:ascii="Times New Roman" w:hAnsi="Times New Roman" w:eastAsia="仿宋"/>
          <w:kern w:val="0"/>
          <w:sz w:val="24"/>
          <w:szCs w:val="24"/>
        </w:rPr>
      </w:pPr>
      <w:r>
        <w:rPr>
          <w:rFonts w:ascii="Times New Roman" w:hAnsi="Times New Roman" w:eastAsia="仿宋"/>
          <w:kern w:val="0"/>
          <w:sz w:val="24"/>
          <w:szCs w:val="24"/>
        </w:rPr>
        <w:t>报价明细</w:t>
      </w:r>
      <w:r>
        <w:rPr>
          <w:rFonts w:ascii="Times New Roman" w:hAnsi="Times New Roman" w:eastAsia="仿宋"/>
          <w:b/>
          <w:bCs/>
          <w:color w:val="FF0000"/>
          <w:kern w:val="0"/>
          <w:sz w:val="24"/>
          <w:szCs w:val="24"/>
        </w:rPr>
        <w:t>（可根据项目情况增加内容）</w:t>
      </w:r>
      <w:r>
        <w:rPr>
          <w:rFonts w:ascii="Times New Roman" w:hAnsi="Times New Roman" w:eastAsia="仿宋"/>
          <w:kern w:val="0"/>
          <w:sz w:val="24"/>
          <w:szCs w:val="24"/>
        </w:rPr>
        <w:t>：</w:t>
      </w:r>
    </w:p>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716"/>
        <w:gridCol w:w="716"/>
        <w:gridCol w:w="1319"/>
        <w:gridCol w:w="1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序号</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名称</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规格</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数量</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单位</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报价（万元）</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color w:val="000000"/>
                <w:kern w:val="0"/>
                <w:sz w:val="24"/>
                <w:szCs w:val="24"/>
              </w:rPr>
            </w:pPr>
            <w:r>
              <w:rPr>
                <w:rFonts w:ascii="Times New Roman" w:hAnsi="Times New Roman" w:eastAsia="仿宋"/>
                <w:color w:val="000000"/>
                <w:kern w:val="0"/>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1</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rPr>
              <w:t>互感器伏安变比极性综合测试仪</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sz w:val="24"/>
                <w:szCs w:val="24"/>
              </w:rPr>
              <w:t>2</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台</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4.5</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kern w:val="0"/>
                <w:sz w:val="24"/>
                <w:szCs w:val="24"/>
              </w:rPr>
              <w:t>——</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716" w:type="dxa"/>
            <w:vAlign w:val="center"/>
          </w:tcPr>
          <w:p>
            <w:pPr>
              <w:autoSpaceDE w:val="0"/>
              <w:autoSpaceDN w:val="0"/>
              <w:adjustRightInd w:val="0"/>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319" w:type="dxa"/>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c>
          <w:tcPr>
            <w:tcW w:w="1983"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1837" w:type="dxa"/>
            <w:vAlign w:val="center"/>
          </w:tcPr>
          <w:p>
            <w:pPr>
              <w:autoSpaceDE w:val="0"/>
              <w:autoSpaceDN w:val="0"/>
              <w:adjustRightInd w:val="0"/>
              <w:spacing w:line="360" w:lineRule="auto"/>
              <w:jc w:val="center"/>
              <w:textAlignment w:val="baseline"/>
              <w:rPr>
                <w:rFonts w:ascii="Times New Roman" w:hAnsi="Times New Roman" w:eastAsia="仿宋"/>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sz w:val="24"/>
                <w:szCs w:val="24"/>
              </w:rPr>
              <w:t>——</w:t>
            </w:r>
          </w:p>
        </w:tc>
        <w:tc>
          <w:tcPr>
            <w:tcW w:w="716"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sz w:val="24"/>
                <w:szCs w:val="24"/>
              </w:rPr>
              <w:t>——</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sz w:val="24"/>
                <w:szCs w:val="24"/>
              </w:rPr>
              <w:t>——</w:t>
            </w:r>
          </w:p>
        </w:tc>
        <w:tc>
          <w:tcPr>
            <w:tcW w:w="1319" w:type="dxa"/>
            <w:vAlign w:val="center"/>
          </w:tcPr>
          <w:p>
            <w:pPr>
              <w:autoSpaceDE w:val="0"/>
              <w:autoSpaceDN w:val="0"/>
              <w:adjustRightInd w:val="0"/>
              <w:spacing w:line="360" w:lineRule="auto"/>
              <w:jc w:val="center"/>
              <w:textAlignment w:val="baseline"/>
              <w:rPr>
                <w:rFonts w:ascii="Times New Roman" w:hAnsi="Times New Roman" w:eastAsia="仿宋"/>
                <w:kern w:val="0"/>
                <w:sz w:val="24"/>
                <w:szCs w:val="24"/>
              </w:rPr>
            </w:pPr>
            <w:r>
              <w:rPr>
                <w:rFonts w:ascii="Times New Roman" w:hAnsi="Times New Roman" w:eastAsia="仿宋"/>
                <w:kern w:val="0"/>
                <w:sz w:val="24"/>
                <w:szCs w:val="24"/>
              </w:rPr>
              <w:t>——</w:t>
            </w:r>
          </w:p>
        </w:tc>
      </w:tr>
    </w:tbl>
    <w:p>
      <w:pPr>
        <w:spacing w:line="360" w:lineRule="auto"/>
        <w:rPr>
          <w:rFonts w:ascii="Times New Roman" w:hAnsi="Times New Roman" w:eastAsia="仿宋"/>
          <w:kern w:val="0"/>
          <w:sz w:val="24"/>
          <w:szCs w:val="24"/>
        </w:rPr>
      </w:pPr>
      <w:r>
        <w:rPr>
          <w:rFonts w:ascii="Times New Roman" w:hAnsi="Times New Roman" w:eastAsia="仿宋"/>
          <w:kern w:val="0"/>
          <w:sz w:val="24"/>
          <w:szCs w:val="24"/>
        </w:rPr>
        <w:t>注：具体税率以税法规定的为主。</w:t>
      </w:r>
    </w:p>
    <w:p>
      <w:pPr>
        <w:rPr>
          <w:rFonts w:ascii="Times New Roman" w:hAnsi="Times New Roman" w:eastAsia="仿宋"/>
          <w:szCs w:val="21"/>
        </w:rPr>
      </w:pPr>
    </w:p>
    <w:p>
      <w:pPr>
        <w:rPr>
          <w:rFonts w:ascii="Times New Roman" w:hAnsi="Times New Roman" w:eastAsia="仿宋"/>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2B64C"/>
    <w:multiLevelType w:val="singleLevel"/>
    <w:tmpl w:val="1412B64C"/>
    <w:lvl w:ilvl="0" w:tentative="0">
      <w:start w:val="2"/>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8875FA"/>
    <w:rsid w:val="001A6DCC"/>
    <w:rsid w:val="002224AB"/>
    <w:rsid w:val="004931D5"/>
    <w:rsid w:val="00893668"/>
    <w:rsid w:val="009B2B08"/>
    <w:rsid w:val="148875FA"/>
    <w:rsid w:val="2FA57FC8"/>
    <w:rsid w:val="3FB3387D"/>
    <w:rsid w:val="692768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ocument Map"/>
    <w:basedOn w:val="1"/>
    <w:qFormat/>
    <w:uiPriority w:val="0"/>
    <w:rPr>
      <w:rFonts w:ascii="Tahoma" w:hAnsi="Tahoma"/>
      <w:sz w:val="16"/>
      <w:szCs w:val="16"/>
    </w:rPr>
  </w:style>
  <w:style w:type="paragraph" w:styleId="4">
    <w:name w:val="Body Text"/>
    <w:basedOn w:val="1"/>
    <w:semiHidden/>
    <w:qFormat/>
    <w:uiPriority w:val="0"/>
    <w:rPr>
      <w:rFonts w:ascii="宋体" w:hAnsi="宋体" w:cs="宋体"/>
      <w:sz w:val="30"/>
      <w:szCs w:val="30"/>
      <w:lang w:eastAsia="en-US"/>
    </w:rPr>
  </w:style>
  <w:style w:type="paragraph" w:styleId="5">
    <w:name w:val="Body Text Indent 2"/>
    <w:basedOn w:val="1"/>
    <w:qFormat/>
    <w:uiPriority w:val="0"/>
    <w:pPr>
      <w:ind w:right="636" w:rightChars="303" w:firstLine="480"/>
    </w:pPr>
    <w:rPr>
      <w:rFonts w:ascii="幼圆" w:eastAsia="幼圆"/>
      <w:color w:val="000000"/>
    </w:rPr>
  </w:style>
  <w:style w:type="paragraph" w:styleId="6">
    <w:name w:val="footer"/>
    <w:basedOn w:val="1"/>
    <w:qFormat/>
    <w:uiPriority w:val="0"/>
    <w:pPr>
      <w:tabs>
        <w:tab w:val="center" w:pos="4153"/>
        <w:tab w:val="right" w:pos="8306"/>
      </w:tabs>
      <w:snapToGrid w:val="0"/>
      <w:jc w:val="left"/>
    </w:pPr>
    <w:rPr>
      <w:kern w:val="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398</Words>
  <Characters>2275</Characters>
  <Lines>18</Lines>
  <Paragraphs>5</Paragraphs>
  <TotalTime>0</TotalTime>
  <ScaleCrop>false</ScaleCrop>
  <LinksUpToDate>false</LinksUpToDate>
  <CharactersWithSpaces>2668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2025-02-28T07:48:00Z</dcterms:created>
  <dc:creator>7F1789835954E980E05365066F0A58D4</dc:creator>
  <cp:lastModifiedBy>7F1789835954E980E05365066F0A58D4</cp:lastModifiedBy>
  <dcterms:modified xsi:type="dcterms:W3CDTF">2025-03-05T05:34:03Z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D1E5E815E9564B9EB16AF0C3F78F9811</vt:lpwstr>
  </property>
</Properties>
</file>