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宋体"/>
          <w:b/>
          <w:color w:val="auto"/>
          <w:sz w:val="52"/>
          <w:szCs w:val="52"/>
          <w:highlight w:val="none"/>
        </w:rPr>
      </w:pPr>
    </w:p>
    <w:p>
      <w:pPr>
        <w:spacing w:line="360" w:lineRule="auto"/>
        <w:jc w:val="center"/>
        <w:rPr>
          <w:rFonts w:hint="eastAsia" w:ascii="Times New Roman" w:hAnsi="Times New Roman" w:eastAsia="宋体"/>
          <w:b/>
          <w:color w:val="auto"/>
          <w:sz w:val="48"/>
          <w:szCs w:val="48"/>
          <w:highlight w:val="none"/>
          <w:lang w:val="en-US" w:eastAsia="zh-CN"/>
        </w:rPr>
      </w:pPr>
    </w:p>
    <w:p>
      <w:pPr>
        <w:spacing w:line="360" w:lineRule="auto"/>
        <w:jc w:val="center"/>
        <w:rPr>
          <w:rFonts w:hint="eastAsia" w:ascii="Times New Roman" w:hAnsi="Times New Roman" w:eastAsia="宋体"/>
          <w:b/>
          <w:color w:val="auto"/>
          <w:sz w:val="48"/>
          <w:szCs w:val="48"/>
          <w:highlight w:val="none"/>
          <w:lang w:val="en-US" w:eastAsia="zh-CN"/>
        </w:rPr>
      </w:pPr>
    </w:p>
    <w:p>
      <w:pPr>
        <w:spacing w:line="360" w:lineRule="auto"/>
        <w:jc w:val="center"/>
        <w:rPr>
          <w:rFonts w:hint="eastAsia" w:ascii="Times New Roman" w:hAnsi="Times New Roman" w:eastAsia="宋体"/>
          <w:b/>
          <w:color w:val="auto"/>
          <w:sz w:val="48"/>
          <w:szCs w:val="48"/>
          <w:highlight w:val="none"/>
          <w:lang w:val="en-US" w:eastAsia="zh-CN"/>
        </w:rPr>
      </w:pPr>
    </w:p>
    <w:p>
      <w:pPr>
        <w:spacing w:line="360" w:lineRule="auto"/>
        <w:jc w:val="center"/>
        <w:rPr>
          <w:rFonts w:hint="eastAsia" w:ascii="Times New Roman" w:hAnsi="Times New Roman" w:eastAsia="宋体"/>
          <w:b/>
          <w:color w:val="auto"/>
          <w:sz w:val="48"/>
          <w:szCs w:val="48"/>
          <w:highlight w:val="none"/>
          <w:lang w:val="en-US" w:eastAsia="zh-CN"/>
        </w:rPr>
      </w:pPr>
    </w:p>
    <w:p>
      <w:pPr>
        <w:spacing w:line="360" w:lineRule="auto"/>
        <w:jc w:val="center"/>
        <w:rPr>
          <w:rFonts w:hint="eastAsia" w:ascii="Times New Roman" w:hAnsi="Times New Roman" w:eastAsia="宋体"/>
          <w:b/>
          <w:color w:val="auto"/>
          <w:sz w:val="48"/>
          <w:szCs w:val="48"/>
          <w:highlight w:val="none"/>
          <w:lang w:val="en-US" w:eastAsia="zh-CN"/>
        </w:rPr>
      </w:pPr>
    </w:p>
    <w:p>
      <w:pPr>
        <w:spacing w:line="360" w:lineRule="auto"/>
        <w:jc w:val="center"/>
        <w:rPr>
          <w:rFonts w:hint="eastAsia" w:ascii="Times New Roman" w:hAnsi="Times New Roman" w:eastAsia="宋体"/>
          <w:b/>
          <w:color w:val="auto"/>
          <w:sz w:val="32"/>
          <w:szCs w:val="32"/>
          <w:highlight w:val="none"/>
          <w:lang w:eastAsia="zh-CN"/>
        </w:rPr>
      </w:pPr>
      <w:r>
        <w:rPr>
          <w:rFonts w:ascii="Times New Roman" w:hAnsi="Times New Roman" w:eastAsia="宋体"/>
          <w:b w:val="0"/>
          <w:sz w:val="36"/>
          <w:szCs w:val="36"/>
        </w:rPr>
        <mc:AlternateContent>
          <mc:Choice Requires="wps">
            <w:drawing>
              <wp:anchor distT="0" distB="0" distL="114300" distR="114300" simplePos="0" relativeHeight="251660288" behindDoc="0" locked="0" layoutInCell="1" allowOverlap="1">
                <wp:simplePos x="0" y="0"/>
                <wp:positionH relativeFrom="column">
                  <wp:posOffset>-696595</wp:posOffset>
                </wp:positionH>
                <wp:positionV relativeFrom="paragraph">
                  <wp:posOffset>204470</wp:posOffset>
                </wp:positionV>
                <wp:extent cx="6047105" cy="1357630"/>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6047105" cy="1357630"/>
                        </a:xfrm>
                        <a:prstGeom prst="rect">
                          <a:avLst/>
                        </a:prstGeom>
                        <a:noFill/>
                        <a:ln>
                          <a:noFill/>
                        </a:ln>
                        <a:effectLst/>
                      </wps:spPr>
                      <wps:txbx>
                        <w:txbxContent>
                          <w:p>
                            <w:pPr>
                              <w:spacing w:before="156" w:beforeLines="50" w:after="156" w:afterLines="50" w:line="360" w:lineRule="auto"/>
                              <w:jc w:val="center"/>
                              <w:rPr>
                                <w:rFonts w:hint="default" w:cs="Times New Roman" w:asciiTheme="minorEastAsia" w:hAnsiTheme="minorEastAsia" w:eastAsiaTheme="minorEastAsia"/>
                                <w:b/>
                                <w:bCs w:val="0"/>
                                <w:sz w:val="36"/>
                                <w:szCs w:val="32"/>
                                <w:lang w:val="en-US" w:eastAsia="zh-CN"/>
                              </w:rPr>
                            </w:pPr>
                            <w:r>
                              <w:rPr>
                                <w:rFonts w:hint="default" w:cs="Times New Roman" w:asciiTheme="minorEastAsia" w:hAnsiTheme="minorEastAsia" w:eastAsiaTheme="minorEastAsia"/>
                                <w:b/>
                                <w:bCs w:val="0"/>
                                <w:sz w:val="36"/>
                                <w:szCs w:val="32"/>
                                <w:lang w:eastAsia="zh-CN"/>
                              </w:rPr>
                              <w:t>鼎元资产公司资产运营数字化平台2025年等保测评项目</w:t>
                            </w:r>
                          </w:p>
                          <w:p>
                            <w:pPr>
                              <w:pStyle w:val="21"/>
                              <w:ind w:left="0" w:leftChars="0" w:firstLine="0" w:firstLineChars="0"/>
                              <w:jc w:val="center"/>
                              <w:rPr>
                                <w:rFonts w:hint="default" w:cs="黑体" w:asciiTheme="minorEastAsia" w:hAnsiTheme="minorEastAsia" w:eastAsiaTheme="minorEastAsia"/>
                                <w:bCs/>
                                <w:spacing w:val="30"/>
                                <w:kern w:val="2"/>
                                <w:sz w:val="52"/>
                                <w:szCs w:val="52"/>
                                <w:lang w:val="en-US" w:eastAsia="zh-CN" w:bidi="ar-SA"/>
                              </w:rPr>
                            </w:pPr>
                            <w:r>
                              <w:rPr>
                                <w:rFonts w:hint="eastAsia" w:cs="Times New Roman" w:asciiTheme="minorEastAsia" w:hAnsiTheme="minorEastAsia" w:eastAsiaTheme="minorEastAsia"/>
                                <w:b/>
                                <w:bCs w:val="0"/>
                                <w:kern w:val="2"/>
                                <w:sz w:val="36"/>
                                <w:szCs w:val="32"/>
                                <w:lang w:val="en-US" w:eastAsia="zh-CN" w:bidi="ar-SA"/>
                              </w:rPr>
                              <w:t>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85pt;margin-top:16.1pt;height:106.9pt;width:476.15pt;z-index:251660288;mso-width-relative:page;mso-height-relative:page;" filled="f" stroked="f" coordsize="21600,21600" o:gfxdata="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IwGV92AAA&#10;AAsBAAAPAAAAAAAAAAEAIAAAACIAAABkcnMvZG93bnJldi54bWxQSwECFAAUAAAACACHTuJAaFm0&#10;wh4CAAAkBAAADgAAAAAAAAABACAAAAAnAQAAZHJzL2Uyb0RvYy54bWxQSwUGAAAAAAYABgBZAQAA&#10;twUAAAAA&#10;">
                <v:fill on="f" focussize="0,0"/>
                <v:stroke on="f"/>
                <v:imagedata o:title=""/>
                <o:lock v:ext="edit" aspectratio="f"/>
                <v:textbox>
                  <w:txbxContent>
                    <w:p>
                      <w:pPr>
                        <w:spacing w:before="156" w:beforeLines="50" w:after="156" w:afterLines="50" w:line="360" w:lineRule="auto"/>
                        <w:jc w:val="center"/>
                        <w:rPr>
                          <w:rFonts w:hint="default" w:cs="Times New Roman" w:asciiTheme="minorEastAsia" w:hAnsiTheme="minorEastAsia" w:eastAsiaTheme="minorEastAsia"/>
                          <w:b/>
                          <w:bCs w:val="0"/>
                          <w:sz w:val="36"/>
                          <w:szCs w:val="32"/>
                          <w:lang w:val="en-US" w:eastAsia="zh-CN"/>
                        </w:rPr>
                      </w:pPr>
                      <w:r>
                        <w:rPr>
                          <w:rFonts w:hint="default" w:cs="Times New Roman" w:asciiTheme="minorEastAsia" w:hAnsiTheme="minorEastAsia" w:eastAsiaTheme="minorEastAsia"/>
                          <w:b/>
                          <w:bCs w:val="0"/>
                          <w:sz w:val="36"/>
                          <w:szCs w:val="32"/>
                          <w:lang w:eastAsia="zh-CN"/>
                        </w:rPr>
                        <w:t>鼎元资产公司资产运营数字化平台2025年等保测评项目</w:t>
                      </w:r>
                    </w:p>
                    <w:p>
                      <w:pPr>
                        <w:pStyle w:val="21"/>
                        <w:ind w:left="0" w:leftChars="0" w:firstLine="0" w:firstLineChars="0"/>
                        <w:jc w:val="center"/>
                        <w:rPr>
                          <w:rFonts w:hint="default" w:cs="黑体" w:asciiTheme="minorEastAsia" w:hAnsiTheme="minorEastAsia" w:eastAsiaTheme="minorEastAsia"/>
                          <w:bCs/>
                          <w:spacing w:val="30"/>
                          <w:kern w:val="2"/>
                          <w:sz w:val="52"/>
                          <w:szCs w:val="52"/>
                          <w:lang w:val="en-US" w:eastAsia="zh-CN" w:bidi="ar-SA"/>
                        </w:rPr>
                      </w:pPr>
                      <w:r>
                        <w:rPr>
                          <w:rFonts w:hint="eastAsia" w:cs="Times New Roman" w:asciiTheme="minorEastAsia" w:hAnsiTheme="minorEastAsia" w:eastAsiaTheme="minorEastAsia"/>
                          <w:b/>
                          <w:bCs w:val="0"/>
                          <w:kern w:val="2"/>
                          <w:sz w:val="36"/>
                          <w:szCs w:val="32"/>
                          <w:lang w:val="en-US" w:eastAsia="zh-CN" w:bidi="ar-SA"/>
                        </w:rPr>
                        <w:t>技术规范书</w:t>
                      </w:r>
                    </w:p>
                  </w:txbxContent>
                </v:textbox>
              </v:shape>
            </w:pict>
          </mc:Fallback>
        </mc:AlternateContent>
      </w: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hint="eastAsia" w:ascii="Times New Roman" w:hAnsi="Times New Roman" w:eastAsia="宋体"/>
          <w:b/>
          <w:color w:val="auto"/>
          <w:sz w:val="32"/>
          <w:szCs w:val="32"/>
          <w:highlight w:val="none"/>
          <w:lang w:eastAsia="zh-CN"/>
        </w:rPr>
      </w:pPr>
    </w:p>
    <w:p>
      <w:pPr>
        <w:spacing w:line="360" w:lineRule="auto"/>
        <w:jc w:val="center"/>
        <w:rPr>
          <w:rFonts w:ascii="Times New Roman" w:hAnsi="Times New Roman" w:eastAsia="宋体"/>
          <w:color w:val="auto"/>
          <w:sz w:val="44"/>
          <w:szCs w:val="44"/>
          <w:highlight w:val="none"/>
        </w:rPr>
      </w:pPr>
      <w:r>
        <w:rPr>
          <w:rFonts w:ascii="Times New Roman" w:hAnsi="Times New Roman" w:eastAsia="宋体"/>
          <w:b w:val="0"/>
          <w:bCs/>
          <w:sz w:val="36"/>
          <w:szCs w:val="36"/>
        </w:rPr>
        <w:drawing>
          <wp:anchor distT="0" distB="0" distL="114300" distR="114300" simplePos="0" relativeHeight="251659264" behindDoc="1" locked="0" layoutInCell="1" allowOverlap="1">
            <wp:simplePos x="0" y="0"/>
            <wp:positionH relativeFrom="page">
              <wp:posOffset>-247015</wp:posOffset>
            </wp:positionH>
            <wp:positionV relativeFrom="page">
              <wp:posOffset>-361315</wp:posOffset>
            </wp:positionV>
            <wp:extent cx="7886700" cy="6486525"/>
            <wp:effectExtent l="0" t="0" r="7620" b="5715"/>
            <wp:wrapNone/>
            <wp:docPr id="5" name="图片 1119"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19" descr="D02-L [Converted]"/>
                    <pic:cNvPicPr>
                      <a:picLocks noChangeAspect="1" noChangeArrowheads="1"/>
                    </pic:cNvPicPr>
                  </pic:nvPicPr>
                  <pic:blipFill>
                    <a:blip r:embed="rId10" cstate="print"/>
                    <a:srcRect/>
                    <a:stretch>
                      <a:fillRect/>
                    </a:stretch>
                  </pic:blipFill>
                  <pic:spPr>
                    <a:xfrm>
                      <a:off x="0" y="0"/>
                      <a:ext cx="7886700" cy="6486525"/>
                    </a:xfrm>
                    <a:prstGeom prst="rect">
                      <a:avLst/>
                    </a:prstGeom>
                    <a:noFill/>
                    <a:ln w="9525">
                      <a:noFill/>
                      <a:miter lim="800000"/>
                      <a:headEnd/>
                      <a:tailEnd/>
                    </a:ln>
                  </pic:spPr>
                </pic:pic>
              </a:graphicData>
            </a:graphic>
          </wp:anchor>
        </w:drawing>
      </w:r>
    </w:p>
    <w:p>
      <w:pPr>
        <w:spacing w:line="360" w:lineRule="auto"/>
        <w:rPr>
          <w:rFonts w:ascii="Times New Roman" w:hAnsi="Times New Roman" w:eastAsia="宋体"/>
          <w:b/>
          <w:color w:val="auto"/>
          <w:sz w:val="28"/>
          <w:szCs w:val="28"/>
          <w:highlight w:val="none"/>
        </w:rPr>
      </w:pPr>
    </w:p>
    <w:p>
      <w:pPr>
        <w:spacing w:line="360" w:lineRule="auto"/>
        <w:rPr>
          <w:rFonts w:ascii="Times New Roman" w:hAnsi="Times New Roman" w:eastAsia="宋体"/>
          <w:b/>
          <w:color w:val="auto"/>
          <w:sz w:val="28"/>
          <w:szCs w:val="28"/>
          <w:highlight w:val="none"/>
        </w:rPr>
      </w:pPr>
    </w:p>
    <w:p>
      <w:pPr>
        <w:spacing w:line="360" w:lineRule="auto"/>
        <w:rPr>
          <w:rFonts w:ascii="Times New Roman" w:hAnsi="Times New Roman" w:eastAsia="宋体"/>
          <w:b/>
          <w:color w:val="auto"/>
          <w:sz w:val="28"/>
          <w:szCs w:val="28"/>
          <w:highlight w:val="none"/>
        </w:rPr>
      </w:pPr>
    </w:p>
    <w:p>
      <w:pPr>
        <w:spacing w:line="360" w:lineRule="auto"/>
        <w:rPr>
          <w:rFonts w:ascii="Times New Roman" w:hAnsi="Times New Roman" w:eastAsia="宋体"/>
          <w:b/>
          <w:color w:val="auto"/>
          <w:sz w:val="28"/>
          <w:szCs w:val="28"/>
          <w:highlight w:val="none"/>
        </w:rPr>
      </w:pPr>
    </w:p>
    <w:p>
      <w:pPr>
        <w:jc w:val="center"/>
        <w:rPr>
          <w:rFonts w:hint="eastAsia" w:ascii="宋体" w:hAnsi="宋体" w:eastAsia="宋体" w:cs="黑体"/>
          <w:kern w:val="2"/>
          <w:sz w:val="32"/>
          <w:szCs w:val="32"/>
          <w:lang w:eastAsia="zh-CN"/>
        </w:rPr>
      </w:pPr>
      <w:r>
        <w:rPr>
          <w:rFonts w:hint="eastAsia" w:ascii="宋体" w:hAnsi="宋体" w:cs="黑体"/>
          <w:kern w:val="2"/>
          <w:sz w:val="32"/>
          <w:szCs w:val="32"/>
          <w:lang w:eastAsia="zh-CN"/>
        </w:rPr>
        <w:t>南方鼎元资产运营有限责任公司</w:t>
      </w:r>
    </w:p>
    <w:p>
      <w:pPr>
        <w:jc w:val="center"/>
        <w:rPr>
          <w:rFonts w:hint="eastAsia" w:ascii="宋体" w:hAnsi="宋体" w:eastAsia="宋体" w:cs="黑体"/>
          <w:kern w:val="2"/>
          <w:sz w:val="32"/>
          <w:szCs w:val="32"/>
          <w:lang w:eastAsia="zh-CN"/>
        </w:rPr>
      </w:pPr>
      <w:r>
        <w:rPr>
          <w:rFonts w:hint="eastAsia" w:ascii="宋体" w:hAnsi="宋体" w:eastAsia="宋体" w:cs="黑体"/>
          <w:kern w:val="2"/>
          <w:sz w:val="32"/>
          <w:szCs w:val="32"/>
          <w:lang w:val="en-US" w:eastAsia="zh-CN"/>
        </w:rPr>
        <w:t>202</w:t>
      </w:r>
      <w:r>
        <w:rPr>
          <w:rFonts w:hint="eastAsia" w:ascii="宋体" w:hAnsi="宋体" w:cs="黑体"/>
          <w:kern w:val="2"/>
          <w:sz w:val="32"/>
          <w:szCs w:val="32"/>
          <w:lang w:val="en-US" w:eastAsia="zh-CN"/>
        </w:rPr>
        <w:t>5</w:t>
      </w:r>
      <w:r>
        <w:rPr>
          <w:rFonts w:hint="eastAsia" w:ascii="宋体" w:hAnsi="宋体" w:eastAsia="宋体" w:cs="黑体"/>
          <w:kern w:val="2"/>
          <w:sz w:val="32"/>
          <w:szCs w:val="32"/>
          <w:lang w:val="en-US" w:eastAsia="zh-CN"/>
        </w:rPr>
        <w:t>年</w:t>
      </w:r>
      <w:r>
        <w:rPr>
          <w:rFonts w:hint="eastAsia" w:ascii="宋体" w:hAnsi="宋体" w:cs="黑体"/>
          <w:kern w:val="2"/>
          <w:sz w:val="32"/>
          <w:szCs w:val="32"/>
          <w:lang w:val="en-US" w:eastAsia="zh-CN"/>
        </w:rPr>
        <w:t>3</w:t>
      </w:r>
      <w:r>
        <w:rPr>
          <w:rFonts w:hint="eastAsia" w:ascii="宋体" w:hAnsi="宋体" w:eastAsia="宋体" w:cs="黑体"/>
          <w:kern w:val="2"/>
          <w:sz w:val="32"/>
          <w:szCs w:val="32"/>
          <w:lang w:val="en-US" w:eastAsia="zh-CN"/>
        </w:rPr>
        <w:t>月</w:t>
      </w:r>
    </w:p>
    <w:p>
      <w:pPr>
        <w:jc w:val="center"/>
        <w:rPr>
          <w:rFonts w:hint="eastAsia" w:ascii="宋体" w:hAnsi="宋体" w:eastAsia="宋体" w:cs="黑体"/>
          <w:kern w:val="2"/>
          <w:sz w:val="32"/>
          <w:szCs w:val="32"/>
          <w:lang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440" w:right="1274" w:bottom="1440" w:left="1800" w:header="851" w:footer="992" w:gutter="0"/>
          <w:pgBorders>
            <w:top w:val="none" w:sz="0" w:space="0"/>
            <w:left w:val="none" w:sz="0" w:space="0"/>
            <w:bottom w:val="none" w:sz="0" w:space="0"/>
            <w:right w:val="none" w:sz="0" w:space="0"/>
          </w:pgBorders>
          <w:pgNumType w:start="0"/>
          <w:cols w:space="425" w:num="1"/>
          <w:titlePg/>
          <w:docGrid w:type="lines" w:linePitch="312" w:charSpace="0"/>
        </w:sectPr>
      </w:pPr>
    </w:p>
    <w:p>
      <w:pPr>
        <w:pStyle w:val="18"/>
        <w:tabs>
          <w:tab w:val="right" w:leader="dot" w:pos="8832"/>
        </w:tabs>
        <w:jc w:val="center"/>
        <w:rPr>
          <w:rFonts w:hint="eastAsia" w:ascii="Times New Roman" w:hAnsi="Times New Roman" w:eastAsia="宋体" w:cs="黑体"/>
          <w:b/>
          <w:bCs/>
          <w:color w:val="auto"/>
          <w:sz w:val="32"/>
          <w:szCs w:val="32"/>
          <w:highlight w:val="none"/>
          <w:lang w:eastAsia="zh-CN"/>
        </w:rPr>
      </w:pPr>
      <w:bookmarkStart w:id="0" w:name="_Toc77760877"/>
      <w:bookmarkStart w:id="1" w:name="_Toc77760799"/>
      <w:bookmarkStart w:id="2" w:name="_Toc77761128"/>
      <w:bookmarkStart w:id="3" w:name="_Toc303532071"/>
      <w:bookmarkStart w:id="4" w:name="_Toc311015399"/>
      <w:bookmarkStart w:id="5" w:name="_Toc77760955"/>
      <w:bookmarkStart w:id="6" w:name="_Toc157912713"/>
      <w:bookmarkStart w:id="7" w:name="_Toc77760638"/>
      <w:bookmarkStart w:id="8" w:name="_Toc83482791"/>
      <w:r>
        <w:rPr>
          <w:rFonts w:hint="eastAsia" w:ascii="Times New Roman" w:hAnsi="Times New Roman" w:eastAsia="宋体" w:cs="黑体"/>
          <w:b/>
          <w:bCs/>
          <w:color w:val="auto"/>
          <w:sz w:val="32"/>
          <w:szCs w:val="32"/>
          <w:highlight w:val="none"/>
          <w:lang w:eastAsia="zh-CN"/>
        </w:rPr>
        <w:t>目</w:t>
      </w:r>
      <w:r>
        <w:rPr>
          <w:rFonts w:hint="eastAsia" w:cs="黑体"/>
          <w:b/>
          <w:bCs/>
          <w:color w:val="auto"/>
          <w:sz w:val="32"/>
          <w:szCs w:val="32"/>
          <w:highlight w:val="none"/>
          <w:lang w:val="en-US" w:eastAsia="zh-CN"/>
        </w:rPr>
        <w:t xml:space="preserve"> </w:t>
      </w:r>
      <w:r>
        <w:rPr>
          <w:rFonts w:hint="eastAsia" w:ascii="Times New Roman" w:hAnsi="Times New Roman" w:eastAsia="宋体" w:cs="黑体"/>
          <w:b/>
          <w:bCs/>
          <w:color w:val="auto"/>
          <w:sz w:val="32"/>
          <w:szCs w:val="32"/>
          <w:highlight w:val="none"/>
          <w:lang w:eastAsia="zh-CN"/>
        </w:rPr>
        <w:t>录</w:t>
      </w:r>
    </w:p>
    <w:p>
      <w:pPr>
        <w:pStyle w:val="18"/>
        <w:tabs>
          <w:tab w:val="right" w:leader="dot" w:pos="8832"/>
        </w:tabs>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TOC \o "1-2" \h \u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_Toc28099 </w:instrText>
      </w:r>
      <w:r>
        <w:rPr>
          <w:rFonts w:hint="eastAsia" w:ascii="Times New Roman" w:hAnsi="Times New Roman" w:eastAsia="宋体" w:cs="宋体"/>
          <w:szCs w:val="28"/>
          <w:highlight w:val="none"/>
        </w:rPr>
        <w:fldChar w:fldCharType="separate"/>
      </w:r>
      <w:r>
        <w:rPr>
          <w:rFonts w:hint="eastAsia"/>
          <w:szCs w:val="24"/>
        </w:rPr>
        <w:t xml:space="preserve">1 </w:t>
      </w:r>
      <w:r>
        <w:rPr>
          <w:rFonts w:hint="eastAsia"/>
        </w:rPr>
        <w:t>总则</w:t>
      </w:r>
      <w:r>
        <w:tab/>
      </w:r>
      <w:r>
        <w:fldChar w:fldCharType="begin"/>
      </w:r>
      <w:r>
        <w:instrText xml:space="preserve"> PAGEREF _Toc28099 \h </w:instrText>
      </w:r>
      <w:r>
        <w:fldChar w:fldCharType="separate"/>
      </w:r>
      <w:r>
        <w:t>1</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_Toc18539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1.1 </w:t>
      </w:r>
      <w:r>
        <w:rPr>
          <w:rFonts w:ascii="Times New Roman" w:hAnsi="Times New Roman" w:eastAsia="宋体"/>
          <w:szCs w:val="24"/>
          <w:highlight w:val="none"/>
        </w:rPr>
        <w:t>引言</w:t>
      </w:r>
      <w:r>
        <w:tab/>
      </w:r>
      <w:r>
        <w:fldChar w:fldCharType="begin"/>
      </w:r>
      <w:r>
        <w:instrText xml:space="preserve"> PAGEREF _Toc18539 \h </w:instrText>
      </w:r>
      <w:r>
        <w:fldChar w:fldCharType="separate"/>
      </w:r>
      <w:r>
        <w:t>1</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_Toc19977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1.2 </w:t>
      </w:r>
      <w:r>
        <w:rPr>
          <w:rFonts w:ascii="Times New Roman" w:hAnsi="Times New Roman" w:eastAsia="宋体"/>
          <w:szCs w:val="24"/>
          <w:highlight w:val="none"/>
        </w:rPr>
        <w:t>适用范围</w:t>
      </w:r>
      <w:r>
        <w:tab/>
      </w:r>
      <w:r>
        <w:fldChar w:fldCharType="begin"/>
      </w:r>
      <w:r>
        <w:instrText xml:space="preserve"> PAGEREF _Toc19977 \h </w:instrText>
      </w:r>
      <w:r>
        <w:fldChar w:fldCharType="separate"/>
      </w:r>
      <w:r>
        <w:t>1</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_Toc28958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1.3 </w:t>
      </w:r>
      <w:r>
        <w:rPr>
          <w:rFonts w:hint="eastAsia" w:ascii="Times New Roman" w:hAnsi="Times New Roman" w:eastAsia="宋体"/>
          <w:szCs w:val="24"/>
          <w:highlight w:val="none"/>
        </w:rPr>
        <w:t>标准和规范</w:t>
      </w:r>
      <w:r>
        <w:tab/>
      </w:r>
      <w:r>
        <w:fldChar w:fldCharType="begin"/>
      </w:r>
      <w:r>
        <w:instrText xml:space="preserve"> PAGEREF _Toc28958 \h </w:instrText>
      </w:r>
      <w:r>
        <w:fldChar w:fldCharType="separate"/>
      </w:r>
      <w:r>
        <w:t>1</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_Toc19969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1.4 </w:t>
      </w:r>
      <w:r>
        <w:rPr>
          <w:rFonts w:hint="eastAsia" w:ascii="Times New Roman" w:hAnsi="Times New Roman" w:eastAsia="宋体"/>
          <w:szCs w:val="24"/>
          <w:highlight w:val="none"/>
        </w:rPr>
        <w:t>权利和职责</w:t>
      </w:r>
      <w:r>
        <w:tab/>
      </w:r>
      <w:r>
        <w:fldChar w:fldCharType="begin"/>
      </w:r>
      <w:r>
        <w:instrText xml:space="preserve"> PAGEREF _Toc19969 \h </w:instrText>
      </w:r>
      <w:r>
        <w:fldChar w:fldCharType="separate"/>
      </w:r>
      <w:r>
        <w:t>2</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_Toc32549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1.5 </w:t>
      </w:r>
      <w:r>
        <w:rPr>
          <w:rFonts w:hint="eastAsia" w:ascii="Times New Roman" w:hAnsi="Times New Roman" w:eastAsia="宋体"/>
          <w:szCs w:val="24"/>
          <w:highlight w:val="none"/>
        </w:rPr>
        <w:t>项目</w:t>
      </w:r>
      <w:r>
        <w:rPr>
          <w:rFonts w:hint="eastAsia" w:ascii="Times New Roman" w:hAnsi="Times New Roman" w:eastAsia="宋体"/>
          <w:szCs w:val="24"/>
          <w:highlight w:val="none"/>
          <w:lang w:eastAsia="zh-CN"/>
        </w:rPr>
        <w:t>情况</w:t>
      </w:r>
      <w:r>
        <w:tab/>
      </w:r>
      <w:r>
        <w:fldChar w:fldCharType="begin"/>
      </w:r>
      <w:r>
        <w:instrText xml:space="preserve"> PAGEREF _Toc32549 \h </w:instrText>
      </w:r>
      <w:r>
        <w:fldChar w:fldCharType="separate"/>
      </w:r>
      <w:r>
        <w:t>2</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_Toc1471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1.6 </w:t>
      </w:r>
      <w:r>
        <w:rPr>
          <w:rFonts w:hint="eastAsia" w:ascii="Times New Roman" w:hAnsi="Times New Roman" w:eastAsia="宋体"/>
          <w:szCs w:val="24"/>
          <w:highlight w:val="none"/>
        </w:rPr>
        <w:t>项目</w:t>
      </w:r>
      <w:r>
        <w:rPr>
          <w:rFonts w:hint="eastAsia" w:ascii="Times New Roman" w:hAnsi="Times New Roman" w:eastAsia="宋体"/>
          <w:szCs w:val="24"/>
          <w:highlight w:val="none"/>
          <w:lang w:eastAsia="zh-CN"/>
        </w:rPr>
        <w:t>内容</w:t>
      </w:r>
      <w:r>
        <w:tab/>
      </w:r>
      <w:r>
        <w:fldChar w:fldCharType="begin"/>
      </w:r>
      <w:r>
        <w:instrText xml:space="preserve"> PAGEREF _Toc1471 \h </w:instrText>
      </w:r>
      <w:r>
        <w:fldChar w:fldCharType="separate"/>
      </w:r>
      <w:r>
        <w:t>2</w:t>
      </w:r>
      <w:r>
        <w:fldChar w:fldCharType="end"/>
      </w:r>
      <w:r>
        <w:rPr>
          <w:rFonts w:hint="eastAsia" w:ascii="Times New Roman" w:hAnsi="Times New Roman" w:eastAsia="宋体" w:cs="宋体"/>
          <w:color w:val="auto"/>
          <w:szCs w:val="28"/>
          <w:highlight w:val="none"/>
        </w:rPr>
        <w:fldChar w:fldCharType="end"/>
      </w:r>
    </w:p>
    <w:p>
      <w:pPr>
        <w:pStyle w:val="18"/>
        <w:tabs>
          <w:tab w:val="right" w:leader="dot" w:pos="8832"/>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_Toc3981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2 </w:t>
      </w:r>
      <w:r>
        <w:rPr>
          <w:rFonts w:hint="eastAsia" w:ascii="Times New Roman" w:hAnsi="Times New Roman" w:eastAsia="宋体"/>
          <w:szCs w:val="24"/>
          <w:highlight w:val="none"/>
          <w:lang w:eastAsia="zh-CN"/>
        </w:rPr>
        <w:t>投标方</w:t>
      </w:r>
      <w:r>
        <w:rPr>
          <w:rFonts w:hint="eastAsia" w:ascii="Times New Roman" w:hAnsi="Times New Roman" w:eastAsia="宋体"/>
          <w:szCs w:val="24"/>
          <w:highlight w:val="none"/>
        </w:rPr>
        <w:t>要求</w:t>
      </w:r>
      <w:r>
        <w:tab/>
      </w:r>
      <w:r>
        <w:fldChar w:fldCharType="begin"/>
      </w:r>
      <w:r>
        <w:instrText xml:space="preserve"> PAGEREF _Toc3981 \h </w:instrText>
      </w:r>
      <w:r>
        <w:fldChar w:fldCharType="separate"/>
      </w:r>
      <w:r>
        <w:t>3</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_Toc5698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lang w:eastAsia="zh-CN"/>
        </w:rPr>
        <w:t xml:space="preserve">2.1 </w:t>
      </w:r>
      <w:r>
        <w:rPr>
          <w:rFonts w:hint="eastAsia" w:ascii="Times New Roman" w:hAnsi="Times New Roman" w:eastAsia="宋体"/>
          <w:szCs w:val="24"/>
          <w:highlight w:val="none"/>
          <w:lang w:eastAsia="zh-CN"/>
        </w:rPr>
        <w:t>服务团队技术要求</w:t>
      </w:r>
      <w:r>
        <w:tab/>
      </w:r>
      <w:r>
        <w:fldChar w:fldCharType="begin"/>
      </w:r>
      <w:r>
        <w:instrText xml:space="preserve"> PAGEREF _Toc5698 \h </w:instrText>
      </w:r>
      <w:r>
        <w:fldChar w:fldCharType="separate"/>
      </w:r>
      <w:r>
        <w:t>3</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_Toc24306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lang w:eastAsia="zh-CN"/>
        </w:rPr>
        <w:t xml:space="preserve">2.2 </w:t>
      </w:r>
      <w:r>
        <w:rPr>
          <w:rFonts w:hint="eastAsia" w:ascii="Times New Roman" w:hAnsi="Times New Roman" w:eastAsia="宋体"/>
          <w:szCs w:val="24"/>
          <w:highlight w:val="none"/>
          <w:lang w:eastAsia="zh-CN"/>
        </w:rPr>
        <w:t>服务人员要求</w:t>
      </w:r>
      <w:r>
        <w:tab/>
      </w:r>
      <w:r>
        <w:fldChar w:fldCharType="begin"/>
      </w:r>
      <w:r>
        <w:instrText xml:space="preserve"> PAGEREF _Toc24306 \h </w:instrText>
      </w:r>
      <w:r>
        <w:fldChar w:fldCharType="separate"/>
      </w:r>
      <w:r>
        <w:t>3</w:t>
      </w:r>
      <w:r>
        <w:fldChar w:fldCharType="end"/>
      </w:r>
      <w:r>
        <w:rPr>
          <w:rFonts w:hint="eastAsia" w:ascii="Times New Roman" w:hAnsi="Times New Roman" w:eastAsia="宋体" w:cs="宋体"/>
          <w:color w:val="auto"/>
          <w:szCs w:val="28"/>
          <w:highlight w:val="none"/>
        </w:rPr>
        <w:fldChar w:fldCharType="end"/>
      </w:r>
    </w:p>
    <w:p>
      <w:pPr>
        <w:pStyle w:val="18"/>
        <w:tabs>
          <w:tab w:val="right" w:leader="dot" w:pos="8832"/>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_Toc21223 </w:instrText>
      </w:r>
      <w:r>
        <w:rPr>
          <w:rFonts w:hint="eastAsia" w:ascii="Times New Roman" w:hAnsi="Times New Roman" w:eastAsia="宋体" w:cs="宋体"/>
          <w:szCs w:val="28"/>
          <w:highlight w:val="none"/>
        </w:rPr>
        <w:fldChar w:fldCharType="separate"/>
      </w:r>
      <w:r>
        <w:rPr>
          <w:rFonts w:hint="eastAsia" w:ascii="Times New Roman" w:hAnsi="Times New Roman" w:eastAsia="宋体"/>
          <w:bCs/>
          <w:szCs w:val="24"/>
        </w:rPr>
        <w:t xml:space="preserve">3 </w:t>
      </w:r>
      <w:r>
        <w:rPr>
          <w:rFonts w:hint="eastAsia" w:ascii="Times New Roman" w:hAnsi="Times New Roman" w:eastAsia="宋体"/>
          <w:bCs/>
          <w:szCs w:val="24"/>
          <w:highlight w:val="none"/>
          <w:lang w:eastAsia="zh-CN"/>
        </w:rPr>
        <w:t>网络安全等级保护测评</w:t>
      </w:r>
      <w:r>
        <w:tab/>
      </w:r>
      <w:r>
        <w:fldChar w:fldCharType="begin"/>
      </w:r>
      <w:r>
        <w:instrText xml:space="preserve"> PAGEREF _Toc21223 \h </w:instrText>
      </w:r>
      <w:r>
        <w:fldChar w:fldCharType="separate"/>
      </w:r>
      <w:r>
        <w:t>4</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_Toc8106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3.1 </w:t>
      </w:r>
      <w:r>
        <w:rPr>
          <w:rFonts w:hint="eastAsia" w:ascii="Times New Roman" w:hAnsi="Times New Roman" w:eastAsia="宋体"/>
          <w:szCs w:val="24"/>
          <w:highlight w:val="none"/>
        </w:rPr>
        <w:t>测评原则</w:t>
      </w:r>
      <w:r>
        <w:tab/>
      </w:r>
      <w:r>
        <w:fldChar w:fldCharType="begin"/>
      </w:r>
      <w:r>
        <w:instrText xml:space="preserve"> PAGEREF _Toc8106 \h </w:instrText>
      </w:r>
      <w:r>
        <w:fldChar w:fldCharType="separate"/>
      </w:r>
      <w:r>
        <w:t>4</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_Toc18286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3.2 </w:t>
      </w:r>
      <w:r>
        <w:rPr>
          <w:rFonts w:hint="eastAsia" w:ascii="Times New Roman" w:hAnsi="Times New Roman" w:eastAsia="宋体"/>
          <w:szCs w:val="24"/>
          <w:highlight w:val="none"/>
        </w:rPr>
        <w:t>实施要求</w:t>
      </w:r>
      <w:r>
        <w:tab/>
      </w:r>
      <w:r>
        <w:fldChar w:fldCharType="begin"/>
      </w:r>
      <w:r>
        <w:instrText xml:space="preserve"> PAGEREF _Toc18286 \h </w:instrText>
      </w:r>
      <w:r>
        <w:fldChar w:fldCharType="separate"/>
      </w:r>
      <w:r>
        <w:t>4</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rPr>
          <w:rFonts w:hint="eastAsia" w:ascii="Times New Roman" w:hAnsi="Times New Roman" w:eastAsia="宋体"/>
          <w:szCs w:val="24"/>
          <w:highlight w:val="none"/>
        </w:rPr>
      </w:pP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HYPERLINK \l _Toc20012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3.3 测评流程</w:t>
      </w:r>
      <w:r>
        <w:rPr>
          <w:rFonts w:hint="eastAsia" w:ascii="Times New Roman" w:hAnsi="Times New Roman" w:eastAsia="宋体"/>
          <w:szCs w:val="24"/>
          <w:highlight w:val="none"/>
        </w:rPr>
        <w:tab/>
      </w: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PAGEREF _Toc20012 \h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5</w:t>
      </w:r>
      <w:r>
        <w:rPr>
          <w:rFonts w:hint="eastAsia" w:ascii="Times New Roman" w:hAnsi="Times New Roman" w:eastAsia="宋体"/>
          <w:szCs w:val="24"/>
          <w:highlight w:val="none"/>
        </w:rPr>
        <w:fldChar w:fldCharType="end"/>
      </w:r>
      <w:r>
        <w:rPr>
          <w:rFonts w:hint="eastAsia" w:ascii="Times New Roman" w:hAnsi="Times New Roman" w:eastAsia="宋体"/>
          <w:szCs w:val="24"/>
          <w:highlight w:val="none"/>
        </w:rPr>
        <w:fldChar w:fldCharType="end"/>
      </w:r>
    </w:p>
    <w:p>
      <w:pPr>
        <w:pStyle w:val="19"/>
        <w:tabs>
          <w:tab w:val="right" w:leader="dot" w:pos="8832"/>
          <w:tab w:val="clear" w:pos="8378"/>
        </w:tabs>
        <w:rPr>
          <w:rFonts w:hint="eastAsia" w:ascii="Times New Roman" w:hAnsi="Times New Roman" w:eastAsia="宋体"/>
          <w:szCs w:val="24"/>
          <w:highlight w:val="none"/>
        </w:rPr>
      </w:pP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HYPERLINK \l _Toc1857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 xml:space="preserve">3.4 </w:t>
      </w:r>
      <w:r>
        <w:rPr>
          <w:rFonts w:hint="eastAsia" w:ascii="Times New Roman" w:hAnsi="Times New Roman" w:eastAsia="宋体"/>
          <w:szCs w:val="24"/>
          <w:highlight w:val="none"/>
          <w:lang w:eastAsia="zh-CN"/>
        </w:rPr>
        <w:t>等级保护测评</w:t>
      </w:r>
      <w:r>
        <w:rPr>
          <w:rFonts w:hint="eastAsia" w:ascii="Times New Roman" w:hAnsi="Times New Roman" w:eastAsia="宋体"/>
          <w:szCs w:val="24"/>
          <w:highlight w:val="none"/>
        </w:rPr>
        <w:t>内容</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lang w:val="en-US" w:eastAsia="zh-CN"/>
        </w:rPr>
        <w:t>通用要求</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rPr>
        <w:tab/>
      </w: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PAGEREF _Toc1857 \h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5</w:t>
      </w:r>
      <w:r>
        <w:rPr>
          <w:rFonts w:hint="eastAsia" w:ascii="Times New Roman" w:hAnsi="Times New Roman" w:eastAsia="宋体"/>
          <w:szCs w:val="24"/>
          <w:highlight w:val="none"/>
        </w:rPr>
        <w:fldChar w:fldCharType="end"/>
      </w:r>
      <w:r>
        <w:rPr>
          <w:rFonts w:hint="eastAsia" w:ascii="Times New Roman" w:hAnsi="Times New Roman" w:eastAsia="宋体"/>
          <w:szCs w:val="24"/>
          <w:highlight w:val="none"/>
        </w:rPr>
        <w:fldChar w:fldCharType="end"/>
      </w:r>
    </w:p>
    <w:p>
      <w:pPr>
        <w:pStyle w:val="19"/>
        <w:tabs>
          <w:tab w:val="right" w:leader="dot" w:pos="8832"/>
          <w:tab w:val="clear" w:pos="8378"/>
        </w:tabs>
        <w:rPr>
          <w:rFonts w:hint="eastAsia" w:ascii="Times New Roman" w:hAnsi="Times New Roman" w:eastAsia="宋体"/>
          <w:szCs w:val="24"/>
          <w:highlight w:val="none"/>
        </w:rPr>
      </w:pP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HYPERLINK \l _Toc24005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 xml:space="preserve">3.5 </w:t>
      </w:r>
      <w:r>
        <w:rPr>
          <w:rFonts w:hint="eastAsia" w:ascii="Times New Roman" w:hAnsi="Times New Roman" w:eastAsia="宋体"/>
          <w:szCs w:val="24"/>
          <w:highlight w:val="none"/>
          <w:lang w:eastAsia="zh-CN"/>
        </w:rPr>
        <w:t>等级保护测评</w:t>
      </w:r>
      <w:r>
        <w:rPr>
          <w:rFonts w:hint="eastAsia" w:ascii="Times New Roman" w:hAnsi="Times New Roman" w:eastAsia="宋体"/>
          <w:szCs w:val="24"/>
          <w:highlight w:val="none"/>
        </w:rPr>
        <w:t>内容</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lang w:val="en-US" w:eastAsia="zh-CN"/>
        </w:rPr>
        <w:t>云计算安全扩展要求</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rPr>
        <w:tab/>
      </w: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PAGEREF _Toc24005 \h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6</w:t>
      </w:r>
      <w:r>
        <w:rPr>
          <w:rFonts w:hint="eastAsia" w:ascii="Times New Roman" w:hAnsi="Times New Roman" w:eastAsia="宋体"/>
          <w:szCs w:val="24"/>
          <w:highlight w:val="none"/>
        </w:rPr>
        <w:fldChar w:fldCharType="end"/>
      </w:r>
      <w:r>
        <w:rPr>
          <w:rFonts w:hint="eastAsia" w:ascii="Times New Roman" w:hAnsi="Times New Roman" w:eastAsia="宋体"/>
          <w:szCs w:val="24"/>
          <w:highlight w:val="none"/>
        </w:rPr>
        <w:fldChar w:fldCharType="end"/>
      </w:r>
    </w:p>
    <w:p>
      <w:pPr>
        <w:pStyle w:val="19"/>
        <w:tabs>
          <w:tab w:val="right" w:leader="dot" w:pos="8832"/>
          <w:tab w:val="clear" w:pos="8378"/>
        </w:tabs>
        <w:rPr>
          <w:rFonts w:hint="eastAsia" w:ascii="Times New Roman" w:hAnsi="Times New Roman" w:eastAsia="宋体"/>
          <w:szCs w:val="24"/>
          <w:highlight w:val="none"/>
        </w:rPr>
      </w:pP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HYPERLINK \l _Toc22493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 xml:space="preserve">3.6 </w:t>
      </w:r>
      <w:r>
        <w:rPr>
          <w:rFonts w:hint="eastAsia" w:ascii="Times New Roman" w:hAnsi="Times New Roman" w:eastAsia="宋体"/>
          <w:szCs w:val="24"/>
          <w:highlight w:val="none"/>
          <w:lang w:eastAsia="zh-CN"/>
        </w:rPr>
        <w:t>等级保护测评</w:t>
      </w:r>
      <w:r>
        <w:rPr>
          <w:rFonts w:hint="eastAsia" w:ascii="Times New Roman" w:hAnsi="Times New Roman" w:eastAsia="宋体"/>
          <w:szCs w:val="24"/>
          <w:highlight w:val="none"/>
        </w:rPr>
        <w:t>内容</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lang w:val="en-US" w:eastAsia="zh-CN"/>
        </w:rPr>
        <w:t>移动互联安全扩展要求</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rPr>
        <w:tab/>
      </w: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PAGEREF _Toc22493 \h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7</w:t>
      </w:r>
      <w:r>
        <w:rPr>
          <w:rFonts w:hint="eastAsia" w:ascii="Times New Roman" w:hAnsi="Times New Roman" w:eastAsia="宋体"/>
          <w:szCs w:val="24"/>
          <w:highlight w:val="none"/>
        </w:rPr>
        <w:fldChar w:fldCharType="end"/>
      </w:r>
      <w:r>
        <w:rPr>
          <w:rFonts w:hint="eastAsia" w:ascii="Times New Roman" w:hAnsi="Times New Roman" w:eastAsia="宋体"/>
          <w:szCs w:val="24"/>
          <w:highlight w:val="none"/>
        </w:rPr>
        <w:fldChar w:fldCharType="end"/>
      </w:r>
    </w:p>
    <w:p>
      <w:pPr>
        <w:pStyle w:val="19"/>
        <w:tabs>
          <w:tab w:val="right" w:leader="dot" w:pos="8832"/>
          <w:tab w:val="clear" w:pos="8378"/>
        </w:tabs>
      </w:pP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HYPERLINK \l _Toc6024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3.</w:t>
      </w:r>
      <w:r>
        <w:rPr>
          <w:rFonts w:hint="eastAsia" w:ascii="Times New Roman" w:hAnsi="Times New Roman" w:eastAsia="宋体"/>
          <w:szCs w:val="24"/>
          <w:highlight w:val="none"/>
          <w:lang w:val="en-US" w:eastAsia="zh-CN"/>
        </w:rPr>
        <w:t>7</w:t>
      </w:r>
      <w:r>
        <w:rPr>
          <w:rFonts w:hint="eastAsia" w:ascii="Times New Roman" w:hAnsi="Times New Roman" w:eastAsia="宋体"/>
          <w:szCs w:val="24"/>
          <w:highlight w:val="none"/>
        </w:rPr>
        <w:t xml:space="preserve"> </w:t>
      </w:r>
      <w:r>
        <w:rPr>
          <w:rFonts w:hint="eastAsia" w:ascii="Times New Roman" w:hAnsi="Times New Roman" w:eastAsia="宋体"/>
          <w:szCs w:val="24"/>
          <w:highlight w:val="none"/>
          <w:lang w:eastAsia="zh-CN"/>
        </w:rPr>
        <w:t>等级保护测评</w:t>
      </w:r>
      <w:r>
        <w:rPr>
          <w:rFonts w:hint="eastAsia" w:ascii="Times New Roman" w:hAnsi="Times New Roman" w:eastAsia="宋体"/>
          <w:szCs w:val="24"/>
          <w:highlight w:val="none"/>
        </w:rPr>
        <w:t>内容</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lang w:val="en-US" w:eastAsia="zh-CN"/>
        </w:rPr>
        <w:t>大数据安全扩展要求</w:t>
      </w:r>
      <w:r>
        <w:rPr>
          <w:rFonts w:hint="eastAsia" w:ascii="Times New Roman" w:hAnsi="Times New Roman" w:eastAsia="宋体"/>
          <w:szCs w:val="24"/>
          <w:highlight w:val="none"/>
          <w:lang w:eastAsia="zh-CN"/>
        </w:rPr>
        <w:t>）</w:t>
      </w:r>
      <w:r>
        <w:rPr>
          <w:rFonts w:hint="eastAsia" w:ascii="Times New Roman" w:hAnsi="Times New Roman" w:eastAsia="宋体"/>
          <w:szCs w:val="24"/>
          <w:highlight w:val="none"/>
        </w:rPr>
        <w:tab/>
      </w:r>
      <w:r>
        <w:rPr>
          <w:rFonts w:hint="eastAsia" w:ascii="Times New Roman" w:hAnsi="Times New Roman" w:eastAsia="宋体"/>
          <w:szCs w:val="24"/>
          <w:highlight w:val="none"/>
        </w:rPr>
        <w:fldChar w:fldCharType="begin"/>
      </w:r>
      <w:r>
        <w:rPr>
          <w:rFonts w:hint="eastAsia" w:ascii="Times New Roman" w:hAnsi="Times New Roman" w:eastAsia="宋体"/>
          <w:szCs w:val="24"/>
          <w:highlight w:val="none"/>
        </w:rPr>
        <w:instrText xml:space="preserve"> PAGEREF _Toc6024 \h </w:instrText>
      </w:r>
      <w:r>
        <w:rPr>
          <w:rFonts w:hint="eastAsia" w:ascii="Times New Roman" w:hAnsi="Times New Roman" w:eastAsia="宋体"/>
          <w:szCs w:val="24"/>
          <w:highlight w:val="none"/>
        </w:rPr>
        <w:fldChar w:fldCharType="separate"/>
      </w:r>
      <w:r>
        <w:rPr>
          <w:rFonts w:hint="eastAsia" w:ascii="Times New Roman" w:hAnsi="Times New Roman" w:eastAsia="宋体"/>
          <w:szCs w:val="24"/>
          <w:highlight w:val="none"/>
        </w:rPr>
        <w:t>8</w:t>
      </w:r>
      <w:r>
        <w:rPr>
          <w:rFonts w:hint="eastAsia" w:ascii="Times New Roman" w:hAnsi="Times New Roman" w:eastAsia="宋体"/>
          <w:szCs w:val="24"/>
          <w:highlight w:val="none"/>
        </w:rPr>
        <w:fldChar w:fldCharType="end"/>
      </w:r>
      <w:r>
        <w:rPr>
          <w:rFonts w:hint="eastAsia" w:ascii="Times New Roman" w:hAnsi="Times New Roman" w:eastAsia="宋体"/>
          <w:szCs w:val="24"/>
          <w:highlight w:val="none"/>
        </w:rPr>
        <w:fldChar w:fldCharType="end"/>
      </w:r>
    </w:p>
    <w:p>
      <w:pPr>
        <w:pStyle w:val="18"/>
        <w:tabs>
          <w:tab w:val="right" w:leader="dot" w:pos="8832"/>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_Toc6721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4 </w:t>
      </w:r>
      <w:r>
        <w:rPr>
          <w:rFonts w:hint="eastAsia" w:ascii="Times New Roman" w:hAnsi="Times New Roman" w:eastAsia="宋体"/>
          <w:szCs w:val="24"/>
          <w:highlight w:val="none"/>
          <w:lang w:eastAsia="zh-CN"/>
        </w:rPr>
        <w:t>项目</w:t>
      </w:r>
      <w:r>
        <w:rPr>
          <w:rFonts w:hint="eastAsia" w:ascii="Times New Roman" w:hAnsi="Times New Roman" w:eastAsia="宋体"/>
          <w:szCs w:val="24"/>
          <w:highlight w:val="none"/>
        </w:rPr>
        <w:t>管理</w:t>
      </w:r>
      <w:r>
        <w:tab/>
      </w:r>
      <w:r>
        <w:fldChar w:fldCharType="begin"/>
      </w:r>
      <w:r>
        <w:instrText xml:space="preserve"> PAGEREF _Toc6721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_Toc2748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lang w:eastAsia="zh-CN"/>
        </w:rPr>
        <w:t xml:space="preserve">4.1 </w:t>
      </w:r>
      <w:r>
        <w:rPr>
          <w:rFonts w:hint="eastAsia" w:ascii="Times New Roman" w:hAnsi="Times New Roman" w:eastAsia="宋体"/>
          <w:szCs w:val="24"/>
          <w:highlight w:val="none"/>
          <w:lang w:eastAsia="zh-CN"/>
        </w:rPr>
        <w:t>时间要求</w:t>
      </w:r>
      <w:r>
        <w:tab/>
      </w:r>
      <w:r>
        <w:fldChar w:fldCharType="begin"/>
      </w:r>
      <w:r>
        <w:instrText xml:space="preserve"> PAGEREF _Toc2748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_Toc17796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4.2 </w:t>
      </w:r>
      <w:r>
        <w:rPr>
          <w:rFonts w:hint="eastAsia" w:ascii="Times New Roman" w:hAnsi="Times New Roman" w:eastAsia="宋体"/>
          <w:szCs w:val="24"/>
          <w:highlight w:val="none"/>
        </w:rPr>
        <w:t>项目验收</w:t>
      </w:r>
      <w:r>
        <w:tab/>
      </w:r>
      <w:r>
        <w:fldChar w:fldCharType="begin"/>
      </w:r>
      <w:r>
        <w:instrText xml:space="preserve"> PAGEREF _Toc17796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_Toc19956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4.3 </w:t>
      </w:r>
      <w:r>
        <w:rPr>
          <w:rFonts w:hint="eastAsia" w:ascii="Times New Roman" w:hAnsi="Times New Roman" w:eastAsia="宋体"/>
          <w:szCs w:val="24"/>
          <w:highlight w:val="none"/>
        </w:rPr>
        <w:t>项目文档</w:t>
      </w:r>
      <w:r>
        <w:tab/>
      </w:r>
      <w:r>
        <w:fldChar w:fldCharType="begin"/>
      </w:r>
      <w:r>
        <w:instrText xml:space="preserve"> PAGEREF _Toc19956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_Toc12800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4.4 </w:t>
      </w:r>
      <w:r>
        <w:rPr>
          <w:rFonts w:hint="eastAsia" w:ascii="Times New Roman" w:hAnsi="Times New Roman" w:eastAsia="宋体"/>
          <w:szCs w:val="24"/>
          <w:highlight w:val="none"/>
        </w:rPr>
        <w:t>质量保证</w:t>
      </w:r>
      <w:r>
        <w:tab/>
      </w:r>
      <w:r>
        <w:fldChar w:fldCharType="begin"/>
      </w:r>
      <w:r>
        <w:instrText xml:space="preserve"> PAGEREF _Toc12800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9"/>
        <w:tabs>
          <w:tab w:val="right" w:leader="dot" w:pos="8832"/>
          <w:tab w:val="clear" w:pos="8378"/>
        </w:tabs>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_Toc22195 </w:instrText>
      </w:r>
      <w:r>
        <w:rPr>
          <w:rFonts w:hint="eastAsia" w:ascii="Times New Roman" w:hAnsi="Times New Roman" w:eastAsia="宋体" w:cs="宋体"/>
          <w:szCs w:val="28"/>
          <w:highlight w:val="none"/>
        </w:rPr>
        <w:fldChar w:fldCharType="separate"/>
      </w:r>
      <w:r>
        <w:rPr>
          <w:rFonts w:hint="eastAsia" w:ascii="Times New Roman" w:hAnsi="Times New Roman" w:eastAsia="宋体"/>
          <w:szCs w:val="24"/>
        </w:rPr>
        <w:t xml:space="preserve">4.5 </w:t>
      </w:r>
      <w:r>
        <w:rPr>
          <w:rFonts w:hint="eastAsia" w:ascii="Times New Roman" w:hAnsi="Times New Roman" w:eastAsia="宋体"/>
          <w:szCs w:val="24"/>
          <w:highlight w:val="none"/>
        </w:rPr>
        <w:t>保密要求</w:t>
      </w:r>
      <w:r>
        <w:tab/>
      </w:r>
      <w:r>
        <w:fldChar w:fldCharType="begin"/>
      </w:r>
      <w:r>
        <w:instrText xml:space="preserve"> PAGEREF _Toc22195 \h </w:instrText>
      </w:r>
      <w:r>
        <w:fldChar w:fldCharType="separate"/>
      </w:r>
      <w:r>
        <w:t>8</w:t>
      </w:r>
      <w:r>
        <w:fldChar w:fldCharType="end"/>
      </w:r>
      <w:r>
        <w:rPr>
          <w:rFonts w:hint="eastAsia" w:ascii="Times New Roman" w:hAnsi="Times New Roman" w:eastAsia="宋体" w:cs="宋体"/>
          <w:color w:val="auto"/>
          <w:szCs w:val="28"/>
          <w:highlight w:val="none"/>
        </w:rPr>
        <w:fldChar w:fldCharType="end"/>
      </w:r>
    </w:p>
    <w:p>
      <w:pPr>
        <w:pStyle w:val="18"/>
        <w:tabs>
          <w:tab w:val="right" w:leader="dot" w:pos="8832"/>
        </w:tabs>
        <w:spacing w:line="360" w:lineRule="auto"/>
      </w:pPr>
      <w:r>
        <w:rPr>
          <w:rFonts w:hint="eastAsia" w:ascii="Times New Roman" w:hAnsi="Times New Roman" w:eastAsia="宋体" w:cs="宋体"/>
          <w:color w:val="auto"/>
          <w:szCs w:val="28"/>
          <w:highlight w:val="none"/>
        </w:rPr>
        <w:fldChar w:fldCharType="begin"/>
      </w:r>
      <w:r>
        <w:rPr>
          <w:rFonts w:hint="eastAsia" w:ascii="Times New Roman" w:hAnsi="Times New Roman" w:eastAsia="宋体" w:cs="宋体"/>
          <w:szCs w:val="28"/>
          <w:highlight w:val="none"/>
        </w:rPr>
        <w:instrText xml:space="preserve"> HYPERLINK \l _Toc23365 </w:instrText>
      </w:r>
      <w:r>
        <w:rPr>
          <w:rFonts w:hint="eastAsia" w:ascii="Times New Roman" w:hAnsi="Times New Roman" w:eastAsia="宋体" w:cs="宋体"/>
          <w:szCs w:val="28"/>
          <w:highlight w:val="none"/>
        </w:rPr>
        <w:fldChar w:fldCharType="separate"/>
      </w:r>
      <w:r>
        <w:rPr>
          <w:rFonts w:hint="eastAsia" w:ascii="Times New Roman" w:hAnsi="Times New Roman" w:eastAsia="宋体" w:cs="Times New Roman"/>
          <w:szCs w:val="24"/>
          <w:lang w:eastAsia="zh-CN"/>
        </w:rPr>
        <w:t xml:space="preserve">5 </w:t>
      </w:r>
      <w:r>
        <w:rPr>
          <w:rFonts w:hint="eastAsia" w:ascii="Times New Roman" w:hAnsi="Times New Roman" w:eastAsia="宋体" w:cs="Times New Roman"/>
          <w:szCs w:val="24"/>
          <w:highlight w:val="none"/>
          <w:lang w:eastAsia="zh-CN"/>
        </w:rPr>
        <w:t>售后服务和技术支持</w:t>
      </w:r>
      <w:r>
        <w:tab/>
      </w:r>
      <w:r>
        <w:fldChar w:fldCharType="begin"/>
      </w:r>
      <w:r>
        <w:instrText xml:space="preserve"> PAGEREF _Toc23365 \h </w:instrText>
      </w:r>
      <w:r>
        <w:fldChar w:fldCharType="separate"/>
      </w:r>
      <w:r>
        <w:t>9</w:t>
      </w:r>
      <w:r>
        <w:fldChar w:fldCharType="end"/>
      </w:r>
      <w:r>
        <w:rPr>
          <w:rFonts w:hint="eastAsia" w:ascii="Times New Roman" w:hAnsi="Times New Roman" w:eastAsia="宋体" w:cs="宋体"/>
          <w:color w:val="auto"/>
          <w:szCs w:val="28"/>
          <w:highlight w:val="none"/>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Times New Roman" w:hAnsi="Times New Roman" w:eastAsia="宋体" w:cs="宋体"/>
          <w:color w:val="auto"/>
          <w:szCs w:val="28"/>
          <w:highlight w:val="none"/>
        </w:rPr>
      </w:pPr>
      <w:r>
        <w:rPr>
          <w:rFonts w:hint="eastAsia" w:ascii="Times New Roman" w:hAnsi="Times New Roman" w:eastAsia="宋体" w:cs="宋体"/>
          <w:color w:val="auto"/>
          <w:szCs w:val="28"/>
          <w:highlight w:val="none"/>
        </w:rPr>
        <w:fldChar w:fldCharType="end"/>
      </w:r>
    </w:p>
    <w:p>
      <w:pPr>
        <w:pStyle w:val="2"/>
      </w:pPr>
    </w:p>
    <w:p>
      <w:pPr>
        <w:pStyle w:val="5"/>
        <w:keepNext/>
        <w:keepLines/>
        <w:pageBreakBefore w:val="0"/>
        <w:widowControl w:val="0"/>
        <w:numPr>
          <w:ilvl w:val="0"/>
          <w:numId w:val="2"/>
        </w:numPr>
        <w:kinsoku/>
        <w:wordWrap/>
        <w:overflowPunct/>
        <w:topLinePunct w:val="0"/>
        <w:autoSpaceDE/>
        <w:autoSpaceDN/>
        <w:bidi w:val="0"/>
        <w:adjustRightInd/>
        <w:snapToGrid/>
        <w:spacing w:before="200" w:after="200" w:line="360" w:lineRule="auto"/>
        <w:ind w:left="0" w:leftChars="0" w:right="0" w:rightChars="0" w:firstLine="0" w:firstLineChars="0"/>
        <w:jc w:val="both"/>
        <w:textAlignment w:val="auto"/>
        <w:outlineLvl w:val="0"/>
        <w:rPr>
          <w:sz w:val="24"/>
          <w:szCs w:val="24"/>
        </w:rPr>
      </w:pPr>
      <w:bookmarkStart w:id="9" w:name="_Toc28099"/>
      <w:r>
        <w:rPr>
          <w:rFonts w:hint="eastAsia"/>
          <w:sz w:val="24"/>
          <w:szCs w:val="24"/>
        </w:rPr>
        <w:t>总则</w:t>
      </w:r>
      <w:bookmarkEnd w:id="9"/>
    </w:p>
    <w:p>
      <w:pPr>
        <w:numPr>
          <w:ilvl w:val="1"/>
          <w:numId w:val="2"/>
        </w:numPr>
        <w:spacing w:line="360" w:lineRule="auto"/>
        <w:outlineLvl w:val="1"/>
        <w:rPr>
          <w:rFonts w:ascii="Times New Roman" w:hAnsi="Times New Roman" w:eastAsia="宋体"/>
          <w:b/>
          <w:color w:val="auto"/>
          <w:sz w:val="24"/>
          <w:szCs w:val="24"/>
          <w:highlight w:val="none"/>
        </w:rPr>
      </w:pPr>
      <w:bookmarkStart w:id="10" w:name="_Toc18539"/>
      <w:r>
        <w:rPr>
          <w:rFonts w:ascii="Times New Roman" w:hAnsi="Times New Roman" w:eastAsia="宋体"/>
          <w:b/>
          <w:color w:val="auto"/>
          <w:sz w:val="24"/>
          <w:szCs w:val="24"/>
          <w:highlight w:val="none"/>
        </w:rPr>
        <w:t>引言</w:t>
      </w:r>
      <w:bookmarkEnd w:id="10"/>
    </w:p>
    <w:p>
      <w:pPr>
        <w:pStyle w:val="42"/>
        <w:overflowPunct w:val="0"/>
        <w:topLinePunct/>
        <w:adjustRightInd/>
        <w:snapToGrid/>
        <w:spacing w:line="360" w:lineRule="auto"/>
        <w:ind w:firstLine="480"/>
        <w:textAlignment w:val="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按照公安部、国务院国有资产监督管理委员会《关于进一步推进中央企业信息安全等级保护工作的通知》（公通字[2010]70号）等关于</w:t>
      </w:r>
      <w:r>
        <w:rPr>
          <w:rFonts w:hint="eastAsia" w:ascii="Times New Roman" w:hAnsi="Times New Roman"/>
          <w:color w:val="auto"/>
          <w:sz w:val="24"/>
          <w:szCs w:val="24"/>
          <w:highlight w:val="none"/>
          <w:lang w:val="en-US" w:eastAsia="zh-CN"/>
        </w:rPr>
        <w:t>网络</w:t>
      </w:r>
      <w:r>
        <w:rPr>
          <w:rFonts w:hint="eastAsia" w:ascii="Times New Roman" w:hAnsi="Times New Roman" w:eastAsia="宋体"/>
          <w:color w:val="auto"/>
          <w:sz w:val="24"/>
          <w:szCs w:val="24"/>
          <w:highlight w:val="none"/>
        </w:rPr>
        <w:t>安全等级保护工作的一系列文件的精神，</w:t>
      </w:r>
      <w:r>
        <w:rPr>
          <w:rFonts w:hint="eastAsia" w:ascii="Times New Roman" w:hAnsi="Times New Roman"/>
          <w:color w:val="auto"/>
          <w:sz w:val="24"/>
          <w:szCs w:val="24"/>
          <w:highlight w:val="none"/>
          <w:lang w:eastAsia="zh-CN"/>
        </w:rPr>
        <w:t>南方鼎元资产运营有限责任公司</w:t>
      </w:r>
      <w:r>
        <w:rPr>
          <w:rFonts w:hint="eastAsia" w:ascii="Times New Roman" w:hAnsi="Times New Roman" w:eastAsia="宋体"/>
          <w:color w:val="auto"/>
          <w:sz w:val="24"/>
          <w:szCs w:val="24"/>
          <w:highlight w:val="none"/>
        </w:rPr>
        <w:t>（以下简称“公司”）根据国家</w:t>
      </w:r>
      <w:r>
        <w:rPr>
          <w:rFonts w:hint="eastAsia" w:ascii="Times New Roman" w:hAnsi="Times New Roman"/>
          <w:color w:val="auto"/>
          <w:sz w:val="24"/>
          <w:szCs w:val="24"/>
          <w:highlight w:val="none"/>
          <w:lang w:val="en-US" w:eastAsia="zh-CN"/>
        </w:rPr>
        <w:t>网络安全</w:t>
      </w:r>
      <w:r>
        <w:rPr>
          <w:rFonts w:hint="eastAsia" w:ascii="Times New Roman" w:hAnsi="Times New Roman" w:eastAsia="宋体"/>
          <w:color w:val="auto"/>
          <w:sz w:val="24"/>
          <w:szCs w:val="24"/>
          <w:highlight w:val="none"/>
        </w:rPr>
        <w:t>等级保护标准需要定期开展安全测评工作，对业务应用系统安全分等级、按标准进行建设、管理和</w:t>
      </w:r>
      <w:r>
        <w:rPr>
          <w:rFonts w:hint="eastAsia" w:ascii="Times New Roman" w:hAnsi="Times New Roman"/>
          <w:color w:val="auto"/>
          <w:sz w:val="24"/>
          <w:szCs w:val="24"/>
          <w:highlight w:val="none"/>
          <w:lang w:val="en-US" w:eastAsia="zh-CN"/>
        </w:rPr>
        <w:t>运维</w:t>
      </w:r>
      <w:r>
        <w:rPr>
          <w:rFonts w:hint="eastAsia" w:ascii="Times New Roman" w:hAnsi="Times New Roman" w:eastAsia="宋体"/>
          <w:color w:val="auto"/>
          <w:sz w:val="24"/>
          <w:szCs w:val="24"/>
          <w:highlight w:val="none"/>
        </w:rPr>
        <w:t>。</w:t>
      </w:r>
      <w:r>
        <w:rPr>
          <w:rFonts w:hint="eastAsia" w:ascii="Times New Roman" w:hAnsi="Times New Roman"/>
          <w:color w:val="auto"/>
          <w:sz w:val="24"/>
          <w:szCs w:val="24"/>
          <w:highlight w:val="none"/>
          <w:lang w:eastAsia="zh-CN"/>
        </w:rPr>
        <w:t>根据南方电网公司</w:t>
      </w:r>
      <w:r>
        <w:rPr>
          <w:rFonts w:hint="eastAsia" w:ascii="Times New Roman" w:hAnsi="Times New Roman" w:eastAsia="宋体"/>
          <w:color w:val="auto"/>
          <w:sz w:val="24"/>
          <w:szCs w:val="24"/>
          <w:highlight w:val="none"/>
        </w:rPr>
        <w:t>等级保护管理</w:t>
      </w:r>
      <w:r>
        <w:rPr>
          <w:rFonts w:hint="eastAsia" w:ascii="Times New Roman" w:hAnsi="Times New Roman"/>
          <w:color w:val="auto"/>
          <w:sz w:val="24"/>
          <w:szCs w:val="24"/>
          <w:highlight w:val="none"/>
          <w:lang w:eastAsia="zh-CN"/>
        </w:rPr>
        <w:t>的有关</w:t>
      </w:r>
      <w:r>
        <w:rPr>
          <w:rFonts w:hint="eastAsia" w:ascii="Times New Roman" w:hAnsi="Times New Roman" w:eastAsia="宋体"/>
          <w:color w:val="auto"/>
          <w:sz w:val="24"/>
          <w:szCs w:val="24"/>
          <w:highlight w:val="none"/>
        </w:rPr>
        <w:t>规定，需按照国家等级保护有关文件要求，每年对重要信息系统进行等级</w:t>
      </w:r>
      <w:r>
        <w:rPr>
          <w:rFonts w:hint="eastAsia" w:ascii="Times New Roman" w:hAnsi="Times New Roman"/>
          <w:color w:val="auto"/>
          <w:sz w:val="24"/>
          <w:szCs w:val="24"/>
          <w:highlight w:val="none"/>
          <w:lang w:val="en-US" w:eastAsia="zh-CN"/>
        </w:rPr>
        <w:t>保护测评</w:t>
      </w:r>
      <w:r>
        <w:rPr>
          <w:rFonts w:hint="eastAsia" w:ascii="Times New Roman" w:hAnsi="Times New Roman" w:eastAsia="宋体"/>
          <w:color w:val="auto"/>
          <w:sz w:val="24"/>
          <w:szCs w:val="24"/>
          <w:highlight w:val="none"/>
        </w:rPr>
        <w:t>工作，网络安全等级保护的实施包括定级、备案、差距评估、整改、</w:t>
      </w:r>
      <w:r>
        <w:rPr>
          <w:rFonts w:hint="eastAsia" w:ascii="Times New Roman" w:hAnsi="Times New Roman"/>
          <w:color w:val="auto"/>
          <w:sz w:val="24"/>
          <w:szCs w:val="24"/>
          <w:highlight w:val="none"/>
          <w:lang w:val="en-US" w:eastAsia="zh-CN"/>
        </w:rPr>
        <w:t>核查</w:t>
      </w:r>
      <w:r>
        <w:rPr>
          <w:rFonts w:hint="eastAsia" w:ascii="Times New Roman" w:hAnsi="Times New Roman" w:eastAsia="宋体"/>
          <w:color w:val="auto"/>
          <w:sz w:val="24"/>
          <w:szCs w:val="24"/>
          <w:highlight w:val="none"/>
        </w:rPr>
        <w:t>（等级测评）等环节，积极组织开展网络安全等级保护工作</w:t>
      </w:r>
      <w:r>
        <w:rPr>
          <w:rFonts w:hint="eastAsia" w:ascii="Times New Roman" w:hAnsi="Times New Roman"/>
          <w:color w:val="auto"/>
          <w:sz w:val="24"/>
          <w:szCs w:val="24"/>
          <w:highlight w:val="none"/>
          <w:lang w:val="en-US" w:eastAsia="zh-CN"/>
        </w:rPr>
        <w:t>目前</w:t>
      </w:r>
      <w:r>
        <w:rPr>
          <w:rFonts w:hint="eastAsia" w:ascii="Times New Roman" w:hAnsi="Times New Roman" w:eastAsia="宋体"/>
          <w:color w:val="auto"/>
          <w:sz w:val="24"/>
          <w:szCs w:val="24"/>
          <w:highlight w:val="none"/>
        </w:rPr>
        <w:t>已经成为一项常态化的工作。</w:t>
      </w:r>
    </w:p>
    <w:p>
      <w:pPr>
        <w:numPr>
          <w:ilvl w:val="1"/>
          <w:numId w:val="2"/>
        </w:numPr>
        <w:spacing w:line="360" w:lineRule="auto"/>
        <w:outlineLvl w:val="1"/>
        <w:rPr>
          <w:rFonts w:ascii="Times New Roman" w:hAnsi="Times New Roman" w:eastAsia="宋体"/>
          <w:b/>
          <w:color w:val="auto"/>
          <w:sz w:val="24"/>
          <w:szCs w:val="24"/>
          <w:highlight w:val="none"/>
        </w:rPr>
      </w:pPr>
      <w:bookmarkStart w:id="11" w:name="_Toc19977"/>
      <w:r>
        <w:rPr>
          <w:rFonts w:ascii="Times New Roman" w:hAnsi="Times New Roman" w:eastAsia="宋体"/>
          <w:b/>
          <w:color w:val="auto"/>
          <w:sz w:val="24"/>
          <w:szCs w:val="24"/>
          <w:highlight w:val="none"/>
        </w:rPr>
        <w:t>适用范围</w:t>
      </w:r>
      <w:bookmarkEnd w:id="11"/>
    </w:p>
    <w:p>
      <w:pPr>
        <w:spacing w:before="156" w:beforeLines="50" w:after="156" w:afterLines="50" w:line="360" w:lineRule="auto"/>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本技术规范适用于</w:t>
      </w:r>
      <w:r>
        <w:rPr>
          <w:rFonts w:hint="default" w:ascii="Times New Roman" w:hAnsi="Times New Roman" w:eastAsia="宋体" w:cs="Times New Roman"/>
          <w:color w:val="auto"/>
          <w:kern w:val="2"/>
          <w:sz w:val="24"/>
          <w:szCs w:val="24"/>
          <w:highlight w:val="none"/>
          <w:lang w:val="en-US" w:eastAsia="zh-CN" w:bidi="ar-SA"/>
        </w:rPr>
        <w:t>鼎元资产公司资产运营数字化平台2025年等保测评项目</w:t>
      </w:r>
      <w:r>
        <w:rPr>
          <w:rFonts w:hint="eastAsia" w:ascii="Times New Roman" w:hAnsi="Times New Roman" w:eastAsia="宋体" w:cs="Times New Roman"/>
          <w:color w:val="auto"/>
          <w:kern w:val="2"/>
          <w:sz w:val="24"/>
          <w:szCs w:val="24"/>
          <w:highlight w:val="none"/>
          <w:lang w:val="en-US" w:eastAsia="zh-CN" w:bidi="ar-SA"/>
        </w:rPr>
        <w:t>。</w:t>
      </w:r>
    </w:p>
    <w:p>
      <w:pPr>
        <w:numPr>
          <w:ilvl w:val="2"/>
          <w:numId w:val="2"/>
        </w:numPr>
        <w:tabs>
          <w:tab w:val="left" w:pos="0"/>
          <w:tab w:val="clear" w:pos="851"/>
        </w:tabs>
        <w:overflowPunct w:val="0"/>
        <w:topLinePunct/>
        <w:snapToGrid w:val="0"/>
        <w:spacing w:line="360" w:lineRule="auto"/>
        <w:ind w:left="0" w:firstLine="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本技术规范提出的是最低限度的技术要求。凡本技术规范中未规定，但在相关国家标准、电力行业标准或IEC标准中有规定的规范条文，</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应按相应标准的条文进行</w:t>
      </w:r>
      <w:r>
        <w:rPr>
          <w:rFonts w:hint="eastAsia" w:ascii="Times New Roman" w:hAnsi="Times New Roman" w:eastAsia="宋体"/>
          <w:color w:val="auto"/>
          <w:sz w:val="24"/>
          <w:szCs w:val="24"/>
          <w:highlight w:val="none"/>
        </w:rPr>
        <w:t>服务供应说明</w:t>
      </w:r>
      <w:r>
        <w:rPr>
          <w:rFonts w:ascii="Times New Roman" w:hAnsi="Times New Roman" w:eastAsia="宋体"/>
          <w:color w:val="auto"/>
          <w:sz w:val="24"/>
          <w:szCs w:val="24"/>
          <w:highlight w:val="none"/>
        </w:rPr>
        <w:t>。</w:t>
      </w:r>
    </w:p>
    <w:p>
      <w:pPr>
        <w:numPr>
          <w:ilvl w:val="2"/>
          <w:numId w:val="2"/>
        </w:numPr>
        <w:tabs>
          <w:tab w:val="left" w:pos="0"/>
          <w:tab w:val="clear" w:pos="851"/>
        </w:tabs>
        <w:overflowPunct w:val="0"/>
        <w:topLinePunct/>
        <w:snapToGrid w:val="0"/>
        <w:spacing w:line="360" w:lineRule="auto"/>
        <w:ind w:left="0" w:firstLine="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如果</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没有以书面形式对本技术规范的条文提出异议，则</w:t>
      </w:r>
      <w:r>
        <w:rPr>
          <w:rFonts w:hint="eastAsia" w:ascii="Times New Roman" w:hAnsi="Times New Roman" w:eastAsia="宋体"/>
          <w:color w:val="auto"/>
          <w:sz w:val="24"/>
          <w:szCs w:val="24"/>
          <w:highlight w:val="none"/>
        </w:rPr>
        <w:t>招标方</w:t>
      </w:r>
      <w:r>
        <w:rPr>
          <w:rFonts w:ascii="Times New Roman" w:hAnsi="Times New Roman" w:eastAsia="宋体"/>
          <w:color w:val="auto"/>
          <w:sz w:val="24"/>
          <w:szCs w:val="24"/>
          <w:highlight w:val="none"/>
        </w:rPr>
        <w:t>认为</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提供的</w:t>
      </w:r>
      <w:r>
        <w:rPr>
          <w:rFonts w:hint="eastAsia" w:ascii="Times New Roman" w:hAnsi="Times New Roman" w:eastAsia="宋体"/>
          <w:color w:val="auto"/>
          <w:sz w:val="24"/>
          <w:szCs w:val="24"/>
          <w:highlight w:val="none"/>
        </w:rPr>
        <w:t>服务</w:t>
      </w:r>
      <w:r>
        <w:rPr>
          <w:rFonts w:ascii="Times New Roman" w:hAnsi="Times New Roman" w:eastAsia="宋体"/>
          <w:color w:val="auto"/>
          <w:sz w:val="24"/>
          <w:szCs w:val="24"/>
          <w:highlight w:val="none"/>
        </w:rPr>
        <w:t>完全符合本技术规范。</w:t>
      </w:r>
    </w:p>
    <w:p>
      <w:pPr>
        <w:numPr>
          <w:ilvl w:val="2"/>
          <w:numId w:val="2"/>
        </w:numPr>
        <w:tabs>
          <w:tab w:val="left" w:pos="0"/>
          <w:tab w:val="clear" w:pos="851"/>
        </w:tabs>
        <w:overflowPunct w:val="0"/>
        <w:topLinePunct/>
        <w:snapToGrid w:val="0"/>
        <w:spacing w:line="360" w:lineRule="auto"/>
        <w:ind w:left="0" w:firstLine="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本技术规范所建议使用的标准如与</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所执行的标准不一致，</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应按更严格标准的条文执行或按双方商定的标准执行。</w:t>
      </w:r>
    </w:p>
    <w:p>
      <w:pPr>
        <w:numPr>
          <w:ilvl w:val="1"/>
          <w:numId w:val="2"/>
        </w:numPr>
        <w:spacing w:line="360" w:lineRule="auto"/>
        <w:outlineLvl w:val="1"/>
        <w:rPr>
          <w:rFonts w:ascii="Times New Roman" w:hAnsi="Times New Roman" w:eastAsia="宋体"/>
          <w:b/>
          <w:color w:val="auto"/>
          <w:sz w:val="24"/>
          <w:szCs w:val="24"/>
          <w:highlight w:val="none"/>
        </w:rPr>
      </w:pPr>
      <w:bookmarkStart w:id="12" w:name="_Toc28958"/>
      <w:r>
        <w:rPr>
          <w:rFonts w:hint="eastAsia" w:ascii="Times New Roman" w:hAnsi="Times New Roman" w:eastAsia="宋体"/>
          <w:b/>
          <w:color w:val="auto"/>
          <w:sz w:val="24"/>
          <w:szCs w:val="24"/>
          <w:highlight w:val="none"/>
        </w:rPr>
        <w:t>标准和规范</w:t>
      </w:r>
      <w:bookmarkEnd w:id="12"/>
    </w:p>
    <w:p>
      <w:pPr>
        <w:autoSpaceDE w:val="0"/>
        <w:autoSpaceDN w:val="0"/>
        <w:adjustRightInd w:val="0"/>
        <w:spacing w:line="360" w:lineRule="auto"/>
        <w:ind w:firstLine="480" w:firstLineChars="200"/>
        <w:jc w:val="left"/>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下列文件中的条款通过本规范的引用而成为本规范的条款，</w:t>
      </w:r>
      <w:r>
        <w:rPr>
          <w:rFonts w:hint="eastAsia" w:ascii="Times New Roman" w:hAnsi="Times New Roman" w:eastAsia="宋体"/>
          <w:color w:val="auto"/>
          <w:sz w:val="24"/>
          <w:highlight w:val="none"/>
        </w:rPr>
        <w:t>除本技术规范书特别规定外，投标方所提供的测评标准均应遵循公安部、能源局相关文件要求和招标方的相关文件要求，所用的标准必须是其最新版本；如果这些标准内容矛盾时，应按最高标准的条款执行或按双方商定的标准执行；如果投标方选用本技术规范书规定以外的标准时，需提交与这种替换标准相当的或优于规定标准的证明，供招标方确认。</w:t>
      </w:r>
    </w:p>
    <w:p>
      <w:pPr>
        <w:numPr>
          <w:ilvl w:val="0"/>
          <w:numId w:val="3"/>
        </w:numPr>
        <w:spacing w:line="360" w:lineRule="auto"/>
        <w:ind w:firstLine="147"/>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《信息安全等级保护管理办法》（公通字[2007]43号）</w:t>
      </w:r>
    </w:p>
    <w:p>
      <w:pPr>
        <w:numPr>
          <w:ilvl w:val="0"/>
          <w:numId w:val="3"/>
        </w:numPr>
        <w:spacing w:line="360" w:lineRule="auto"/>
        <w:ind w:firstLine="147"/>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《信息安全技术 </w:t>
      </w:r>
      <w:r>
        <w:rPr>
          <w:rFonts w:hint="eastAsia"/>
          <w:color w:val="auto"/>
          <w:sz w:val="24"/>
          <w:szCs w:val="24"/>
          <w:highlight w:val="none"/>
          <w:lang w:val="en-US" w:eastAsia="zh-CN"/>
        </w:rPr>
        <w:t>网络</w:t>
      </w:r>
      <w:r>
        <w:rPr>
          <w:rFonts w:hint="eastAsia" w:ascii="Times New Roman" w:hAnsi="Times New Roman" w:eastAsia="宋体"/>
          <w:color w:val="auto"/>
          <w:sz w:val="24"/>
          <w:szCs w:val="24"/>
          <w:highlight w:val="none"/>
        </w:rPr>
        <w:t>安全等级保护基本要求》</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GB/T 22239</w:t>
      </w:r>
      <w:r>
        <w:rPr>
          <w:rFonts w:hint="eastAsia" w:eastAsia="宋体"/>
          <w:color w:val="auto"/>
          <w:sz w:val="24"/>
          <w:szCs w:val="24"/>
          <w:highlight w:val="none"/>
          <w:lang w:val="en-US" w:eastAsia="zh-CN"/>
        </w:rPr>
        <w:t>-2019）</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olor w:val="auto"/>
          <w:sz w:val="24"/>
          <w:szCs w:val="24"/>
          <w:highlight w:val="none"/>
        </w:rPr>
        <w:t>《信息安全技术</w:t>
      </w:r>
      <w:r>
        <w:rPr>
          <w:rFonts w:hint="eastAsia"/>
          <w:color w:val="auto"/>
          <w:sz w:val="24"/>
          <w:szCs w:val="24"/>
          <w:highlight w:val="none"/>
          <w:lang w:val="en-US" w:eastAsia="zh-CN"/>
        </w:rPr>
        <w:t xml:space="preserve"> 网络</w:t>
      </w:r>
      <w:r>
        <w:rPr>
          <w:rFonts w:hint="eastAsia" w:ascii="Times New Roman" w:hAnsi="Times New Roman" w:eastAsia="宋体"/>
          <w:color w:val="auto"/>
          <w:sz w:val="24"/>
          <w:szCs w:val="24"/>
          <w:highlight w:val="none"/>
        </w:rPr>
        <w:t>安全等级保护定级指南》</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GB/T 22240</w:t>
      </w:r>
      <w:r>
        <w:rPr>
          <w:rFonts w:hint="eastAsia" w:eastAsia="宋体"/>
          <w:color w:val="auto"/>
          <w:sz w:val="24"/>
          <w:szCs w:val="24"/>
          <w:highlight w:val="none"/>
          <w:lang w:val="en-US" w:eastAsia="zh-CN"/>
        </w:rPr>
        <w:t>-2020）</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highlight w:val="none"/>
        </w:rPr>
        <w:t xml:space="preserve">信息安全技术 </w:t>
      </w:r>
      <w:r>
        <w:rPr>
          <w:rFonts w:hint="eastAsia" w:cs="宋体"/>
          <w:color w:val="auto"/>
          <w:sz w:val="24"/>
          <w:highlight w:val="none"/>
          <w:lang w:val="en-US" w:eastAsia="zh-CN"/>
        </w:rPr>
        <w:t>网络</w:t>
      </w:r>
      <w:r>
        <w:rPr>
          <w:rFonts w:hint="eastAsia" w:ascii="Times New Roman" w:hAnsi="Times New Roman" w:eastAsia="宋体" w:cs="宋体"/>
          <w:color w:val="auto"/>
          <w:sz w:val="24"/>
          <w:highlight w:val="none"/>
        </w:rPr>
        <w:t>安全等级保护实施指南</w:t>
      </w:r>
      <w:r>
        <w:rPr>
          <w:rFonts w:hint="eastAsia" w:ascii="Times New Roman" w:hAnsi="Times New Roman" w:eastAsia="宋体" w:cs="宋体"/>
          <w:color w:val="auto"/>
          <w:sz w:val="24"/>
          <w:szCs w:val="24"/>
          <w:highlight w:val="none"/>
        </w:rPr>
        <w:t>》</w:t>
      </w:r>
      <w:r>
        <w:rPr>
          <w:rFonts w:hint="eastAsia" w:cs="宋体"/>
          <w:color w:val="auto"/>
          <w:sz w:val="24"/>
          <w:szCs w:val="24"/>
          <w:highlight w:val="none"/>
          <w:lang w:eastAsia="zh-CN"/>
        </w:rPr>
        <w:t>（</w:t>
      </w:r>
      <w:r>
        <w:rPr>
          <w:rFonts w:ascii="Times New Roman" w:hAnsi="Times New Roman" w:eastAsia="宋体" w:cs="宋体"/>
          <w:color w:val="auto"/>
          <w:sz w:val="24"/>
          <w:highlight w:val="none"/>
        </w:rPr>
        <w:t>GB/T 25058</w:t>
      </w:r>
      <w:r>
        <w:rPr>
          <w:rFonts w:hint="eastAsia" w:eastAsia="宋体" w:cs="宋体"/>
          <w:color w:val="auto"/>
          <w:sz w:val="24"/>
          <w:highlight w:val="none"/>
          <w:lang w:val="en-US" w:eastAsia="zh-CN"/>
        </w:rPr>
        <w:t>-2019）</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cs="宋体"/>
          <w:color w:val="auto"/>
          <w:sz w:val="24"/>
          <w:szCs w:val="24"/>
          <w:highlight w:val="none"/>
          <w:lang w:eastAsia="zh-CN"/>
        </w:rPr>
        <w:t>《</w:t>
      </w:r>
      <w:r>
        <w:rPr>
          <w:rFonts w:hint="eastAsia" w:ascii="Times New Roman" w:hAnsi="Times New Roman" w:eastAsia="宋体" w:cs="宋体"/>
          <w:color w:val="auto"/>
          <w:sz w:val="24"/>
          <w:highlight w:val="none"/>
        </w:rPr>
        <w:t>信息安全技术</w:t>
      </w:r>
      <w:r>
        <w:rPr>
          <w:rFonts w:hint="eastAsia" w:cs="宋体"/>
          <w:color w:val="auto"/>
          <w:sz w:val="24"/>
          <w:highlight w:val="none"/>
          <w:lang w:val="en-US" w:eastAsia="zh-CN"/>
        </w:rPr>
        <w:t xml:space="preserve"> </w:t>
      </w:r>
      <w:r>
        <w:rPr>
          <w:rFonts w:hint="eastAsia" w:ascii="Times New Roman" w:hAnsi="Times New Roman" w:eastAsia="宋体" w:cs="宋体"/>
          <w:color w:val="auto"/>
          <w:sz w:val="24"/>
          <w:szCs w:val="24"/>
          <w:highlight w:val="none"/>
        </w:rPr>
        <w:t>网络安全等级保护测评要求</w:t>
      </w:r>
      <w:r>
        <w:rPr>
          <w:rFonts w:hint="eastAsia" w:cs="宋体"/>
          <w:color w:val="auto"/>
          <w:sz w:val="24"/>
          <w:szCs w:val="24"/>
          <w:highlight w:val="none"/>
          <w:lang w:eastAsia="zh-CN"/>
        </w:rPr>
        <w:t>》（</w:t>
      </w:r>
      <w:r>
        <w:rPr>
          <w:rFonts w:hint="eastAsia" w:ascii="Times New Roman" w:hAnsi="Times New Roman" w:eastAsia="宋体" w:cs="宋体"/>
          <w:color w:val="auto"/>
          <w:sz w:val="24"/>
          <w:szCs w:val="24"/>
          <w:highlight w:val="none"/>
        </w:rPr>
        <w:t>GB/T</w:t>
      </w:r>
      <w:r>
        <w:rPr>
          <w:rFonts w:hint="eastAsia"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28448</w:t>
      </w:r>
      <w:r>
        <w:rPr>
          <w:rFonts w:hint="eastAsia" w:eastAsia="宋体" w:cs="宋体"/>
          <w:color w:val="auto"/>
          <w:sz w:val="24"/>
          <w:szCs w:val="24"/>
          <w:highlight w:val="none"/>
          <w:lang w:val="en-US" w:eastAsia="zh-CN"/>
        </w:rPr>
        <w:t>-2019）</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cs="宋体"/>
          <w:color w:val="auto"/>
          <w:sz w:val="24"/>
          <w:szCs w:val="24"/>
          <w:highlight w:val="none"/>
          <w:lang w:eastAsia="zh-CN"/>
        </w:rPr>
        <w:t>《</w:t>
      </w:r>
      <w:r>
        <w:rPr>
          <w:rFonts w:hint="eastAsia" w:ascii="Times New Roman" w:hAnsi="Times New Roman" w:eastAsia="宋体" w:cs="宋体"/>
          <w:color w:val="auto"/>
          <w:sz w:val="24"/>
          <w:highlight w:val="none"/>
        </w:rPr>
        <w:t>信息安全技术</w:t>
      </w:r>
      <w:r>
        <w:rPr>
          <w:rFonts w:hint="eastAsia" w:cs="宋体"/>
          <w:color w:val="auto"/>
          <w:sz w:val="24"/>
          <w:highlight w:val="none"/>
          <w:lang w:val="en-US" w:eastAsia="zh-CN"/>
        </w:rPr>
        <w:t xml:space="preserve"> </w:t>
      </w:r>
      <w:r>
        <w:rPr>
          <w:rFonts w:hint="eastAsia" w:ascii="Times New Roman" w:hAnsi="Times New Roman" w:eastAsia="宋体" w:cs="宋体"/>
          <w:color w:val="auto"/>
          <w:sz w:val="24"/>
          <w:szCs w:val="24"/>
          <w:highlight w:val="none"/>
        </w:rPr>
        <w:t>网络安全等级保护测评过程指南</w:t>
      </w:r>
      <w:r>
        <w:rPr>
          <w:rFonts w:hint="eastAsia" w:cs="宋体"/>
          <w:color w:val="auto"/>
          <w:sz w:val="24"/>
          <w:szCs w:val="24"/>
          <w:highlight w:val="none"/>
          <w:lang w:eastAsia="zh-CN"/>
        </w:rPr>
        <w:t>》（</w:t>
      </w:r>
      <w:r>
        <w:rPr>
          <w:rFonts w:hint="eastAsia" w:ascii="Times New Roman" w:hAnsi="Times New Roman" w:eastAsia="宋体" w:cs="宋体"/>
          <w:color w:val="auto"/>
          <w:sz w:val="24"/>
          <w:szCs w:val="24"/>
          <w:highlight w:val="none"/>
        </w:rPr>
        <w:t>GB/T</w:t>
      </w:r>
      <w:r>
        <w:rPr>
          <w:rFonts w:hint="eastAsia"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28449</w:t>
      </w:r>
      <w:r>
        <w:rPr>
          <w:rFonts w:hint="eastAsia" w:eastAsia="宋体" w:cs="宋体"/>
          <w:color w:val="auto"/>
          <w:sz w:val="24"/>
          <w:szCs w:val="24"/>
          <w:highlight w:val="none"/>
          <w:lang w:val="en-US" w:eastAsia="zh-CN"/>
        </w:rPr>
        <w:t>-2018）</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《电力行业网络安全</w:t>
      </w:r>
      <w:r>
        <w:rPr>
          <w:rFonts w:hint="eastAsia" w:cs="宋体"/>
          <w:color w:val="auto"/>
          <w:sz w:val="24"/>
          <w:szCs w:val="24"/>
          <w:highlight w:val="none"/>
          <w:lang w:val="en-US" w:eastAsia="zh-CN"/>
        </w:rPr>
        <w:t>监督</w:t>
      </w:r>
      <w:r>
        <w:rPr>
          <w:rFonts w:hint="eastAsia" w:ascii="Times New Roman" w:hAnsi="Times New Roman" w:eastAsia="宋体" w:cs="宋体"/>
          <w:color w:val="auto"/>
          <w:sz w:val="24"/>
          <w:szCs w:val="24"/>
          <w:highlight w:val="none"/>
        </w:rPr>
        <w:t>管理办法》</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《电力行业</w:t>
      </w:r>
      <w:r>
        <w:rPr>
          <w:rFonts w:hint="eastAsia" w:cs="宋体"/>
          <w:color w:val="auto"/>
          <w:sz w:val="24"/>
          <w:szCs w:val="24"/>
          <w:highlight w:val="none"/>
          <w:lang w:val="en-US" w:eastAsia="zh-CN"/>
        </w:rPr>
        <w:t>网络</w:t>
      </w:r>
      <w:r>
        <w:rPr>
          <w:rFonts w:hint="eastAsia" w:ascii="Times New Roman" w:hAnsi="Times New Roman" w:eastAsia="宋体" w:cs="宋体"/>
          <w:color w:val="auto"/>
          <w:sz w:val="24"/>
          <w:szCs w:val="24"/>
          <w:highlight w:val="none"/>
        </w:rPr>
        <w:t>安全等级保护管理办法》</w:t>
      </w:r>
    </w:p>
    <w:p>
      <w:pPr>
        <w:numPr>
          <w:ilvl w:val="1"/>
          <w:numId w:val="2"/>
        </w:numPr>
        <w:spacing w:line="360" w:lineRule="auto"/>
        <w:outlineLvl w:val="1"/>
        <w:rPr>
          <w:rFonts w:ascii="Times New Roman" w:hAnsi="Times New Roman" w:eastAsia="宋体"/>
          <w:b/>
          <w:color w:val="auto"/>
          <w:sz w:val="24"/>
          <w:szCs w:val="24"/>
          <w:highlight w:val="none"/>
        </w:rPr>
      </w:pPr>
      <w:bookmarkStart w:id="13" w:name="_Toc19969"/>
      <w:bookmarkStart w:id="14" w:name="_Toc13954"/>
      <w:r>
        <w:rPr>
          <w:rFonts w:hint="eastAsia" w:ascii="Times New Roman" w:hAnsi="Times New Roman" w:eastAsia="宋体"/>
          <w:b/>
          <w:color w:val="auto"/>
          <w:sz w:val="24"/>
          <w:szCs w:val="24"/>
          <w:highlight w:val="none"/>
        </w:rPr>
        <w:t>权利和职责</w:t>
      </w:r>
      <w:bookmarkEnd w:id="0"/>
      <w:bookmarkEnd w:id="1"/>
      <w:bookmarkEnd w:id="2"/>
      <w:bookmarkEnd w:id="3"/>
      <w:bookmarkEnd w:id="4"/>
      <w:bookmarkEnd w:id="5"/>
      <w:bookmarkEnd w:id="6"/>
      <w:bookmarkEnd w:id="7"/>
      <w:bookmarkEnd w:id="8"/>
      <w:bookmarkEnd w:id="13"/>
      <w:bookmarkEnd w:id="14"/>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为切实保障本项目的工作质量，确保测评及评估工作达到预期目标，对招标方及项目实施方双方技术工作责任约定如下：</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color w:val="auto"/>
          <w:sz w:val="24"/>
          <w:szCs w:val="24"/>
          <w:highlight w:val="none"/>
        </w:rPr>
      </w:pPr>
      <w:bookmarkStart w:id="15" w:name="_Toc27747"/>
      <w:r>
        <w:rPr>
          <w:rFonts w:hint="eastAsia" w:ascii="Times New Roman" w:hAnsi="Times New Roman" w:eastAsia="宋体"/>
          <w:b/>
          <w:color w:val="auto"/>
          <w:sz w:val="24"/>
          <w:szCs w:val="24"/>
          <w:highlight w:val="none"/>
        </w:rPr>
        <w:t>招标方责任</w:t>
      </w:r>
      <w:bookmarkEnd w:id="15"/>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负责测评实施过程中同相关单位和部门的协调。</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为</w:t>
      </w:r>
      <w:r>
        <w:rPr>
          <w:rFonts w:hint="eastAsia" w:ascii="Times New Roman" w:hAnsi="Times New Roman" w:eastAsia="宋体"/>
          <w:color w:val="auto"/>
          <w:sz w:val="24"/>
          <w:szCs w:val="24"/>
          <w:highlight w:val="none"/>
        </w:rPr>
        <w:t>项目实施方</w:t>
      </w:r>
      <w:r>
        <w:rPr>
          <w:rFonts w:hint="eastAsia" w:ascii="Times New Roman" w:hAnsi="Times New Roman" w:eastAsia="宋体" w:cs="宋体"/>
          <w:color w:val="auto"/>
          <w:sz w:val="24"/>
          <w:szCs w:val="24"/>
          <w:highlight w:val="none"/>
        </w:rPr>
        <w:t>提供良好的工作场地和环境。</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按工作要求提供相关的资料和信息。</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准备应急措施，负责实施过程中的紧急情况的处理。</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color w:val="auto"/>
          <w:sz w:val="24"/>
          <w:szCs w:val="24"/>
          <w:highlight w:val="none"/>
        </w:rPr>
      </w:pPr>
      <w:bookmarkStart w:id="16" w:name="_Toc2168"/>
      <w:r>
        <w:rPr>
          <w:rFonts w:hint="eastAsia" w:ascii="Times New Roman" w:hAnsi="Times New Roman" w:eastAsia="宋体"/>
          <w:b/>
          <w:color w:val="auto"/>
          <w:sz w:val="24"/>
          <w:szCs w:val="24"/>
          <w:highlight w:val="none"/>
        </w:rPr>
        <w:t>项目实施方责任</w:t>
      </w:r>
      <w:bookmarkEnd w:id="16"/>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按照招标方工作章程开展工作。</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项目内容的变更及时与招标方代表沟通。</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按照协议要求提供技术服务和成果。</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确保测评及评估工作质量。</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配合招标方准备应急预案和实施过程中的紧急情况处理。</w:t>
      </w:r>
    </w:p>
    <w:p>
      <w:pPr>
        <w:numPr>
          <w:ilvl w:val="0"/>
          <w:numId w:val="3"/>
        </w:numPr>
        <w:spacing w:line="360" w:lineRule="auto"/>
        <w:ind w:firstLine="147"/>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负责按时完成所有工作。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同时，双方都必须遵循保密要求。</w:t>
      </w:r>
    </w:p>
    <w:p>
      <w:pPr>
        <w:numPr>
          <w:ilvl w:val="1"/>
          <w:numId w:val="2"/>
        </w:numPr>
        <w:spacing w:line="360" w:lineRule="auto"/>
        <w:outlineLvl w:val="1"/>
        <w:rPr>
          <w:rFonts w:ascii="Times New Roman" w:hAnsi="Times New Roman" w:eastAsia="宋体"/>
          <w:b/>
          <w:color w:val="auto"/>
          <w:sz w:val="24"/>
          <w:szCs w:val="24"/>
          <w:highlight w:val="none"/>
        </w:rPr>
      </w:pPr>
      <w:bookmarkStart w:id="17" w:name="_Toc32549"/>
      <w:bookmarkStart w:id="18" w:name="_Toc11265"/>
      <w:r>
        <w:rPr>
          <w:rFonts w:hint="eastAsia" w:ascii="Times New Roman" w:hAnsi="Times New Roman" w:eastAsia="宋体"/>
          <w:b/>
          <w:color w:val="auto"/>
          <w:sz w:val="24"/>
          <w:szCs w:val="24"/>
          <w:highlight w:val="none"/>
        </w:rPr>
        <w:t>项目</w:t>
      </w:r>
      <w:r>
        <w:rPr>
          <w:rFonts w:hint="eastAsia" w:ascii="Times New Roman" w:hAnsi="Times New Roman" w:eastAsia="宋体"/>
          <w:b/>
          <w:color w:val="auto"/>
          <w:sz w:val="24"/>
          <w:szCs w:val="24"/>
          <w:highlight w:val="none"/>
          <w:lang w:eastAsia="zh-CN"/>
        </w:rPr>
        <w:t>情况</w:t>
      </w:r>
      <w:bookmarkEnd w:id="17"/>
      <w:bookmarkEnd w:id="18"/>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Times New Roman" w:hAnsi="Times New Roman" w:eastAsia="宋体"/>
          <w:color w:val="auto"/>
          <w:sz w:val="24"/>
          <w:szCs w:val="24"/>
          <w:highlight w:val="none"/>
          <w:lang w:val="en-US" w:eastAsia="zh-CN"/>
        </w:rPr>
      </w:pPr>
      <w:bookmarkStart w:id="19" w:name="_Toc311015400"/>
      <w:bookmarkStart w:id="20" w:name="_Toc1849"/>
      <w:bookmarkStart w:id="21" w:name="_Toc287704423"/>
      <w:r>
        <w:rPr>
          <w:rFonts w:hint="eastAsia" w:ascii="Times New Roman" w:hAnsi="Times New Roman" w:eastAsia="宋体"/>
          <w:color w:val="auto"/>
          <w:sz w:val="24"/>
          <w:szCs w:val="24"/>
          <w:highlight w:val="none"/>
          <w:lang w:eastAsia="zh-CN"/>
        </w:rPr>
        <w:t>本标的测评范围包括</w:t>
      </w:r>
      <w:r>
        <w:rPr>
          <w:rFonts w:hint="eastAsia"/>
          <w:color w:val="auto"/>
          <w:sz w:val="24"/>
          <w:szCs w:val="24"/>
          <w:highlight w:val="none"/>
          <w:lang w:eastAsia="zh-CN"/>
        </w:rPr>
        <w:t>鼎元资产公司资产运营数字化平台（等保二级）</w:t>
      </w:r>
      <w:r>
        <w:rPr>
          <w:rFonts w:hint="eastAsia" w:ascii="Times New Roman" w:hAnsi="Times New Roman" w:eastAsia="宋体"/>
          <w:color w:val="auto"/>
          <w:sz w:val="24"/>
          <w:szCs w:val="24"/>
          <w:highlight w:val="none"/>
          <w:lang w:eastAsia="zh-CN"/>
        </w:rPr>
        <w:t>。</w:t>
      </w:r>
    </w:p>
    <w:p>
      <w:pPr>
        <w:numPr>
          <w:ilvl w:val="1"/>
          <w:numId w:val="2"/>
        </w:numPr>
        <w:spacing w:line="360" w:lineRule="auto"/>
        <w:outlineLvl w:val="1"/>
        <w:rPr>
          <w:rFonts w:ascii="Times New Roman" w:hAnsi="Times New Roman" w:eastAsia="宋体"/>
          <w:b/>
          <w:color w:val="auto"/>
          <w:sz w:val="24"/>
          <w:szCs w:val="24"/>
          <w:highlight w:val="none"/>
        </w:rPr>
      </w:pPr>
      <w:bookmarkStart w:id="22" w:name="_Toc1471"/>
      <w:r>
        <w:rPr>
          <w:rFonts w:hint="eastAsia" w:ascii="Times New Roman" w:hAnsi="Times New Roman" w:eastAsia="宋体"/>
          <w:b/>
          <w:color w:val="auto"/>
          <w:sz w:val="24"/>
          <w:szCs w:val="24"/>
          <w:highlight w:val="none"/>
        </w:rPr>
        <w:t>项目</w:t>
      </w:r>
      <w:bookmarkEnd w:id="19"/>
      <w:r>
        <w:rPr>
          <w:rFonts w:hint="eastAsia" w:ascii="Times New Roman" w:hAnsi="Times New Roman" w:eastAsia="宋体"/>
          <w:b/>
          <w:color w:val="auto"/>
          <w:sz w:val="24"/>
          <w:szCs w:val="24"/>
          <w:highlight w:val="none"/>
          <w:lang w:eastAsia="zh-CN"/>
        </w:rPr>
        <w:t>内容</w:t>
      </w:r>
      <w:bookmarkEnd w:id="20"/>
      <w:bookmarkEnd w:id="22"/>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hint="eastAsia" w:ascii="Times New Roman" w:hAnsi="Times New Roman" w:eastAsia="宋体"/>
          <w:color w:val="auto"/>
          <w:sz w:val="24"/>
          <w:szCs w:val="24"/>
          <w:highlight w:val="none"/>
          <w:lang w:eastAsia="zh-CN"/>
        </w:rPr>
      </w:pPr>
      <w:bookmarkStart w:id="23" w:name="_Toc311015401"/>
      <w:r>
        <w:rPr>
          <w:rFonts w:hint="eastAsia" w:ascii="Times New Roman" w:hAnsi="Times New Roman" w:eastAsia="宋体"/>
          <w:color w:val="auto"/>
          <w:sz w:val="24"/>
          <w:szCs w:val="24"/>
          <w:highlight w:val="none"/>
          <w:lang w:eastAsia="zh-CN"/>
        </w:rPr>
        <w:t>对</w:t>
      </w:r>
      <w:r>
        <w:rPr>
          <w:rFonts w:hint="eastAsia"/>
          <w:color w:val="auto"/>
          <w:sz w:val="24"/>
          <w:szCs w:val="24"/>
          <w:highlight w:val="none"/>
          <w:lang w:eastAsia="zh-CN"/>
        </w:rPr>
        <w:t>鼎元资产公司资产运营数字化平台</w:t>
      </w:r>
      <w:r>
        <w:rPr>
          <w:rFonts w:hint="eastAsia"/>
          <w:color w:val="auto"/>
          <w:sz w:val="24"/>
          <w:szCs w:val="24"/>
          <w:highlight w:val="none"/>
          <w:lang w:val="en-US" w:eastAsia="zh-CN"/>
        </w:rPr>
        <w:t>开展等级保护测评</w:t>
      </w:r>
      <w:r>
        <w:rPr>
          <w:rFonts w:hint="eastAsia" w:ascii="Times New Roman" w:hAnsi="Times New Roman" w:eastAsia="宋体"/>
          <w:color w:val="auto"/>
          <w:sz w:val="24"/>
          <w:szCs w:val="24"/>
          <w:highlight w:val="none"/>
          <w:lang w:eastAsia="zh-CN"/>
        </w:rPr>
        <w:t>，并出具相应报告。具体工作内容如下：</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hint="eastAsia"/>
          <w:color w:val="auto"/>
          <w:sz w:val="24"/>
          <w:szCs w:val="24"/>
          <w:highlight w:val="none"/>
          <w:lang w:eastAsia="zh-CN"/>
        </w:rPr>
      </w:pPr>
      <w:r>
        <w:rPr>
          <w:rFonts w:hint="eastAsia"/>
          <w:color w:val="auto"/>
          <w:sz w:val="24"/>
          <w:szCs w:val="24"/>
          <w:highlight w:val="none"/>
          <w:lang w:eastAsia="zh-CN"/>
        </w:rPr>
        <w:t>根据国家《信息安全等级保护管理办法》、《信息安全技术</w:t>
      </w:r>
      <w:r>
        <w:rPr>
          <w:rFonts w:hint="eastAsia"/>
          <w:color w:val="auto"/>
          <w:sz w:val="24"/>
          <w:szCs w:val="24"/>
          <w:highlight w:val="none"/>
          <w:lang w:val="en-US" w:eastAsia="zh-CN"/>
        </w:rPr>
        <w:t xml:space="preserve"> </w:t>
      </w:r>
      <w:r>
        <w:rPr>
          <w:rFonts w:hint="eastAsia"/>
          <w:color w:val="auto"/>
          <w:sz w:val="24"/>
          <w:szCs w:val="24"/>
          <w:highlight w:val="none"/>
          <w:lang w:eastAsia="zh-CN"/>
        </w:rPr>
        <w:t>网络安全等级保护基本要求》条款要求，依据等级保护的测评要求，对系统相关的全部资产进行全面、完整的测评评估工作。</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hint="eastAsia"/>
          <w:color w:val="auto"/>
          <w:sz w:val="24"/>
          <w:szCs w:val="24"/>
          <w:highlight w:val="none"/>
          <w:lang w:eastAsia="zh-CN"/>
        </w:rPr>
      </w:pPr>
      <w:r>
        <w:rPr>
          <w:rFonts w:hint="eastAsia"/>
          <w:color w:val="auto"/>
          <w:sz w:val="24"/>
          <w:szCs w:val="24"/>
          <w:highlight w:val="none"/>
          <w:lang w:eastAsia="zh-CN"/>
        </w:rPr>
        <w:t>网络安全等级保护测评应包括但不限于以下内容：</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hint="eastAsia"/>
          <w:color w:val="auto"/>
          <w:sz w:val="24"/>
          <w:szCs w:val="24"/>
          <w:highlight w:val="none"/>
          <w:lang w:eastAsia="zh-CN"/>
        </w:rPr>
      </w:pPr>
      <w:r>
        <w:rPr>
          <w:rFonts w:hint="eastAsia"/>
          <w:color w:val="auto"/>
          <w:sz w:val="24"/>
          <w:szCs w:val="24"/>
          <w:highlight w:val="none"/>
          <w:lang w:eastAsia="zh-CN"/>
        </w:rPr>
        <w:t>安全技术测评：包括但不限于安全物理环境、</w:t>
      </w:r>
      <w:r>
        <w:rPr>
          <w:rFonts w:hint="eastAsia"/>
          <w:color w:val="auto"/>
          <w:sz w:val="24"/>
          <w:szCs w:val="24"/>
          <w:highlight w:val="none"/>
          <w:lang w:val="en-US" w:eastAsia="zh-CN"/>
        </w:rPr>
        <w:t>安全通信网络、安全区域边界、安全计算环境、安全管理中心</w:t>
      </w:r>
      <w:r>
        <w:rPr>
          <w:rFonts w:hint="eastAsia"/>
          <w:color w:val="auto"/>
          <w:sz w:val="24"/>
          <w:szCs w:val="24"/>
          <w:highlight w:val="none"/>
          <w:lang w:eastAsia="zh-CN"/>
        </w:rPr>
        <w:t>等方面的测评内容；</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hint="eastAsia"/>
          <w:color w:val="auto"/>
          <w:sz w:val="24"/>
          <w:szCs w:val="24"/>
          <w:highlight w:val="none"/>
          <w:lang w:eastAsia="zh-CN"/>
        </w:rPr>
      </w:pPr>
      <w:r>
        <w:rPr>
          <w:rFonts w:hint="eastAsia"/>
          <w:color w:val="auto"/>
          <w:sz w:val="24"/>
          <w:szCs w:val="24"/>
          <w:highlight w:val="none"/>
          <w:lang w:eastAsia="zh-CN"/>
        </w:rPr>
        <w:t>安全管理测评：包括但不限于安全管理制度、安全管理机构、安全</w:t>
      </w:r>
      <w:r>
        <w:rPr>
          <w:rFonts w:hint="eastAsia"/>
          <w:color w:val="auto"/>
          <w:sz w:val="24"/>
          <w:szCs w:val="24"/>
          <w:highlight w:val="none"/>
          <w:lang w:val="en-US" w:eastAsia="zh-CN"/>
        </w:rPr>
        <w:t>人员</w:t>
      </w:r>
      <w:r>
        <w:rPr>
          <w:rFonts w:hint="eastAsia"/>
          <w:color w:val="auto"/>
          <w:sz w:val="24"/>
          <w:szCs w:val="24"/>
          <w:highlight w:val="none"/>
          <w:lang w:eastAsia="zh-CN"/>
        </w:rPr>
        <w:t>管理、</w:t>
      </w:r>
      <w:r>
        <w:rPr>
          <w:rFonts w:hint="eastAsia"/>
          <w:color w:val="auto"/>
          <w:sz w:val="24"/>
          <w:szCs w:val="24"/>
          <w:highlight w:val="none"/>
          <w:lang w:val="en-US" w:eastAsia="zh-CN"/>
        </w:rPr>
        <w:t>安全</w:t>
      </w:r>
      <w:r>
        <w:rPr>
          <w:rFonts w:hint="eastAsia"/>
          <w:color w:val="auto"/>
          <w:sz w:val="24"/>
          <w:szCs w:val="24"/>
          <w:highlight w:val="none"/>
          <w:lang w:eastAsia="zh-CN"/>
        </w:rPr>
        <w:t>建设管理和</w:t>
      </w:r>
      <w:r>
        <w:rPr>
          <w:rFonts w:hint="eastAsia"/>
          <w:color w:val="auto"/>
          <w:sz w:val="24"/>
          <w:szCs w:val="24"/>
          <w:highlight w:val="none"/>
          <w:lang w:val="en-US" w:eastAsia="zh-CN"/>
        </w:rPr>
        <w:t>安全</w:t>
      </w:r>
      <w:r>
        <w:rPr>
          <w:rFonts w:hint="eastAsia"/>
          <w:color w:val="auto"/>
          <w:sz w:val="24"/>
          <w:szCs w:val="24"/>
          <w:highlight w:val="none"/>
          <w:lang w:eastAsia="zh-CN"/>
        </w:rPr>
        <w:t>运维管理等方面的测评内容。</w:t>
      </w:r>
    </w:p>
    <w:p>
      <w:pPr>
        <w:numPr>
          <w:ilvl w:val="0"/>
          <w:numId w:val="2"/>
        </w:numPr>
        <w:spacing w:line="360" w:lineRule="auto"/>
        <w:outlineLvl w:val="0"/>
        <w:rPr>
          <w:rFonts w:ascii="Times New Roman" w:hAnsi="Times New Roman" w:eastAsia="宋体"/>
          <w:b/>
          <w:color w:val="auto"/>
          <w:sz w:val="24"/>
          <w:szCs w:val="24"/>
          <w:highlight w:val="none"/>
        </w:rPr>
      </w:pPr>
      <w:bookmarkStart w:id="24" w:name="_Toc23688"/>
      <w:bookmarkStart w:id="25" w:name="_Toc3981"/>
      <w:r>
        <w:rPr>
          <w:rFonts w:hint="eastAsia" w:ascii="Times New Roman" w:hAnsi="Times New Roman" w:eastAsia="宋体"/>
          <w:b/>
          <w:color w:val="auto"/>
          <w:sz w:val="24"/>
          <w:szCs w:val="24"/>
          <w:highlight w:val="none"/>
          <w:lang w:eastAsia="zh-CN"/>
        </w:rPr>
        <w:t>投标方</w:t>
      </w:r>
      <w:r>
        <w:rPr>
          <w:rFonts w:hint="eastAsia" w:ascii="Times New Roman" w:hAnsi="Times New Roman" w:eastAsia="宋体"/>
          <w:b/>
          <w:color w:val="auto"/>
          <w:sz w:val="24"/>
          <w:szCs w:val="24"/>
          <w:highlight w:val="none"/>
        </w:rPr>
        <w:t>要求</w:t>
      </w:r>
      <w:bookmarkEnd w:id="24"/>
      <w:bookmarkEnd w:id="25"/>
    </w:p>
    <w:p>
      <w:pPr>
        <w:numPr>
          <w:ilvl w:val="1"/>
          <w:numId w:val="2"/>
        </w:numPr>
        <w:spacing w:line="360" w:lineRule="auto"/>
        <w:outlineLvl w:val="1"/>
        <w:rPr>
          <w:rFonts w:hint="eastAsia" w:ascii="Times New Roman" w:hAnsi="Times New Roman" w:eastAsia="宋体"/>
          <w:b/>
          <w:color w:val="auto"/>
          <w:sz w:val="24"/>
          <w:szCs w:val="24"/>
          <w:highlight w:val="none"/>
          <w:lang w:eastAsia="zh-CN"/>
        </w:rPr>
      </w:pPr>
      <w:bookmarkStart w:id="26" w:name="_Toc5698"/>
      <w:bookmarkStart w:id="27" w:name="_Toc28492"/>
      <w:r>
        <w:rPr>
          <w:rFonts w:hint="eastAsia" w:ascii="Times New Roman" w:hAnsi="Times New Roman" w:eastAsia="宋体"/>
          <w:b/>
          <w:color w:val="auto"/>
          <w:sz w:val="24"/>
          <w:szCs w:val="24"/>
          <w:highlight w:val="none"/>
          <w:lang w:eastAsia="zh-CN"/>
        </w:rPr>
        <w:t>服务团队技术要求</w:t>
      </w:r>
      <w:bookmarkEnd w:id="26"/>
      <w:bookmarkEnd w:id="27"/>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投标方应仔细阅读本技术规范书所列的各项规范，所提供的安全服务应满足本技术规范书提出的要求。投标方也可以推荐满足本技术规范的其他方案，但必须对其在技术规范方面与本技术规范书之间所存在的差异加以详细说明。若无说明，则按对投标方不利的方面理解。</w:t>
      </w:r>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投标方应满足以下要求：</w:t>
      </w:r>
    </w:p>
    <w:p>
      <w:pPr>
        <w:pStyle w:val="4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投标方</w:t>
      </w:r>
      <w:r>
        <w:rPr>
          <w:rFonts w:hint="eastAsia" w:ascii="Times New Roman" w:hAnsi="Times New Roman" w:eastAsia="宋体"/>
          <w:color w:val="auto"/>
          <w:sz w:val="24"/>
          <w:szCs w:val="24"/>
          <w:highlight w:val="none"/>
          <w:lang w:eastAsia="zh-CN"/>
        </w:rPr>
        <w:t>须</w:t>
      </w:r>
      <w:r>
        <w:rPr>
          <w:rFonts w:hint="eastAsia" w:ascii="Times New Roman" w:hAnsi="Times New Roman" w:eastAsia="宋体"/>
          <w:color w:val="auto"/>
          <w:sz w:val="24"/>
          <w:szCs w:val="24"/>
          <w:highlight w:val="none"/>
        </w:rPr>
        <w:t>提供</w:t>
      </w:r>
      <w:r>
        <w:rPr>
          <w:rFonts w:hint="eastAsia"/>
          <w:color w:val="auto"/>
          <w:sz w:val="24"/>
          <w:szCs w:val="24"/>
          <w:highlight w:val="none"/>
          <w:lang w:val="en-US" w:eastAsia="zh-CN"/>
        </w:rPr>
        <w:t>由公安部第三研究所</w:t>
      </w:r>
      <w:r>
        <w:rPr>
          <w:rFonts w:hint="eastAsia" w:ascii="Times New Roman" w:hAnsi="Times New Roman" w:eastAsia="宋体"/>
          <w:color w:val="auto"/>
          <w:sz w:val="24"/>
          <w:szCs w:val="24"/>
          <w:highlight w:val="none"/>
        </w:rPr>
        <w:t>颁发的网络安全等级测评与检测评估机构证书</w:t>
      </w:r>
      <w:r>
        <w:rPr>
          <w:rFonts w:hint="eastAsia"/>
          <w:color w:val="auto"/>
          <w:sz w:val="24"/>
          <w:szCs w:val="24"/>
          <w:highlight w:val="none"/>
          <w:lang w:eastAsia="zh-CN"/>
        </w:rPr>
        <w:t>。</w:t>
      </w:r>
    </w:p>
    <w:p>
      <w:pPr>
        <w:numPr>
          <w:ilvl w:val="1"/>
          <w:numId w:val="2"/>
        </w:numPr>
        <w:spacing w:line="360" w:lineRule="auto"/>
        <w:outlineLvl w:val="1"/>
        <w:rPr>
          <w:rFonts w:hint="eastAsia" w:ascii="Times New Roman" w:hAnsi="Times New Roman" w:eastAsia="宋体"/>
          <w:b/>
          <w:color w:val="auto"/>
          <w:sz w:val="24"/>
          <w:szCs w:val="24"/>
          <w:highlight w:val="none"/>
          <w:lang w:eastAsia="zh-CN"/>
        </w:rPr>
      </w:pPr>
      <w:bookmarkStart w:id="28" w:name="_Toc9536"/>
      <w:bookmarkStart w:id="29" w:name="_Toc24306"/>
      <w:r>
        <w:rPr>
          <w:rFonts w:hint="eastAsia" w:ascii="Times New Roman" w:hAnsi="Times New Roman" w:eastAsia="宋体"/>
          <w:b/>
          <w:color w:val="auto"/>
          <w:sz w:val="24"/>
          <w:szCs w:val="24"/>
          <w:highlight w:val="none"/>
          <w:lang w:eastAsia="zh-CN"/>
        </w:rPr>
        <w:t>服务人员要求</w:t>
      </w:r>
      <w:bookmarkEnd w:id="28"/>
      <w:bookmarkEnd w:id="29"/>
    </w:p>
    <w:p>
      <w:pPr>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投标方应与</w:t>
      </w:r>
      <w:r>
        <w:rPr>
          <w:rFonts w:hint="eastAsia" w:ascii="Times New Roman" w:hAnsi="Times New Roman" w:eastAsia="宋体"/>
          <w:color w:val="auto"/>
          <w:sz w:val="24"/>
          <w:szCs w:val="24"/>
          <w:highlight w:val="none"/>
          <w:lang w:eastAsia="zh-CN"/>
        </w:rPr>
        <w:t>招标方</w:t>
      </w:r>
      <w:r>
        <w:rPr>
          <w:rFonts w:hint="eastAsia" w:ascii="Times New Roman" w:hAnsi="Times New Roman" w:eastAsia="宋体"/>
          <w:color w:val="auto"/>
          <w:sz w:val="24"/>
          <w:szCs w:val="24"/>
          <w:highlight w:val="none"/>
        </w:rPr>
        <w:t>签订保密协议，对检测过程数据和结果数据严格保密，未经授权不得泄露给任何单位和个人，不得利用此数据侵害招标方的权益，否则招标方有权追究投标方的责任。</w:t>
      </w:r>
    </w:p>
    <w:p>
      <w:pPr>
        <w:numPr>
          <w:ilvl w:val="0"/>
          <w:numId w:val="2"/>
        </w:numPr>
        <w:spacing w:line="360" w:lineRule="auto"/>
        <w:outlineLvl w:val="0"/>
        <w:rPr>
          <w:rFonts w:ascii="Times New Roman" w:hAnsi="Times New Roman" w:eastAsia="宋体"/>
          <w:b/>
          <w:bCs/>
          <w:color w:val="auto"/>
          <w:sz w:val="24"/>
          <w:szCs w:val="24"/>
          <w:highlight w:val="none"/>
          <w:u w:val="single"/>
        </w:rPr>
      </w:pPr>
      <w:bookmarkStart w:id="30" w:name="_Toc21223"/>
      <w:bookmarkStart w:id="31" w:name="_Toc14791"/>
      <w:r>
        <w:rPr>
          <w:rFonts w:hint="eastAsia" w:ascii="Times New Roman" w:hAnsi="Times New Roman" w:eastAsia="宋体"/>
          <w:b/>
          <w:bCs/>
          <w:color w:val="auto"/>
          <w:sz w:val="24"/>
          <w:szCs w:val="24"/>
          <w:highlight w:val="none"/>
          <w:lang w:eastAsia="zh-CN"/>
        </w:rPr>
        <w:t>网络安全等级保护测评</w:t>
      </w:r>
      <w:bookmarkEnd w:id="30"/>
      <w:bookmarkEnd w:id="31"/>
    </w:p>
    <w:p>
      <w:pPr>
        <w:numPr>
          <w:ilvl w:val="1"/>
          <w:numId w:val="2"/>
        </w:numPr>
        <w:spacing w:line="360" w:lineRule="auto"/>
        <w:outlineLvl w:val="1"/>
        <w:rPr>
          <w:rFonts w:ascii="Times New Roman" w:hAnsi="Times New Roman" w:eastAsia="宋体"/>
          <w:b/>
          <w:color w:val="auto"/>
          <w:sz w:val="24"/>
          <w:szCs w:val="24"/>
          <w:highlight w:val="none"/>
        </w:rPr>
      </w:pPr>
      <w:bookmarkStart w:id="32" w:name="_Toc19437"/>
      <w:bookmarkStart w:id="33" w:name="_Toc8106"/>
      <w:r>
        <w:rPr>
          <w:rFonts w:hint="eastAsia" w:ascii="Times New Roman" w:hAnsi="Times New Roman" w:eastAsia="宋体"/>
          <w:b/>
          <w:color w:val="auto"/>
          <w:sz w:val="24"/>
          <w:szCs w:val="24"/>
          <w:highlight w:val="none"/>
        </w:rPr>
        <w:t>测评原则</w:t>
      </w:r>
      <w:bookmarkEnd w:id="32"/>
      <w:bookmarkEnd w:id="33"/>
    </w:p>
    <w:p>
      <w:pPr>
        <w:keepNext w:val="0"/>
        <w:keepLines w:val="0"/>
        <w:pageBreakBefore w:val="0"/>
        <w:widowControl w:val="0"/>
        <w:kinsoku/>
        <w:wordWrap/>
        <w:overflowPunct w:val="0"/>
        <w:topLinePunct/>
        <w:autoSpaceDE/>
        <w:autoSpaceDN/>
        <w:bidi w:val="0"/>
        <w:adjustRightInd/>
        <w:snapToGrid w:val="0"/>
        <w:spacing w:line="360" w:lineRule="auto"/>
        <w:ind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本项目</w:t>
      </w:r>
      <w:r>
        <w:rPr>
          <w:rFonts w:ascii="Times New Roman" w:hAnsi="Times New Roman" w:eastAsia="宋体"/>
          <w:color w:val="auto"/>
          <w:sz w:val="24"/>
          <w:szCs w:val="24"/>
          <w:highlight w:val="none"/>
        </w:rPr>
        <w:t>实施方案设计与具体实施应满足以下原则：</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1</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保密</w:t>
      </w:r>
      <w:r>
        <w:rPr>
          <w:rFonts w:hint="eastAsia" w:ascii="Times New Roman" w:hAnsi="Times New Roman" w:eastAsia="宋体"/>
          <w:color w:val="auto"/>
          <w:sz w:val="24"/>
          <w:szCs w:val="24"/>
          <w:highlight w:val="none"/>
        </w:rPr>
        <w:t>性</w:t>
      </w:r>
      <w:r>
        <w:rPr>
          <w:rFonts w:ascii="Times New Roman" w:hAnsi="Times New Roman" w:eastAsia="宋体"/>
          <w:color w:val="auto"/>
          <w:sz w:val="24"/>
          <w:szCs w:val="24"/>
          <w:highlight w:val="none"/>
        </w:rPr>
        <w:t>原则：</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应与</w:t>
      </w:r>
      <w:r>
        <w:rPr>
          <w:rFonts w:hint="eastAsia" w:ascii="Times New Roman" w:hAnsi="Times New Roman" w:eastAsia="宋体"/>
          <w:color w:val="auto"/>
          <w:sz w:val="24"/>
          <w:szCs w:val="24"/>
          <w:highlight w:val="none"/>
        </w:rPr>
        <w:t>招标方签订</w:t>
      </w:r>
      <w:r>
        <w:rPr>
          <w:rFonts w:ascii="Times New Roman" w:hAnsi="Times New Roman" w:eastAsia="宋体"/>
          <w:color w:val="auto"/>
          <w:sz w:val="24"/>
          <w:szCs w:val="24"/>
          <w:highlight w:val="none"/>
        </w:rPr>
        <w:t>保密协议</w:t>
      </w:r>
      <w:r>
        <w:rPr>
          <w:rFonts w:hint="eastAsia" w:ascii="Times New Roman" w:hAnsi="Times New Roman" w:eastAsia="宋体"/>
          <w:color w:val="auto"/>
          <w:sz w:val="24"/>
          <w:szCs w:val="24"/>
          <w:highlight w:val="none"/>
        </w:rPr>
        <w:t>，</w:t>
      </w:r>
      <w:r>
        <w:rPr>
          <w:rFonts w:ascii="Times New Roman" w:hAnsi="Times New Roman" w:eastAsia="宋体"/>
          <w:color w:val="auto"/>
          <w:sz w:val="24"/>
          <w:szCs w:val="24"/>
          <w:highlight w:val="none"/>
        </w:rPr>
        <w:t>对测评的过程数据和结果数据严格保密，未经授权不得泄露给任何单位和个人，不得利用此数据侵害</w:t>
      </w:r>
      <w:r>
        <w:rPr>
          <w:rFonts w:hint="eastAsia" w:ascii="Times New Roman" w:hAnsi="Times New Roman" w:eastAsia="宋体"/>
          <w:color w:val="auto"/>
          <w:sz w:val="24"/>
          <w:szCs w:val="24"/>
          <w:highlight w:val="none"/>
        </w:rPr>
        <w:t>招标方的权益</w:t>
      </w:r>
      <w:r>
        <w:rPr>
          <w:rFonts w:ascii="Times New Roman" w:hAnsi="Times New Roman" w:eastAsia="宋体"/>
          <w:color w:val="auto"/>
          <w:sz w:val="24"/>
          <w:szCs w:val="24"/>
          <w:highlight w:val="none"/>
        </w:rPr>
        <w:t>，否则</w:t>
      </w:r>
      <w:r>
        <w:rPr>
          <w:rFonts w:hint="eastAsia" w:ascii="Times New Roman" w:hAnsi="Times New Roman" w:eastAsia="宋体"/>
          <w:color w:val="auto"/>
          <w:sz w:val="24"/>
          <w:szCs w:val="24"/>
          <w:highlight w:val="none"/>
        </w:rPr>
        <w:t>招标方</w:t>
      </w:r>
      <w:r>
        <w:rPr>
          <w:rFonts w:ascii="Times New Roman" w:hAnsi="Times New Roman" w:eastAsia="宋体"/>
          <w:color w:val="auto"/>
          <w:sz w:val="24"/>
          <w:szCs w:val="24"/>
          <w:highlight w:val="none"/>
        </w:rPr>
        <w:t>有权追究</w:t>
      </w:r>
      <w:r>
        <w:rPr>
          <w:rFonts w:hint="eastAsia" w:ascii="Times New Roman" w:hAnsi="Times New Roman" w:eastAsia="宋体"/>
          <w:color w:val="auto"/>
          <w:sz w:val="24"/>
          <w:szCs w:val="24"/>
          <w:highlight w:val="none"/>
        </w:rPr>
        <w:t>投标方</w:t>
      </w:r>
      <w:r>
        <w:rPr>
          <w:rFonts w:ascii="Times New Roman" w:hAnsi="Times New Roman" w:eastAsia="宋体"/>
          <w:color w:val="auto"/>
          <w:sz w:val="24"/>
          <w:szCs w:val="24"/>
          <w:highlight w:val="none"/>
        </w:rPr>
        <w:t>的责任。</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2</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标准性原则：测评</w:t>
      </w:r>
      <w:r>
        <w:rPr>
          <w:rFonts w:hint="eastAsia" w:ascii="Times New Roman" w:hAnsi="Times New Roman" w:eastAsia="宋体"/>
          <w:color w:val="auto"/>
          <w:sz w:val="24"/>
          <w:szCs w:val="24"/>
          <w:highlight w:val="none"/>
        </w:rPr>
        <w:t>及评估</w:t>
      </w:r>
      <w:r>
        <w:rPr>
          <w:rFonts w:ascii="Times New Roman" w:hAnsi="Times New Roman" w:eastAsia="宋体"/>
          <w:color w:val="auto"/>
          <w:sz w:val="24"/>
          <w:szCs w:val="24"/>
          <w:highlight w:val="none"/>
        </w:rPr>
        <w:t>方案的设计与实施应依据国家的相关标准进行。</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3</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规范性原则：</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工作中的过程和文档，</w:t>
      </w:r>
      <w:r>
        <w:rPr>
          <w:rFonts w:hint="eastAsia" w:ascii="Times New Roman" w:hAnsi="Times New Roman" w:eastAsia="宋体"/>
          <w:color w:val="auto"/>
          <w:sz w:val="24"/>
          <w:szCs w:val="24"/>
          <w:highlight w:val="none"/>
        </w:rPr>
        <w:t>应</w:t>
      </w:r>
      <w:r>
        <w:rPr>
          <w:rFonts w:ascii="Times New Roman" w:hAnsi="Times New Roman" w:eastAsia="宋体"/>
          <w:color w:val="auto"/>
          <w:sz w:val="24"/>
          <w:szCs w:val="24"/>
          <w:highlight w:val="none"/>
        </w:rPr>
        <w:t>具有规范性，便于项目跟踪和控制</w:t>
      </w:r>
      <w:r>
        <w:rPr>
          <w:rFonts w:hint="eastAsia" w:ascii="Times New Roman" w:hAnsi="Times New Roman" w:eastAsia="宋体"/>
          <w:color w:val="auto"/>
          <w:sz w:val="24"/>
          <w:szCs w:val="24"/>
          <w:highlight w:val="none"/>
        </w:rPr>
        <w:t>。</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4</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可控性原则：</w:t>
      </w:r>
      <w:r>
        <w:rPr>
          <w:rFonts w:hint="eastAsia" w:ascii="Times New Roman" w:hAnsi="Times New Roman" w:eastAsia="宋体"/>
          <w:color w:val="auto"/>
          <w:sz w:val="24"/>
          <w:szCs w:val="24"/>
          <w:highlight w:val="none"/>
        </w:rPr>
        <w:t>项目</w:t>
      </w:r>
      <w:r>
        <w:rPr>
          <w:rFonts w:ascii="Times New Roman" w:hAnsi="Times New Roman" w:eastAsia="宋体"/>
          <w:color w:val="auto"/>
          <w:sz w:val="24"/>
          <w:szCs w:val="24"/>
          <w:highlight w:val="none"/>
        </w:rPr>
        <w:t>的进度</w:t>
      </w:r>
      <w:r>
        <w:rPr>
          <w:rFonts w:hint="eastAsia" w:ascii="Times New Roman" w:hAnsi="Times New Roman" w:eastAsia="宋体"/>
          <w:color w:val="auto"/>
          <w:sz w:val="24"/>
          <w:szCs w:val="24"/>
          <w:highlight w:val="none"/>
        </w:rPr>
        <w:t>应符合</w:t>
      </w:r>
      <w:r>
        <w:rPr>
          <w:rFonts w:ascii="Times New Roman" w:hAnsi="Times New Roman" w:eastAsia="宋体"/>
          <w:color w:val="auto"/>
          <w:sz w:val="24"/>
          <w:szCs w:val="24"/>
          <w:highlight w:val="none"/>
        </w:rPr>
        <w:t>进度安排，保证</w:t>
      </w:r>
      <w:r>
        <w:rPr>
          <w:rFonts w:hint="eastAsia" w:ascii="Times New Roman" w:hAnsi="Times New Roman" w:eastAsia="宋体"/>
          <w:color w:val="auto"/>
          <w:sz w:val="24"/>
          <w:szCs w:val="24"/>
          <w:highlight w:val="none"/>
        </w:rPr>
        <w:t>招标方</w:t>
      </w:r>
      <w:r>
        <w:rPr>
          <w:rFonts w:ascii="Times New Roman" w:hAnsi="Times New Roman" w:eastAsia="宋体"/>
          <w:color w:val="auto"/>
          <w:sz w:val="24"/>
          <w:szCs w:val="24"/>
          <w:highlight w:val="none"/>
        </w:rPr>
        <w:t>对测评工作的可控性</w:t>
      </w:r>
      <w:r>
        <w:rPr>
          <w:rFonts w:hint="eastAsia" w:ascii="Times New Roman" w:hAnsi="Times New Roman" w:eastAsia="宋体"/>
          <w:color w:val="auto"/>
          <w:sz w:val="24"/>
          <w:szCs w:val="24"/>
          <w:highlight w:val="none"/>
        </w:rPr>
        <w:t>。</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5</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整体性原则：测评</w:t>
      </w:r>
      <w:r>
        <w:rPr>
          <w:rFonts w:hint="eastAsia" w:ascii="Times New Roman" w:hAnsi="Times New Roman" w:eastAsia="宋体"/>
          <w:color w:val="auto"/>
          <w:sz w:val="24"/>
          <w:szCs w:val="24"/>
          <w:highlight w:val="none"/>
        </w:rPr>
        <w:t>及评估</w:t>
      </w:r>
      <w:r>
        <w:rPr>
          <w:rFonts w:ascii="Times New Roman" w:hAnsi="Times New Roman" w:eastAsia="宋体"/>
          <w:color w:val="auto"/>
          <w:sz w:val="24"/>
          <w:szCs w:val="24"/>
          <w:highlight w:val="none"/>
        </w:rPr>
        <w:t>的范围和内容应</w:t>
      </w:r>
      <w:r>
        <w:rPr>
          <w:rFonts w:hint="eastAsia" w:ascii="Times New Roman" w:hAnsi="Times New Roman" w:eastAsia="宋体"/>
          <w:color w:val="auto"/>
          <w:sz w:val="24"/>
          <w:szCs w:val="24"/>
          <w:highlight w:val="none"/>
        </w:rPr>
        <w:t>系统、</w:t>
      </w:r>
      <w:r>
        <w:rPr>
          <w:rFonts w:ascii="Times New Roman" w:hAnsi="Times New Roman" w:eastAsia="宋体"/>
          <w:color w:val="auto"/>
          <w:sz w:val="24"/>
          <w:szCs w:val="24"/>
          <w:highlight w:val="none"/>
        </w:rPr>
        <w:t>全面</w:t>
      </w:r>
      <w:r>
        <w:rPr>
          <w:rFonts w:hint="eastAsia" w:ascii="Times New Roman" w:hAnsi="Times New Roman" w:eastAsia="宋体"/>
          <w:color w:val="auto"/>
          <w:sz w:val="24"/>
          <w:szCs w:val="24"/>
          <w:highlight w:val="none"/>
        </w:rPr>
        <w:t>、规范</w:t>
      </w: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rPr>
        <w:t>满足等级保护和安全防护评估的</w:t>
      </w:r>
      <w:r>
        <w:rPr>
          <w:rFonts w:ascii="Times New Roman" w:hAnsi="Times New Roman" w:eastAsia="宋体"/>
          <w:color w:val="auto"/>
          <w:sz w:val="24"/>
          <w:szCs w:val="24"/>
          <w:highlight w:val="none"/>
        </w:rPr>
        <w:t>相关</w:t>
      </w:r>
      <w:r>
        <w:rPr>
          <w:rFonts w:hint="eastAsia" w:ascii="Times New Roman" w:hAnsi="Times New Roman" w:eastAsia="宋体"/>
          <w:color w:val="auto"/>
          <w:sz w:val="24"/>
          <w:szCs w:val="24"/>
          <w:highlight w:val="none"/>
        </w:rPr>
        <w:t>基本</w:t>
      </w:r>
      <w:r>
        <w:rPr>
          <w:rFonts w:ascii="Times New Roman" w:hAnsi="Times New Roman" w:eastAsia="宋体"/>
          <w:color w:val="auto"/>
          <w:sz w:val="24"/>
          <w:szCs w:val="24"/>
          <w:highlight w:val="none"/>
        </w:rPr>
        <w:t>要求</w:t>
      </w:r>
      <w:r>
        <w:rPr>
          <w:rFonts w:hint="eastAsia" w:ascii="Times New Roman" w:hAnsi="Times New Roman" w:eastAsia="宋体"/>
          <w:color w:val="auto"/>
          <w:sz w:val="24"/>
          <w:szCs w:val="24"/>
          <w:highlight w:val="none"/>
        </w:rPr>
        <w:t>。</w:t>
      </w:r>
    </w:p>
    <w:p>
      <w:pPr>
        <w:keepNext w:val="0"/>
        <w:keepLines w:val="0"/>
        <w:pageBreakBefore w:val="0"/>
        <w:widowControl w:val="0"/>
        <w:numPr>
          <w:ilvl w:val="0"/>
          <w:numId w:val="0"/>
        </w:numPr>
        <w:tabs>
          <w:tab w:val="left" w:pos="0"/>
        </w:tabs>
        <w:kinsoku/>
        <w:wordWrap/>
        <w:overflowPunct w:val="0"/>
        <w:topLinePunct/>
        <w:autoSpaceDE/>
        <w:autoSpaceDN/>
        <w:bidi w:val="0"/>
        <w:adjustRightInd/>
        <w:snapToGrid w:val="0"/>
        <w:spacing w:line="360" w:lineRule="auto"/>
        <w:ind w:leftChars="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lang w:val="en-US" w:eastAsia="zh-CN"/>
        </w:rPr>
        <w:t>6</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最小影响原则：</w:t>
      </w:r>
      <w:r>
        <w:rPr>
          <w:rFonts w:hint="eastAsia" w:ascii="Times New Roman" w:hAnsi="Times New Roman" w:eastAsia="宋体"/>
          <w:color w:val="auto"/>
          <w:sz w:val="24"/>
          <w:szCs w:val="24"/>
          <w:highlight w:val="none"/>
        </w:rPr>
        <w:t>技术</w:t>
      </w:r>
      <w:r>
        <w:rPr>
          <w:rFonts w:ascii="Times New Roman" w:hAnsi="Times New Roman" w:eastAsia="宋体"/>
          <w:color w:val="auto"/>
          <w:sz w:val="24"/>
          <w:szCs w:val="24"/>
          <w:highlight w:val="none"/>
        </w:rPr>
        <w:t>测评</w:t>
      </w:r>
      <w:r>
        <w:rPr>
          <w:rFonts w:hint="eastAsia" w:ascii="Times New Roman" w:hAnsi="Times New Roman" w:eastAsia="宋体"/>
          <w:color w:val="auto"/>
          <w:sz w:val="24"/>
          <w:szCs w:val="24"/>
          <w:highlight w:val="none"/>
        </w:rPr>
        <w:t>及评估</w:t>
      </w:r>
      <w:r>
        <w:rPr>
          <w:rFonts w:ascii="Times New Roman" w:hAnsi="Times New Roman" w:eastAsia="宋体"/>
          <w:color w:val="auto"/>
          <w:sz w:val="24"/>
          <w:szCs w:val="24"/>
          <w:highlight w:val="none"/>
        </w:rPr>
        <w:t>工作不能对现有</w:t>
      </w:r>
      <w:r>
        <w:rPr>
          <w:rFonts w:hint="eastAsia" w:ascii="Times New Roman" w:hAnsi="Times New Roman" w:eastAsia="宋体"/>
          <w:color w:val="auto"/>
          <w:sz w:val="24"/>
          <w:szCs w:val="24"/>
          <w:highlight w:val="none"/>
        </w:rPr>
        <w:t>运行系统</w:t>
      </w:r>
      <w:r>
        <w:rPr>
          <w:rFonts w:hint="eastAsia" w:ascii="Times New Roman" w:hAnsi="Times New Roman" w:eastAsia="宋体"/>
          <w:color w:val="auto"/>
          <w:sz w:val="24"/>
          <w:szCs w:val="24"/>
          <w:highlight w:val="none"/>
          <w:lang w:eastAsia="zh-CN"/>
        </w:rPr>
        <w:t>及网络</w:t>
      </w:r>
      <w:r>
        <w:rPr>
          <w:rFonts w:hint="eastAsia" w:ascii="Times New Roman" w:hAnsi="Times New Roman" w:eastAsia="宋体"/>
          <w:color w:val="auto"/>
          <w:sz w:val="24"/>
          <w:szCs w:val="24"/>
          <w:highlight w:val="none"/>
        </w:rPr>
        <w:t>造成</w:t>
      </w:r>
      <w:r>
        <w:rPr>
          <w:rFonts w:ascii="Times New Roman" w:hAnsi="Times New Roman" w:eastAsia="宋体"/>
          <w:color w:val="auto"/>
          <w:sz w:val="24"/>
          <w:szCs w:val="24"/>
          <w:highlight w:val="none"/>
        </w:rPr>
        <w:t>影响</w:t>
      </w:r>
      <w:r>
        <w:rPr>
          <w:rFonts w:hint="eastAsia" w:ascii="Times New Roman" w:hAnsi="Times New Roman" w:eastAsia="宋体"/>
          <w:color w:val="auto"/>
          <w:sz w:val="24"/>
          <w:szCs w:val="24"/>
          <w:highlight w:val="none"/>
        </w:rPr>
        <w:t>。</w:t>
      </w:r>
    </w:p>
    <w:p>
      <w:pPr>
        <w:numPr>
          <w:ilvl w:val="1"/>
          <w:numId w:val="2"/>
        </w:numPr>
        <w:spacing w:line="360" w:lineRule="auto"/>
        <w:outlineLvl w:val="1"/>
        <w:rPr>
          <w:rFonts w:ascii="Times New Roman" w:hAnsi="Times New Roman" w:eastAsia="宋体"/>
          <w:b/>
          <w:color w:val="auto"/>
          <w:sz w:val="24"/>
          <w:szCs w:val="24"/>
          <w:highlight w:val="none"/>
        </w:rPr>
      </w:pPr>
      <w:bookmarkStart w:id="34" w:name="_Toc24971"/>
      <w:bookmarkStart w:id="35" w:name="_Toc18286"/>
      <w:r>
        <w:rPr>
          <w:rFonts w:hint="eastAsia" w:ascii="Times New Roman" w:hAnsi="Times New Roman" w:eastAsia="宋体"/>
          <w:b/>
          <w:color w:val="auto"/>
          <w:sz w:val="24"/>
          <w:szCs w:val="24"/>
          <w:highlight w:val="none"/>
        </w:rPr>
        <w:t>实施要求</w:t>
      </w:r>
      <w:bookmarkEnd w:id="34"/>
      <w:bookmarkEnd w:id="35"/>
    </w:p>
    <w:p>
      <w:pPr>
        <w:overflowPunct w:val="0"/>
        <w:topLinePunct/>
        <w:snapToGrid w:val="0"/>
        <w:spacing w:line="360" w:lineRule="auto"/>
        <w:ind w:firstLine="480" w:firstLineChars="200"/>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t>投标</w:t>
      </w:r>
      <w:r>
        <w:rPr>
          <w:rFonts w:ascii="Times New Roman" w:hAnsi="Times New Roman" w:eastAsia="宋体"/>
          <w:b w:val="0"/>
          <w:bCs w:val="0"/>
          <w:color w:val="auto"/>
          <w:sz w:val="24"/>
          <w:szCs w:val="24"/>
          <w:highlight w:val="none"/>
        </w:rPr>
        <w:t>方应详细描述</w:t>
      </w:r>
      <w:r>
        <w:rPr>
          <w:rFonts w:hint="eastAsia" w:ascii="Times New Roman" w:hAnsi="Times New Roman" w:eastAsia="宋体"/>
          <w:b w:val="0"/>
          <w:bCs w:val="0"/>
          <w:color w:val="auto"/>
          <w:sz w:val="24"/>
          <w:szCs w:val="24"/>
          <w:highlight w:val="none"/>
          <w:lang w:eastAsia="zh-CN"/>
        </w:rPr>
        <w:t>网络安全等级保护测评</w:t>
      </w:r>
      <w:r>
        <w:rPr>
          <w:rFonts w:ascii="Times New Roman" w:hAnsi="Times New Roman" w:eastAsia="宋体"/>
          <w:b w:val="0"/>
          <w:bCs w:val="0"/>
          <w:color w:val="auto"/>
          <w:sz w:val="24"/>
          <w:szCs w:val="24"/>
          <w:highlight w:val="none"/>
        </w:rPr>
        <w:t>的</w:t>
      </w:r>
      <w:r>
        <w:rPr>
          <w:rFonts w:hint="eastAsia" w:ascii="Times New Roman" w:hAnsi="Times New Roman" w:eastAsia="宋体"/>
          <w:b w:val="0"/>
          <w:bCs w:val="0"/>
          <w:color w:val="auto"/>
          <w:sz w:val="24"/>
          <w:szCs w:val="24"/>
          <w:highlight w:val="none"/>
          <w:lang w:eastAsia="zh-CN"/>
        </w:rPr>
        <w:t>技术服务</w:t>
      </w:r>
      <w:r>
        <w:rPr>
          <w:rFonts w:ascii="Times New Roman" w:hAnsi="Times New Roman" w:eastAsia="宋体"/>
          <w:b w:val="0"/>
          <w:bCs w:val="0"/>
          <w:color w:val="auto"/>
          <w:sz w:val="24"/>
          <w:szCs w:val="24"/>
          <w:highlight w:val="none"/>
        </w:rPr>
        <w:t>方案，</w:t>
      </w:r>
      <w:r>
        <w:rPr>
          <w:rFonts w:hint="eastAsia" w:ascii="Times New Roman" w:hAnsi="Times New Roman" w:eastAsia="宋体"/>
          <w:b w:val="0"/>
          <w:bCs w:val="0"/>
          <w:color w:val="auto"/>
          <w:sz w:val="24"/>
          <w:szCs w:val="24"/>
          <w:highlight w:val="none"/>
        </w:rPr>
        <w:t>包括</w:t>
      </w:r>
      <w:r>
        <w:rPr>
          <w:rFonts w:hint="eastAsia" w:ascii="Times New Roman" w:hAnsi="Times New Roman" w:eastAsia="宋体"/>
          <w:color w:val="auto"/>
          <w:sz w:val="24"/>
          <w:szCs w:val="24"/>
          <w:highlight w:val="none"/>
          <w:lang w:eastAsia="zh-CN"/>
        </w:rPr>
        <w:t>但不限于</w:t>
      </w:r>
      <w:r>
        <w:rPr>
          <w:rFonts w:ascii="Times New Roman" w:hAnsi="Times New Roman" w:eastAsia="宋体"/>
          <w:color w:val="auto"/>
          <w:sz w:val="24"/>
          <w:szCs w:val="24"/>
          <w:highlight w:val="none"/>
        </w:rPr>
        <w:t>项目概述、项目实施方案、时间安排、阶段性文档提交和验收标准</w:t>
      </w: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rPr>
        <w:t>验收大纲</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等</w:t>
      </w:r>
      <w:r>
        <w:rPr>
          <w:rFonts w:hint="eastAsia" w:ascii="Times New Roman" w:hAnsi="Times New Roman" w:eastAsia="宋体"/>
          <w:color w:val="auto"/>
          <w:sz w:val="24"/>
          <w:szCs w:val="24"/>
          <w:highlight w:val="none"/>
        </w:rPr>
        <w:t>。投标</w:t>
      </w:r>
      <w:r>
        <w:rPr>
          <w:rFonts w:ascii="Times New Roman" w:hAnsi="Times New Roman" w:eastAsia="宋体"/>
          <w:color w:val="auto"/>
          <w:sz w:val="24"/>
          <w:szCs w:val="24"/>
          <w:highlight w:val="none"/>
        </w:rPr>
        <w:t>方应详细描述测评人员的组成、资质及各自职责的划分。</w:t>
      </w:r>
    </w:p>
    <w:p>
      <w:pPr>
        <w:overflowPunct w:val="0"/>
        <w:topLinePunct/>
        <w:snapToGrid w:val="0"/>
        <w:spacing w:line="360" w:lineRule="auto"/>
        <w:ind w:firstLine="480" w:firstLineChars="200"/>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t>投标方应遵循国家网络安全等级保护测评相关标准规范开展测评工作，并应</w:t>
      </w:r>
      <w:r>
        <w:rPr>
          <w:rFonts w:hint="eastAsia" w:ascii="Times New Roman" w:hAnsi="Times New Roman" w:eastAsia="宋体"/>
          <w:color w:val="auto"/>
          <w:sz w:val="24"/>
          <w:szCs w:val="24"/>
          <w:highlight w:val="none"/>
        </w:rPr>
        <w:t>安排足够的技术力量，确保</w:t>
      </w:r>
      <w:r>
        <w:rPr>
          <w:rFonts w:hint="eastAsia" w:ascii="Times New Roman" w:hAnsi="Times New Roman" w:eastAsia="宋体"/>
          <w:color w:val="auto"/>
          <w:sz w:val="24"/>
          <w:szCs w:val="24"/>
          <w:highlight w:val="none"/>
          <w:lang w:eastAsia="zh-CN"/>
        </w:rPr>
        <w:t>测评工作的顺利进行。投标方应于</w:t>
      </w:r>
      <w:r>
        <w:rPr>
          <w:rFonts w:hint="eastAsia" w:ascii="Times New Roman" w:hAnsi="Times New Roman" w:eastAsia="宋体"/>
          <w:color w:val="auto"/>
          <w:sz w:val="24"/>
          <w:szCs w:val="24"/>
          <w:highlight w:val="none"/>
        </w:rPr>
        <w:t>合同签订后</w:t>
      </w:r>
      <w:r>
        <w:rPr>
          <w:rFonts w:hint="eastAsia" w:ascii="Times New Roman" w:hAnsi="Times New Roman" w:eastAsia="宋体"/>
          <w:color w:val="auto"/>
          <w:sz w:val="24"/>
          <w:szCs w:val="24"/>
          <w:highlight w:val="none"/>
          <w:lang w:eastAsia="zh-CN"/>
        </w:rPr>
        <w:t>按照招标方要求</w:t>
      </w:r>
      <w:r>
        <w:rPr>
          <w:rFonts w:hint="eastAsia" w:ascii="Times New Roman" w:hAnsi="Times New Roman" w:eastAsia="宋体"/>
          <w:color w:val="auto"/>
          <w:sz w:val="24"/>
          <w:szCs w:val="24"/>
          <w:highlight w:val="none"/>
        </w:rPr>
        <w:t>安排人员进驻现场进行测试</w:t>
      </w:r>
      <w:r>
        <w:rPr>
          <w:rFonts w:hint="eastAsia" w:ascii="Times New Roman" w:hAnsi="Times New Roman" w:eastAsia="宋体"/>
          <w:b/>
          <w:bCs/>
          <w:color w:val="auto"/>
          <w:sz w:val="24"/>
          <w:szCs w:val="24"/>
          <w:highlight w:val="none"/>
          <w:lang w:eastAsia="zh-CN"/>
        </w:rPr>
        <w:t>。</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36" w:name="_Toc7794"/>
      <w:r>
        <w:rPr>
          <w:rFonts w:hint="eastAsia" w:ascii="Times New Roman" w:hAnsi="Times New Roman" w:eastAsia="宋体"/>
          <w:b/>
          <w:bCs/>
          <w:color w:val="auto"/>
          <w:sz w:val="24"/>
          <w:szCs w:val="24"/>
          <w:highlight w:val="none"/>
        </w:rPr>
        <w:t>测评方法</w:t>
      </w:r>
      <w:bookmarkEnd w:id="36"/>
    </w:p>
    <w:p>
      <w:pPr>
        <w:pStyle w:val="44"/>
        <w:overflowPunct w:val="0"/>
        <w:topLinePunct/>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测评方法包括访谈、检查和测试三种方法，可细化为文档审查、配置检查、工具测试和实地察看等多种方法。</w:t>
      </w:r>
    </w:p>
    <w:p>
      <w:pPr>
        <w:overflowPunct w:val="0"/>
        <w:topLinePunct/>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如需在</w:t>
      </w:r>
      <w:r>
        <w:rPr>
          <w:rFonts w:hint="eastAsia" w:ascii="Times New Roman" w:hAnsi="Times New Roman" w:eastAsia="宋体"/>
          <w:color w:val="auto"/>
          <w:sz w:val="24"/>
          <w:szCs w:val="24"/>
          <w:highlight w:val="none"/>
          <w:lang w:eastAsia="zh-CN"/>
        </w:rPr>
        <w:t>网络安全等级保护测评</w:t>
      </w:r>
      <w:r>
        <w:rPr>
          <w:rFonts w:hint="eastAsia" w:ascii="Times New Roman" w:hAnsi="Times New Roman" w:eastAsia="宋体"/>
          <w:color w:val="auto"/>
          <w:sz w:val="24"/>
          <w:szCs w:val="24"/>
          <w:highlight w:val="none"/>
        </w:rPr>
        <w:t>实施过程中采用在线测评工具，</w:t>
      </w:r>
      <w:r>
        <w:rPr>
          <w:rFonts w:ascii="Times New Roman" w:hAnsi="Times New Roman" w:eastAsia="宋体"/>
          <w:color w:val="auto"/>
          <w:sz w:val="24"/>
          <w:szCs w:val="24"/>
          <w:highlight w:val="none"/>
        </w:rPr>
        <w:t>各种工具软件由</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推荐，经</w:t>
      </w:r>
      <w:r>
        <w:rPr>
          <w:rFonts w:hint="eastAsia" w:ascii="Times New Roman" w:hAnsi="Times New Roman" w:eastAsia="宋体"/>
          <w:color w:val="auto"/>
          <w:sz w:val="24"/>
          <w:szCs w:val="24"/>
          <w:highlight w:val="none"/>
        </w:rPr>
        <w:t>招标方</w:t>
      </w:r>
      <w:r>
        <w:rPr>
          <w:rFonts w:ascii="Times New Roman" w:hAnsi="Times New Roman" w:eastAsia="宋体"/>
          <w:color w:val="auto"/>
          <w:sz w:val="24"/>
          <w:szCs w:val="24"/>
          <w:highlight w:val="none"/>
        </w:rPr>
        <w:t>确认后由</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提供并在</w:t>
      </w:r>
      <w:r>
        <w:rPr>
          <w:rFonts w:hint="eastAsia" w:ascii="Times New Roman" w:hAnsi="Times New Roman" w:eastAsia="宋体"/>
          <w:color w:val="auto"/>
          <w:sz w:val="24"/>
          <w:szCs w:val="24"/>
          <w:highlight w:val="none"/>
        </w:rPr>
        <w:t>工作</w:t>
      </w:r>
      <w:r>
        <w:rPr>
          <w:rFonts w:ascii="Times New Roman" w:hAnsi="Times New Roman" w:eastAsia="宋体"/>
          <w:color w:val="auto"/>
          <w:sz w:val="24"/>
          <w:szCs w:val="24"/>
          <w:highlight w:val="none"/>
        </w:rPr>
        <w:t>中使用。</w:t>
      </w:r>
    </w:p>
    <w:p>
      <w:pPr>
        <w:overflowPunct w:val="0"/>
        <w:topLinePunct/>
        <w:snapToGrid w:val="0"/>
        <w:spacing w:line="360" w:lineRule="auto"/>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安全测评工具软件运行可能需要的硬件平台（如笔记本电脑、PC、工作站等）和操作系统软件等由</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推荐，经确认后由</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提供并在测评中使用</w:t>
      </w:r>
      <w:r>
        <w:rPr>
          <w:rFonts w:hint="eastAsia" w:ascii="Times New Roman" w:hAnsi="Times New Roman" w:eastAsia="宋体"/>
          <w:color w:val="auto"/>
          <w:sz w:val="24"/>
          <w:szCs w:val="24"/>
          <w:highlight w:val="none"/>
        </w:rPr>
        <w:t>。</w:t>
      </w:r>
      <w:r>
        <w:rPr>
          <w:rFonts w:ascii="Times New Roman" w:hAnsi="Times New Roman" w:eastAsia="宋体"/>
          <w:color w:val="auto"/>
          <w:sz w:val="24"/>
          <w:szCs w:val="24"/>
          <w:highlight w:val="none"/>
        </w:rPr>
        <w:t>安全测评需要的运行环境（如场地、网络环境等）由</w:t>
      </w:r>
      <w:r>
        <w:rPr>
          <w:rFonts w:hint="eastAsia" w:ascii="Times New Roman" w:hAnsi="Times New Roman" w:eastAsia="宋体"/>
          <w:color w:val="auto"/>
          <w:sz w:val="24"/>
          <w:szCs w:val="24"/>
          <w:highlight w:val="none"/>
        </w:rPr>
        <w:t>招标方</w:t>
      </w:r>
      <w:r>
        <w:rPr>
          <w:rFonts w:ascii="Times New Roman" w:hAnsi="Times New Roman" w:eastAsia="宋体"/>
          <w:color w:val="auto"/>
          <w:sz w:val="24"/>
          <w:szCs w:val="24"/>
          <w:highlight w:val="none"/>
        </w:rPr>
        <w:t>提供，</w:t>
      </w:r>
      <w:r>
        <w:rPr>
          <w:rFonts w:hint="eastAsia" w:ascii="Times New Roman" w:hAnsi="Times New Roman" w:eastAsia="宋体"/>
          <w:color w:val="auto"/>
          <w:sz w:val="24"/>
          <w:szCs w:val="24"/>
          <w:highlight w:val="none"/>
        </w:rPr>
        <w:t>项目实施方</w:t>
      </w:r>
      <w:r>
        <w:rPr>
          <w:rFonts w:ascii="Times New Roman" w:hAnsi="Times New Roman" w:eastAsia="宋体"/>
          <w:color w:val="auto"/>
          <w:sz w:val="24"/>
          <w:szCs w:val="24"/>
          <w:highlight w:val="none"/>
        </w:rPr>
        <w:t>应详细描述需要的运行环境的具体要求</w:t>
      </w:r>
      <w:r>
        <w:rPr>
          <w:rFonts w:hint="eastAsia" w:ascii="Times New Roman" w:hAnsi="Times New Roman" w:eastAsia="宋体"/>
          <w:color w:val="auto"/>
          <w:sz w:val="24"/>
          <w:szCs w:val="24"/>
          <w:highlight w:val="none"/>
        </w:rPr>
        <w:t>。</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37" w:name="_Toc22694"/>
      <w:r>
        <w:rPr>
          <w:rFonts w:ascii="Times New Roman" w:hAnsi="Times New Roman" w:eastAsia="宋体"/>
          <w:b/>
          <w:bCs/>
          <w:color w:val="auto"/>
          <w:sz w:val="24"/>
          <w:szCs w:val="24"/>
          <w:highlight w:val="none"/>
        </w:rPr>
        <w:t>风险控</w:t>
      </w:r>
      <w:r>
        <w:rPr>
          <w:rFonts w:hint="eastAsia" w:ascii="Times New Roman" w:hAnsi="Times New Roman" w:eastAsia="宋体"/>
          <w:b/>
          <w:bCs/>
          <w:color w:val="auto"/>
          <w:sz w:val="24"/>
          <w:szCs w:val="24"/>
          <w:highlight w:val="none"/>
        </w:rPr>
        <w:t>制</w:t>
      </w:r>
      <w:bookmarkEnd w:id="37"/>
    </w:p>
    <w:p>
      <w:pPr>
        <w:pStyle w:val="44"/>
        <w:overflowPunct w:val="0"/>
        <w:topLinePunct/>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必须加强测评过程中的风险控制。项目实施前，双方应充分讨论并明确测评对系统可能带来的风险和隐患，确定测评对象、测评方法和工具，并</w:t>
      </w:r>
      <w:r>
        <w:rPr>
          <w:rFonts w:ascii="Times New Roman" w:hAnsi="Times New Roman" w:eastAsia="宋体"/>
          <w:color w:val="auto"/>
          <w:sz w:val="24"/>
          <w:szCs w:val="24"/>
          <w:highlight w:val="none"/>
        </w:rPr>
        <w:t>制定</w:t>
      </w:r>
      <w:r>
        <w:rPr>
          <w:rFonts w:hint="eastAsia" w:ascii="Times New Roman" w:hAnsi="Times New Roman" w:eastAsia="宋体"/>
          <w:color w:val="auto"/>
          <w:sz w:val="24"/>
          <w:szCs w:val="24"/>
          <w:highlight w:val="none"/>
        </w:rPr>
        <w:t>应急恢复措施。</w:t>
      </w:r>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（1）</w:t>
      </w:r>
      <w:r>
        <w:rPr>
          <w:rFonts w:ascii="Times New Roman" w:hAnsi="Times New Roman" w:eastAsia="宋体"/>
          <w:color w:val="auto"/>
          <w:sz w:val="24"/>
          <w:szCs w:val="24"/>
          <w:highlight w:val="none"/>
        </w:rPr>
        <w:t>操作的申请和监护</w:t>
      </w:r>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测评</w:t>
      </w:r>
      <w:r>
        <w:rPr>
          <w:rFonts w:ascii="Times New Roman" w:hAnsi="Times New Roman" w:eastAsia="宋体"/>
          <w:color w:val="auto"/>
          <w:sz w:val="24"/>
          <w:szCs w:val="24"/>
          <w:highlight w:val="none"/>
        </w:rPr>
        <w:t>操作必须遵守</w:t>
      </w:r>
      <w:r>
        <w:rPr>
          <w:rFonts w:hint="eastAsia" w:ascii="Times New Roman" w:hAnsi="Times New Roman" w:eastAsia="宋体"/>
          <w:color w:val="auto"/>
          <w:sz w:val="24"/>
          <w:szCs w:val="24"/>
          <w:highlight w:val="none"/>
        </w:rPr>
        <w:t>现场运行规章制度，确保系统安全稳定运行。如需在线测试，按照相关工作规程，事前申请，并在专责人员的指导和监护下进行。</w:t>
      </w:r>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w:t>
      </w:r>
      <w:r>
        <w:rPr>
          <w:rFonts w:ascii="Times New Roman" w:hAnsi="Times New Roman" w:eastAsia="宋体"/>
          <w:color w:val="auto"/>
          <w:sz w:val="24"/>
          <w:szCs w:val="24"/>
          <w:highlight w:val="none"/>
        </w:rPr>
        <w:t>人员与数据管理</w:t>
      </w:r>
    </w:p>
    <w:p>
      <w:pPr>
        <w:spacing w:line="360" w:lineRule="auto"/>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重视保密工作，加强</w:t>
      </w:r>
      <w:r>
        <w:rPr>
          <w:rFonts w:hint="eastAsia" w:ascii="Times New Roman" w:hAnsi="Times New Roman" w:eastAsia="宋体"/>
          <w:color w:val="auto"/>
          <w:sz w:val="24"/>
          <w:szCs w:val="24"/>
          <w:highlight w:val="none"/>
        </w:rPr>
        <w:t>测评过程中的保密管理，</w:t>
      </w:r>
      <w:r>
        <w:rPr>
          <w:rFonts w:ascii="Times New Roman" w:hAnsi="Times New Roman" w:eastAsia="宋体"/>
          <w:color w:val="auto"/>
          <w:sz w:val="24"/>
          <w:szCs w:val="24"/>
          <w:highlight w:val="none"/>
        </w:rPr>
        <w:t>确保</w:t>
      </w:r>
      <w:r>
        <w:rPr>
          <w:rFonts w:hint="eastAsia" w:ascii="Times New Roman" w:hAnsi="Times New Roman" w:eastAsia="宋体"/>
          <w:color w:val="auto"/>
          <w:sz w:val="24"/>
          <w:szCs w:val="24"/>
          <w:highlight w:val="none"/>
        </w:rPr>
        <w:t>参与</w:t>
      </w:r>
      <w:r>
        <w:rPr>
          <w:rFonts w:ascii="Times New Roman" w:hAnsi="Times New Roman" w:eastAsia="宋体"/>
          <w:color w:val="auto"/>
          <w:sz w:val="24"/>
          <w:szCs w:val="24"/>
          <w:highlight w:val="none"/>
        </w:rPr>
        <w:t>测评</w:t>
      </w:r>
      <w:r>
        <w:rPr>
          <w:rFonts w:hint="eastAsia" w:ascii="Times New Roman" w:hAnsi="Times New Roman" w:eastAsia="宋体"/>
          <w:color w:val="auto"/>
          <w:sz w:val="24"/>
          <w:szCs w:val="24"/>
          <w:highlight w:val="none"/>
        </w:rPr>
        <w:t>工作</w:t>
      </w:r>
      <w:r>
        <w:rPr>
          <w:rFonts w:ascii="Times New Roman" w:hAnsi="Times New Roman" w:eastAsia="宋体"/>
          <w:color w:val="auto"/>
          <w:sz w:val="24"/>
          <w:szCs w:val="24"/>
          <w:highlight w:val="none"/>
        </w:rPr>
        <w:t>人员</w:t>
      </w:r>
      <w:r>
        <w:rPr>
          <w:rFonts w:hint="eastAsia" w:ascii="Times New Roman" w:hAnsi="Times New Roman" w:eastAsia="宋体"/>
          <w:color w:val="auto"/>
          <w:sz w:val="24"/>
          <w:szCs w:val="24"/>
          <w:highlight w:val="none"/>
        </w:rPr>
        <w:t>的</w:t>
      </w:r>
      <w:r>
        <w:rPr>
          <w:rFonts w:ascii="Times New Roman" w:hAnsi="Times New Roman" w:eastAsia="宋体"/>
          <w:color w:val="auto"/>
          <w:sz w:val="24"/>
          <w:szCs w:val="24"/>
          <w:highlight w:val="none"/>
        </w:rPr>
        <w:t>可靠</w:t>
      </w:r>
      <w:r>
        <w:rPr>
          <w:rFonts w:hint="eastAsia" w:ascii="Times New Roman" w:hAnsi="Times New Roman" w:eastAsia="宋体"/>
          <w:color w:val="auto"/>
          <w:sz w:val="24"/>
          <w:szCs w:val="24"/>
          <w:highlight w:val="none"/>
        </w:rPr>
        <w:t>、</w:t>
      </w:r>
      <w:r>
        <w:rPr>
          <w:rFonts w:ascii="Times New Roman" w:hAnsi="Times New Roman" w:eastAsia="宋体"/>
          <w:color w:val="auto"/>
          <w:sz w:val="24"/>
          <w:szCs w:val="24"/>
          <w:highlight w:val="none"/>
        </w:rPr>
        <w:t>稳定</w:t>
      </w:r>
      <w:r>
        <w:rPr>
          <w:rFonts w:hint="eastAsia" w:ascii="Times New Roman" w:hAnsi="Times New Roman" w:eastAsia="宋体"/>
          <w:color w:val="auto"/>
          <w:sz w:val="24"/>
          <w:szCs w:val="24"/>
          <w:highlight w:val="none"/>
        </w:rPr>
        <w:t>，</w:t>
      </w:r>
      <w:r>
        <w:rPr>
          <w:rFonts w:ascii="Times New Roman" w:hAnsi="Times New Roman" w:eastAsia="宋体"/>
          <w:color w:val="auto"/>
          <w:sz w:val="24"/>
          <w:szCs w:val="24"/>
          <w:highlight w:val="none"/>
        </w:rPr>
        <w:t>防止敏感信息泄漏。</w:t>
      </w:r>
    </w:p>
    <w:p>
      <w:pPr>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（3）</w:t>
      </w:r>
      <w:r>
        <w:rPr>
          <w:rFonts w:ascii="Times New Roman" w:hAnsi="Times New Roman" w:eastAsia="宋体"/>
          <w:color w:val="auto"/>
          <w:sz w:val="24"/>
          <w:szCs w:val="24"/>
          <w:highlight w:val="none"/>
        </w:rPr>
        <w:t>制定应急预案</w:t>
      </w:r>
    </w:p>
    <w:p>
      <w:pPr>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根据被测系统情况，在测评实施前</w:t>
      </w:r>
      <w:r>
        <w:rPr>
          <w:rFonts w:ascii="Times New Roman" w:hAnsi="Times New Roman" w:eastAsia="宋体"/>
          <w:color w:val="auto"/>
          <w:sz w:val="24"/>
          <w:szCs w:val="24"/>
          <w:highlight w:val="none"/>
        </w:rPr>
        <w:t>制定应急预案</w:t>
      </w:r>
      <w:r>
        <w:rPr>
          <w:rFonts w:hint="eastAsia" w:ascii="Times New Roman" w:hAnsi="Times New Roman" w:eastAsia="宋体"/>
          <w:color w:val="auto"/>
          <w:sz w:val="24"/>
          <w:szCs w:val="24"/>
          <w:highlight w:val="none"/>
        </w:rPr>
        <w:t>，加强系统在线应急处置能力。</w:t>
      </w:r>
    </w:p>
    <w:p>
      <w:pPr>
        <w:numPr>
          <w:ilvl w:val="1"/>
          <w:numId w:val="2"/>
        </w:numPr>
        <w:spacing w:line="360" w:lineRule="auto"/>
        <w:outlineLvl w:val="1"/>
        <w:rPr>
          <w:rFonts w:ascii="Times New Roman" w:hAnsi="Times New Roman" w:eastAsia="宋体"/>
          <w:b/>
          <w:color w:val="auto"/>
          <w:sz w:val="24"/>
          <w:szCs w:val="24"/>
          <w:highlight w:val="none"/>
        </w:rPr>
      </w:pPr>
      <w:bookmarkStart w:id="38" w:name="_Toc10351"/>
      <w:bookmarkStart w:id="39" w:name="_Toc20012"/>
      <w:r>
        <w:rPr>
          <w:rFonts w:hint="eastAsia" w:ascii="Times New Roman" w:hAnsi="Times New Roman" w:eastAsia="宋体"/>
          <w:b/>
          <w:color w:val="auto"/>
          <w:sz w:val="24"/>
          <w:szCs w:val="24"/>
          <w:highlight w:val="none"/>
        </w:rPr>
        <w:t>测评流程</w:t>
      </w:r>
      <w:bookmarkEnd w:id="38"/>
      <w:bookmarkEnd w:id="39"/>
    </w:p>
    <w:p>
      <w:pPr>
        <w:pStyle w:val="44"/>
        <w:overflowPunct w:val="0"/>
        <w:topLinePunct/>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根据国家等级保护相关标准，</w:t>
      </w:r>
      <w:r>
        <w:rPr>
          <w:rFonts w:hint="eastAsia" w:ascii="Times New Roman" w:hAnsi="Times New Roman" w:eastAsia="宋体"/>
          <w:color w:val="auto"/>
          <w:sz w:val="24"/>
          <w:szCs w:val="24"/>
          <w:highlight w:val="none"/>
          <w:lang w:eastAsia="zh-CN"/>
        </w:rPr>
        <w:t>网络安全等级保护测评</w:t>
      </w:r>
      <w:r>
        <w:rPr>
          <w:rFonts w:hint="eastAsia" w:ascii="Times New Roman" w:hAnsi="Times New Roman" w:eastAsia="宋体"/>
          <w:color w:val="auto"/>
          <w:sz w:val="24"/>
          <w:szCs w:val="24"/>
          <w:highlight w:val="none"/>
        </w:rPr>
        <w:t>流程分为四个阶段：测评准备阶段、方案编制阶段、现场测评阶段、分析与报告编制阶段。测评完成后，提供整改建议书，配合招标方根据测评范围进行整改实施。</w:t>
      </w:r>
    </w:p>
    <w:p>
      <w:pPr>
        <w:numPr>
          <w:ilvl w:val="1"/>
          <w:numId w:val="2"/>
        </w:numPr>
        <w:spacing w:line="360" w:lineRule="auto"/>
        <w:outlineLvl w:val="1"/>
        <w:rPr>
          <w:rFonts w:ascii="Times New Roman" w:hAnsi="Times New Roman" w:eastAsia="宋体"/>
          <w:b/>
          <w:color w:val="auto"/>
          <w:sz w:val="24"/>
          <w:szCs w:val="24"/>
          <w:highlight w:val="none"/>
        </w:rPr>
      </w:pPr>
      <w:bookmarkStart w:id="40" w:name="_Toc30422"/>
      <w:bookmarkStart w:id="41" w:name="_Toc1857"/>
      <w:r>
        <w:rPr>
          <w:rFonts w:hint="eastAsia" w:ascii="Times New Roman" w:hAnsi="Times New Roman" w:eastAsia="宋体"/>
          <w:b/>
          <w:color w:val="auto"/>
          <w:sz w:val="24"/>
          <w:szCs w:val="24"/>
          <w:highlight w:val="none"/>
          <w:lang w:eastAsia="zh-CN"/>
        </w:rPr>
        <w:t>等级保护测评</w:t>
      </w:r>
      <w:r>
        <w:rPr>
          <w:rFonts w:hint="eastAsia" w:ascii="Times New Roman" w:hAnsi="Times New Roman" w:eastAsia="宋体"/>
          <w:b/>
          <w:color w:val="auto"/>
          <w:sz w:val="24"/>
          <w:szCs w:val="24"/>
          <w:highlight w:val="none"/>
        </w:rPr>
        <w:t>内容</w:t>
      </w:r>
      <w:bookmarkEnd w:id="40"/>
      <w:r>
        <w:rPr>
          <w:rFonts w:hint="eastAsia"/>
          <w:b/>
          <w:color w:val="auto"/>
          <w:sz w:val="24"/>
          <w:szCs w:val="24"/>
          <w:highlight w:val="none"/>
          <w:lang w:eastAsia="zh-CN"/>
        </w:rPr>
        <w:t>（</w:t>
      </w:r>
      <w:r>
        <w:rPr>
          <w:rFonts w:hint="eastAsia"/>
          <w:b/>
          <w:color w:val="auto"/>
          <w:sz w:val="24"/>
          <w:szCs w:val="24"/>
          <w:highlight w:val="none"/>
          <w:lang w:val="en-US" w:eastAsia="zh-CN"/>
        </w:rPr>
        <w:t>通用要求</w:t>
      </w:r>
      <w:r>
        <w:rPr>
          <w:rFonts w:hint="eastAsia"/>
          <w:b/>
          <w:color w:val="auto"/>
          <w:sz w:val="24"/>
          <w:szCs w:val="24"/>
          <w:highlight w:val="none"/>
          <w:lang w:eastAsia="zh-CN"/>
        </w:rPr>
        <w:t>）</w:t>
      </w:r>
      <w:bookmarkEnd w:id="41"/>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安全物理环境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对安全物理环境方面的物理位置的选择、物理访问控制、防盗窃和防破坏、防雷击、防火、防水和防潮、防静电、温湿度控制、电力供应、电磁防护等安全控制点进行单元测评。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安全通信网络</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对安全通信网络方面的网络架构、通信传输、可信验证等安全控制点进行单元测评。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安全区域边界</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对安全区域边界方面的边界防护、访问控制、入侵防范、恶意代码防范、安全审计、可信验证等安全控制点进行单元测评。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安全计算环境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对安全计算环境方面的身份鉴别、访问控制、安全审计、入侵防范、恶意代码防范、可信验证、数据完整性、数据保密性、数据备份恢复、剩余信息保护、个人信息保护等安全控制点进行单元测评。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安全管理中心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对安全管理中心方面的系统管理、审计管理、安全管理等安全控制点进行单元测评。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42" w:name="_Toc23218"/>
      <w:r>
        <w:rPr>
          <w:rFonts w:hint="eastAsia" w:ascii="Times New Roman" w:hAnsi="Times New Roman" w:eastAsia="宋体"/>
          <w:b/>
          <w:bCs/>
          <w:color w:val="auto"/>
          <w:sz w:val="24"/>
          <w:szCs w:val="24"/>
          <w:highlight w:val="none"/>
        </w:rPr>
        <w:t>安全管理制度</w:t>
      </w:r>
      <w:bookmarkEnd w:id="42"/>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对安全管理制度的安全策略、管理制度、制定和发布、评审和修订等方面进行单元测评。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43" w:name="_Toc19465"/>
      <w:r>
        <w:rPr>
          <w:rFonts w:hint="eastAsia" w:ascii="Times New Roman" w:hAnsi="Times New Roman" w:eastAsia="宋体"/>
          <w:b/>
          <w:bCs/>
          <w:color w:val="auto"/>
          <w:sz w:val="24"/>
          <w:szCs w:val="24"/>
          <w:highlight w:val="none"/>
        </w:rPr>
        <w:t>安全管理机构</w:t>
      </w:r>
      <w:bookmarkEnd w:id="43"/>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对安全管理机构的构建、结构化的组织体系、是否合理设置信息安全管理和信息技术岗位、是否明确各个组织的职责/明确各岗位的岗位和安全职责等方面进行单元测评。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安全人员管理</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针对人员录用、人员离岗、安全意识教育和培训、外部人员访问管理等方面进行单元测评。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44" w:name="_Toc751"/>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建设管理</w:t>
      </w:r>
      <w:bookmarkEnd w:id="44"/>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针对系统定级和备案、安全方案设计、产品采购和使用、自行软件开发、外包软件开发、工程实施、测试验收、系统交付、等级测评、服务供应商选择等方面进行单元测评。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bookmarkStart w:id="45" w:name="_Toc7743"/>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运维管理</w:t>
      </w:r>
      <w:bookmarkEnd w:id="45"/>
    </w:p>
    <w:p>
      <w:pPr>
        <w:tabs>
          <w:tab w:val="left" w:pos="1080"/>
          <w:tab w:val="left" w:pos="1680"/>
        </w:tabs>
        <w:snapToGrid w:val="0"/>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针对环境管理、资产管理、介质管理、设备管理、网络安全管理、系统安全管理、恶意代码防范、密码管理、变更管理、备份与恢复管理、安全事件处理以及应急预案等方面进行单元测评。</w:t>
      </w:r>
    </w:p>
    <w:p>
      <w:pPr>
        <w:numPr>
          <w:ilvl w:val="1"/>
          <w:numId w:val="2"/>
        </w:numPr>
        <w:spacing w:line="360" w:lineRule="auto"/>
        <w:outlineLvl w:val="1"/>
        <w:rPr>
          <w:rFonts w:ascii="Times New Roman" w:hAnsi="Times New Roman" w:eastAsia="宋体"/>
          <w:b/>
          <w:color w:val="auto"/>
          <w:sz w:val="24"/>
          <w:szCs w:val="24"/>
          <w:highlight w:val="none"/>
        </w:rPr>
      </w:pPr>
      <w:bookmarkStart w:id="46" w:name="_Toc24005"/>
      <w:r>
        <w:rPr>
          <w:rFonts w:hint="eastAsia" w:ascii="Times New Roman" w:hAnsi="Times New Roman" w:eastAsia="宋体"/>
          <w:b/>
          <w:color w:val="auto"/>
          <w:sz w:val="24"/>
          <w:szCs w:val="24"/>
          <w:highlight w:val="none"/>
          <w:lang w:eastAsia="zh-CN"/>
        </w:rPr>
        <w:t>等级保护测评</w:t>
      </w:r>
      <w:r>
        <w:rPr>
          <w:rFonts w:hint="eastAsia" w:ascii="Times New Roman" w:hAnsi="Times New Roman" w:eastAsia="宋体"/>
          <w:b/>
          <w:color w:val="auto"/>
          <w:sz w:val="24"/>
          <w:szCs w:val="24"/>
          <w:highlight w:val="none"/>
        </w:rPr>
        <w:t>内容</w:t>
      </w:r>
      <w:r>
        <w:rPr>
          <w:rFonts w:hint="eastAsia"/>
          <w:b/>
          <w:color w:val="auto"/>
          <w:sz w:val="24"/>
          <w:szCs w:val="24"/>
          <w:highlight w:val="none"/>
          <w:lang w:eastAsia="zh-CN"/>
        </w:rPr>
        <w:t>（</w:t>
      </w:r>
      <w:r>
        <w:rPr>
          <w:rFonts w:hint="eastAsia"/>
          <w:b/>
          <w:color w:val="auto"/>
          <w:sz w:val="24"/>
          <w:szCs w:val="24"/>
          <w:highlight w:val="none"/>
          <w:lang w:val="en-US" w:eastAsia="zh-CN"/>
        </w:rPr>
        <w:t>云计算安全扩展要求</w:t>
      </w:r>
      <w:r>
        <w:rPr>
          <w:rFonts w:hint="eastAsia"/>
          <w:b/>
          <w:color w:val="auto"/>
          <w:sz w:val="24"/>
          <w:szCs w:val="24"/>
          <w:highlight w:val="none"/>
          <w:lang w:eastAsia="zh-CN"/>
        </w:rPr>
        <w:t>）</w:t>
      </w:r>
      <w:bookmarkEnd w:id="46"/>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安全物理环境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对安全物理环境方面</w:t>
      </w:r>
      <w:r>
        <w:rPr>
          <w:rFonts w:hint="eastAsia"/>
          <w:color w:val="auto"/>
          <w:sz w:val="24"/>
          <w:szCs w:val="24"/>
          <w:highlight w:val="none"/>
          <w:lang w:val="en-US" w:eastAsia="zh-CN"/>
        </w:rPr>
        <w:t>的</w:t>
      </w:r>
      <w:r>
        <w:rPr>
          <w:rFonts w:hint="eastAsia" w:ascii="Times New Roman" w:hAnsi="Times New Roman" w:eastAsia="宋体"/>
          <w:color w:val="auto"/>
          <w:sz w:val="24"/>
          <w:szCs w:val="24"/>
          <w:highlight w:val="none"/>
        </w:rPr>
        <w:t>基础设施位置等安全控制点进行单元测评。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安全通信网络</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对安全通信网络方面的网络架构等安全控制点进行单元测评。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安全区域边界</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对安全区域边界方面的访问控制、入侵防范</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安全审计等安全控制点进行单元测评。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安全计算环境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对安全计算环境方面的身份鉴别、访问控制、入侵防范、镜像和快照保护</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可数据完整性</w:t>
      </w:r>
      <w:r>
        <w:rPr>
          <w:rFonts w:hint="eastAsia"/>
          <w:color w:val="auto"/>
          <w:sz w:val="24"/>
          <w:szCs w:val="24"/>
          <w:highlight w:val="none"/>
          <w:lang w:val="en-US" w:eastAsia="zh-CN"/>
        </w:rPr>
        <w:t>和</w:t>
      </w:r>
      <w:r>
        <w:rPr>
          <w:rFonts w:hint="eastAsia" w:ascii="Times New Roman" w:hAnsi="Times New Roman" w:eastAsia="宋体"/>
          <w:color w:val="auto"/>
          <w:sz w:val="24"/>
          <w:szCs w:val="24"/>
          <w:highlight w:val="none"/>
        </w:rPr>
        <w:t>保密性、数据备份恢复、剩余信息保护等安全控制点进行单元测评。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安全管理中心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对安全管理中心方面的</w:t>
      </w:r>
      <w:r>
        <w:rPr>
          <w:rFonts w:hint="eastAsia"/>
          <w:color w:val="auto"/>
          <w:sz w:val="24"/>
          <w:szCs w:val="24"/>
          <w:highlight w:val="none"/>
          <w:lang w:val="en-US" w:eastAsia="zh-CN"/>
        </w:rPr>
        <w:t>集中管控</w:t>
      </w:r>
      <w:r>
        <w:rPr>
          <w:rFonts w:hint="eastAsia" w:ascii="Times New Roman" w:hAnsi="Times New Roman" w:eastAsia="宋体"/>
          <w:color w:val="auto"/>
          <w:sz w:val="24"/>
          <w:szCs w:val="24"/>
          <w:highlight w:val="none"/>
        </w:rPr>
        <w:t>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建设管理</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针对云服务商选择</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供应链管理等方面进行单元测评。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运维管理</w:t>
      </w:r>
    </w:p>
    <w:p>
      <w:pPr>
        <w:tabs>
          <w:tab w:val="left" w:pos="1080"/>
          <w:tab w:val="left" w:pos="1680"/>
        </w:tabs>
        <w:snapToGrid w:val="0"/>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针对等方面进行单元测评。</w:t>
      </w:r>
    </w:p>
    <w:p>
      <w:pPr>
        <w:numPr>
          <w:ilvl w:val="1"/>
          <w:numId w:val="2"/>
        </w:numPr>
        <w:spacing w:line="360" w:lineRule="auto"/>
        <w:outlineLvl w:val="1"/>
        <w:rPr>
          <w:rFonts w:ascii="Times New Roman" w:hAnsi="Times New Roman" w:eastAsia="宋体"/>
          <w:b/>
          <w:color w:val="auto"/>
          <w:sz w:val="24"/>
          <w:szCs w:val="24"/>
          <w:highlight w:val="none"/>
        </w:rPr>
      </w:pPr>
      <w:bookmarkStart w:id="47" w:name="_Toc22493"/>
      <w:r>
        <w:rPr>
          <w:rFonts w:hint="eastAsia" w:ascii="Times New Roman" w:hAnsi="Times New Roman" w:eastAsia="宋体"/>
          <w:b/>
          <w:color w:val="auto"/>
          <w:sz w:val="24"/>
          <w:szCs w:val="24"/>
          <w:highlight w:val="none"/>
          <w:lang w:eastAsia="zh-CN"/>
        </w:rPr>
        <w:t>等级保护测评</w:t>
      </w:r>
      <w:r>
        <w:rPr>
          <w:rFonts w:hint="eastAsia" w:ascii="Times New Roman" w:hAnsi="Times New Roman" w:eastAsia="宋体"/>
          <w:b/>
          <w:color w:val="auto"/>
          <w:sz w:val="24"/>
          <w:szCs w:val="24"/>
          <w:highlight w:val="none"/>
        </w:rPr>
        <w:t>内容</w:t>
      </w:r>
      <w:r>
        <w:rPr>
          <w:rFonts w:hint="eastAsia"/>
          <w:b/>
          <w:color w:val="auto"/>
          <w:sz w:val="24"/>
          <w:szCs w:val="24"/>
          <w:highlight w:val="none"/>
          <w:lang w:eastAsia="zh-CN"/>
        </w:rPr>
        <w:t>（</w:t>
      </w:r>
      <w:r>
        <w:rPr>
          <w:rFonts w:hint="eastAsia"/>
          <w:b/>
          <w:color w:val="auto"/>
          <w:sz w:val="24"/>
          <w:szCs w:val="24"/>
          <w:highlight w:val="none"/>
          <w:lang w:val="en-US" w:eastAsia="zh-CN"/>
        </w:rPr>
        <w:t>移动互联安全扩展要求</w:t>
      </w:r>
      <w:r>
        <w:rPr>
          <w:rFonts w:hint="eastAsia"/>
          <w:b/>
          <w:color w:val="auto"/>
          <w:sz w:val="24"/>
          <w:szCs w:val="24"/>
          <w:highlight w:val="none"/>
          <w:lang w:eastAsia="zh-CN"/>
        </w:rPr>
        <w:t>）</w:t>
      </w:r>
      <w:bookmarkEnd w:id="47"/>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安全物理环境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对安全物理环境方面的无线接入点的物理位置等安全控制点进行单元测评。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安全区域边界</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对安全区域边界方面的边界防护</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访问控制</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入侵防范等安全控制点进行单元测评。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安全计算环境</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对安全计算环境方面的移动应用管控</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移动终端管控等安全控制点进行单元测评。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建设管理</w:t>
      </w:r>
    </w:p>
    <w:p>
      <w:pPr>
        <w:tabs>
          <w:tab w:val="left" w:pos="1080"/>
          <w:tab w:val="left" w:pos="1680"/>
        </w:tabs>
        <w:snapToGrid w:val="0"/>
        <w:spacing w:line="360" w:lineRule="auto"/>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针对移动应用软件采购</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移动应用软件开发等方面进行单元测评。</w:t>
      </w:r>
    </w:p>
    <w:p>
      <w:pPr>
        <w:numPr>
          <w:ilvl w:val="2"/>
          <w:numId w:val="2"/>
        </w:numPr>
        <w:tabs>
          <w:tab w:val="left" w:pos="0"/>
          <w:tab w:val="clear" w:pos="851"/>
        </w:tabs>
        <w:overflowPunct w:val="0"/>
        <w:topLinePunct/>
        <w:snapToGrid w:val="0"/>
        <w:spacing w:line="360" w:lineRule="auto"/>
        <w:ind w:left="0" w:firstLine="0"/>
        <w:outlineLvl w:val="2"/>
        <w:rPr>
          <w:rFonts w:ascii="Times New Roman" w:hAnsi="Times New Roman" w:eastAsia="宋体"/>
          <w:b/>
          <w:bCs/>
          <w:color w:val="auto"/>
          <w:sz w:val="24"/>
          <w:szCs w:val="24"/>
          <w:highlight w:val="none"/>
        </w:rPr>
      </w:pPr>
      <w:r>
        <w:rPr>
          <w:rFonts w:hint="eastAsia"/>
          <w:b/>
          <w:bCs/>
          <w:color w:val="auto"/>
          <w:sz w:val="24"/>
          <w:szCs w:val="24"/>
          <w:highlight w:val="none"/>
          <w:lang w:val="en-US" w:eastAsia="zh-CN"/>
        </w:rPr>
        <w:t>安全</w:t>
      </w:r>
      <w:r>
        <w:rPr>
          <w:rFonts w:hint="eastAsia" w:ascii="Times New Roman" w:hAnsi="Times New Roman" w:eastAsia="宋体"/>
          <w:b/>
          <w:bCs/>
          <w:color w:val="auto"/>
          <w:sz w:val="24"/>
          <w:szCs w:val="24"/>
          <w:highlight w:val="none"/>
        </w:rPr>
        <w:t>运维管理</w:t>
      </w:r>
    </w:p>
    <w:p>
      <w:pPr>
        <w:tabs>
          <w:tab w:val="left" w:pos="1080"/>
          <w:tab w:val="left" w:pos="1680"/>
        </w:tabs>
        <w:snapToGrid w:val="0"/>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针对配置管理等方面进行单元测评。</w:t>
      </w:r>
    </w:p>
    <w:p>
      <w:pPr>
        <w:numPr>
          <w:ilvl w:val="1"/>
          <w:numId w:val="2"/>
        </w:numPr>
        <w:spacing w:line="360" w:lineRule="auto"/>
        <w:outlineLvl w:val="1"/>
        <w:rPr>
          <w:rFonts w:ascii="Times New Roman" w:hAnsi="Times New Roman" w:eastAsia="宋体"/>
          <w:b/>
          <w:color w:val="auto"/>
          <w:sz w:val="24"/>
          <w:szCs w:val="24"/>
          <w:highlight w:val="none"/>
        </w:rPr>
      </w:pPr>
      <w:bookmarkStart w:id="48" w:name="_Toc6024"/>
      <w:bookmarkStart w:id="69" w:name="_GoBack"/>
      <w:bookmarkEnd w:id="69"/>
      <w:r>
        <w:rPr>
          <w:rFonts w:hint="eastAsia" w:ascii="Times New Roman" w:hAnsi="Times New Roman" w:eastAsia="宋体"/>
          <w:b/>
          <w:color w:val="auto"/>
          <w:sz w:val="24"/>
          <w:szCs w:val="24"/>
          <w:highlight w:val="none"/>
          <w:lang w:eastAsia="zh-CN"/>
        </w:rPr>
        <w:t>等级保护测评</w:t>
      </w:r>
      <w:r>
        <w:rPr>
          <w:rFonts w:hint="eastAsia" w:ascii="Times New Roman" w:hAnsi="Times New Roman" w:eastAsia="宋体"/>
          <w:b/>
          <w:color w:val="auto"/>
          <w:sz w:val="24"/>
          <w:szCs w:val="24"/>
          <w:highlight w:val="none"/>
        </w:rPr>
        <w:t>内容</w:t>
      </w:r>
      <w:r>
        <w:rPr>
          <w:rFonts w:hint="eastAsia"/>
          <w:b/>
          <w:color w:val="auto"/>
          <w:sz w:val="24"/>
          <w:szCs w:val="24"/>
          <w:highlight w:val="none"/>
          <w:lang w:eastAsia="zh-CN"/>
        </w:rPr>
        <w:t>（</w:t>
      </w:r>
      <w:r>
        <w:rPr>
          <w:rFonts w:hint="eastAsia"/>
          <w:b/>
          <w:color w:val="auto"/>
          <w:sz w:val="24"/>
          <w:szCs w:val="24"/>
          <w:highlight w:val="none"/>
          <w:lang w:val="en-US" w:eastAsia="zh-CN"/>
        </w:rPr>
        <w:t>大数据安全扩展要求</w:t>
      </w:r>
      <w:r>
        <w:rPr>
          <w:rFonts w:hint="eastAsia"/>
          <w:b/>
          <w:color w:val="auto"/>
          <w:sz w:val="24"/>
          <w:szCs w:val="24"/>
          <w:highlight w:val="none"/>
          <w:lang w:eastAsia="zh-CN"/>
        </w:rPr>
        <w:t>）</w:t>
      </w:r>
      <w:bookmarkEnd w:id="48"/>
    </w:p>
    <w:p>
      <w:pPr>
        <w:tabs>
          <w:tab w:val="left" w:pos="1080"/>
          <w:tab w:val="left" w:pos="1680"/>
        </w:tabs>
        <w:snapToGrid w:val="0"/>
        <w:spacing w:line="360" w:lineRule="auto"/>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针对安全物理环境</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安全通信网络</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安全计算环境</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安全建设管理</w:t>
      </w:r>
      <w:r>
        <w:rPr>
          <w:rFonts w:hint="eastAsia"/>
          <w:color w:val="auto"/>
          <w:sz w:val="24"/>
          <w:szCs w:val="24"/>
          <w:highlight w:val="none"/>
          <w:lang w:eastAsia="zh-CN"/>
        </w:rPr>
        <w:t>、</w:t>
      </w:r>
      <w:r>
        <w:rPr>
          <w:rFonts w:hint="eastAsia" w:ascii="Times New Roman" w:hAnsi="Times New Roman" w:eastAsia="宋体"/>
          <w:color w:val="auto"/>
          <w:sz w:val="24"/>
          <w:szCs w:val="24"/>
          <w:highlight w:val="none"/>
        </w:rPr>
        <w:t>安全运维管理</w:t>
      </w:r>
      <w:r>
        <w:rPr>
          <w:rFonts w:hint="eastAsia"/>
          <w:color w:val="auto"/>
          <w:sz w:val="24"/>
          <w:szCs w:val="24"/>
          <w:highlight w:val="none"/>
          <w:lang w:val="en-US" w:eastAsia="zh-CN"/>
        </w:rPr>
        <w:t>等方面开展测评</w:t>
      </w:r>
      <w:r>
        <w:rPr>
          <w:rFonts w:hint="eastAsia" w:ascii="Times New Roman" w:hAnsi="Times New Roman" w:eastAsia="宋体"/>
          <w:color w:val="auto"/>
          <w:sz w:val="24"/>
          <w:szCs w:val="24"/>
          <w:highlight w:val="none"/>
        </w:rPr>
        <w:t>。</w:t>
      </w:r>
      <w:bookmarkEnd w:id="21"/>
      <w:bookmarkEnd w:id="23"/>
    </w:p>
    <w:p>
      <w:pPr>
        <w:numPr>
          <w:ilvl w:val="0"/>
          <w:numId w:val="2"/>
        </w:numPr>
        <w:spacing w:line="360" w:lineRule="auto"/>
        <w:outlineLvl w:val="0"/>
        <w:rPr>
          <w:rFonts w:ascii="Times New Roman" w:hAnsi="Times New Roman" w:eastAsia="宋体"/>
          <w:b/>
          <w:color w:val="auto"/>
          <w:sz w:val="24"/>
          <w:szCs w:val="24"/>
          <w:highlight w:val="none"/>
        </w:rPr>
      </w:pPr>
      <w:bookmarkStart w:id="49" w:name="_Toc1508"/>
      <w:bookmarkStart w:id="50" w:name="_Toc6721"/>
      <w:bookmarkStart w:id="51" w:name="_Toc311015406"/>
      <w:r>
        <w:rPr>
          <w:rFonts w:hint="eastAsia" w:ascii="Times New Roman" w:hAnsi="Times New Roman" w:eastAsia="宋体"/>
          <w:b/>
          <w:color w:val="auto"/>
          <w:sz w:val="24"/>
          <w:szCs w:val="24"/>
          <w:highlight w:val="none"/>
          <w:lang w:eastAsia="zh-CN"/>
        </w:rPr>
        <w:t>项目</w:t>
      </w:r>
      <w:r>
        <w:rPr>
          <w:rFonts w:hint="eastAsia" w:ascii="Times New Roman" w:hAnsi="Times New Roman" w:eastAsia="宋体"/>
          <w:b/>
          <w:color w:val="auto"/>
          <w:sz w:val="24"/>
          <w:szCs w:val="24"/>
          <w:highlight w:val="none"/>
        </w:rPr>
        <w:t>管理</w:t>
      </w:r>
      <w:bookmarkEnd w:id="49"/>
      <w:bookmarkEnd w:id="50"/>
      <w:bookmarkEnd w:id="51"/>
    </w:p>
    <w:p>
      <w:pPr>
        <w:numPr>
          <w:ilvl w:val="1"/>
          <w:numId w:val="2"/>
        </w:numPr>
        <w:spacing w:line="360" w:lineRule="auto"/>
        <w:outlineLvl w:val="1"/>
        <w:rPr>
          <w:rFonts w:hint="eastAsia" w:ascii="Times New Roman" w:hAnsi="Times New Roman" w:eastAsia="宋体"/>
          <w:b/>
          <w:color w:val="auto"/>
          <w:sz w:val="24"/>
          <w:szCs w:val="24"/>
          <w:highlight w:val="none"/>
          <w:lang w:eastAsia="zh-CN"/>
        </w:rPr>
      </w:pPr>
      <w:bookmarkStart w:id="52" w:name="_Toc2748"/>
      <w:r>
        <w:rPr>
          <w:rFonts w:hint="eastAsia" w:ascii="Times New Roman" w:hAnsi="Times New Roman" w:eastAsia="宋体"/>
          <w:b/>
          <w:color w:val="auto"/>
          <w:sz w:val="24"/>
          <w:szCs w:val="24"/>
          <w:highlight w:val="none"/>
          <w:lang w:eastAsia="zh-CN"/>
        </w:rPr>
        <w:t>时间要求</w:t>
      </w:r>
      <w:bookmarkEnd w:id="52"/>
    </w:p>
    <w:p>
      <w:pPr>
        <w:keepNext w:val="0"/>
        <w:keepLines w:val="0"/>
        <w:pageBreakBefore w:val="0"/>
        <w:widowControl w:val="0"/>
        <w:kinsoku/>
        <w:wordWrap/>
        <w:overflowPunct w:val="0"/>
        <w:topLinePunct/>
        <w:autoSpaceDE/>
        <w:autoSpaceDN/>
        <w:bidi w:val="0"/>
        <w:adjustRightInd/>
        <w:snapToGrid w:val="0"/>
        <w:spacing w:line="360" w:lineRule="auto"/>
        <w:ind w:left="0" w:firstLine="480" w:firstLineChars="200"/>
        <w:textAlignment w:val="auto"/>
        <w:outlineLvl w:val="9"/>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本项目的进度要求如下：</w:t>
      </w:r>
    </w:p>
    <w:p>
      <w:pPr>
        <w:keepNext w:val="0"/>
        <w:keepLines w:val="0"/>
        <w:pageBreakBefore w:val="0"/>
        <w:widowControl w:val="0"/>
        <w:kinsoku/>
        <w:wordWrap/>
        <w:overflowPunct w:val="0"/>
        <w:topLinePunct/>
        <w:autoSpaceDE/>
        <w:autoSpaceDN/>
        <w:bidi w:val="0"/>
        <w:adjustRightInd/>
        <w:snapToGrid w:val="0"/>
        <w:spacing w:line="360" w:lineRule="auto"/>
        <w:ind w:left="0" w:firstLine="480" w:firstLineChars="200"/>
        <w:textAlignment w:val="auto"/>
        <w:outlineLvl w:val="9"/>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投标方</w:t>
      </w:r>
      <w:r>
        <w:rPr>
          <w:rFonts w:hint="eastAsia" w:ascii="Times New Roman" w:hAnsi="Times New Roman" w:eastAsia="宋体" w:cs="Times New Roman"/>
          <w:color w:val="auto"/>
          <w:sz w:val="24"/>
          <w:szCs w:val="24"/>
          <w:highlight w:val="none"/>
          <w:lang w:eastAsia="zh-CN"/>
        </w:rPr>
        <w:t>必须按要求，自合同签订之日起</w:t>
      </w:r>
      <w:r>
        <w:rPr>
          <w:rFonts w:hint="eastAsia" w:cs="Times New Roman"/>
          <w:color w:val="auto"/>
          <w:sz w:val="24"/>
          <w:szCs w:val="24"/>
          <w:highlight w:val="none"/>
          <w:lang w:val="en-US" w:eastAsia="zh-CN"/>
        </w:rPr>
        <w:t>6个月内</w:t>
      </w:r>
      <w:r>
        <w:rPr>
          <w:rFonts w:hint="eastAsia" w:ascii="Times New Roman" w:hAnsi="Times New Roman" w:eastAsia="宋体" w:cs="Times New Roman"/>
          <w:color w:val="auto"/>
          <w:sz w:val="24"/>
          <w:szCs w:val="24"/>
          <w:highlight w:val="none"/>
          <w:lang w:val="en-US" w:eastAsia="zh-CN"/>
        </w:rPr>
        <w:t>完成</w:t>
      </w:r>
      <w:r>
        <w:rPr>
          <w:rFonts w:hint="eastAsia" w:ascii="Times New Roman" w:hAnsi="Times New Roman" w:eastAsia="宋体" w:cs="Times New Roman"/>
          <w:color w:val="auto"/>
          <w:sz w:val="24"/>
          <w:szCs w:val="24"/>
          <w:highlight w:val="none"/>
        </w:rPr>
        <w:t>项目竣工验收</w:t>
      </w:r>
      <w:r>
        <w:rPr>
          <w:rFonts w:hint="eastAsia" w:ascii="Times New Roman" w:hAnsi="Times New Roman" w:eastAsia="宋体" w:cs="Times New Roman"/>
          <w:color w:val="auto"/>
          <w:sz w:val="24"/>
          <w:szCs w:val="24"/>
          <w:highlight w:val="none"/>
          <w:lang w:val="en-US" w:eastAsia="zh-CN"/>
        </w:rPr>
        <w:t>。</w:t>
      </w:r>
    </w:p>
    <w:p>
      <w:pPr>
        <w:numPr>
          <w:ilvl w:val="1"/>
          <w:numId w:val="2"/>
        </w:numPr>
        <w:spacing w:line="360" w:lineRule="auto"/>
        <w:outlineLvl w:val="1"/>
        <w:rPr>
          <w:rFonts w:ascii="Times New Roman" w:hAnsi="Times New Roman" w:eastAsia="宋体"/>
          <w:b/>
          <w:color w:val="auto"/>
          <w:sz w:val="24"/>
          <w:szCs w:val="24"/>
          <w:highlight w:val="none"/>
        </w:rPr>
      </w:pPr>
      <w:bookmarkStart w:id="53" w:name="_Toc311015408"/>
      <w:bookmarkStart w:id="54" w:name="_Toc8517"/>
      <w:bookmarkStart w:id="55" w:name="_Toc17796"/>
      <w:r>
        <w:rPr>
          <w:rFonts w:hint="eastAsia" w:ascii="Times New Roman" w:hAnsi="Times New Roman" w:eastAsia="宋体"/>
          <w:b/>
          <w:color w:val="auto"/>
          <w:sz w:val="24"/>
          <w:szCs w:val="24"/>
          <w:highlight w:val="none"/>
        </w:rPr>
        <w:t>项目验收</w:t>
      </w:r>
      <w:bookmarkEnd w:id="53"/>
      <w:bookmarkEnd w:id="54"/>
      <w:bookmarkEnd w:id="55"/>
    </w:p>
    <w:p>
      <w:pPr>
        <w:keepNext w:val="0"/>
        <w:keepLines w:val="0"/>
        <w:pageBreakBefore w:val="0"/>
        <w:widowControl w:val="0"/>
        <w:kinsoku/>
        <w:wordWrap/>
        <w:overflowPunct w:val="0"/>
        <w:topLinePunct/>
        <w:autoSpaceDE/>
        <w:autoSpaceDN/>
        <w:bidi w:val="0"/>
        <w:adjustRightInd/>
        <w:snapToGrid w:val="0"/>
        <w:spacing w:line="360" w:lineRule="auto"/>
        <w:ind w:left="0" w:firstLine="480" w:firstLineChars="200"/>
        <w:textAlignment w:val="auto"/>
        <w:outlineLvl w:val="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验收应按照招标方确认的验收</w:t>
      </w:r>
      <w:r>
        <w:rPr>
          <w:rFonts w:hint="eastAsia"/>
          <w:color w:val="auto"/>
          <w:sz w:val="24"/>
          <w:szCs w:val="24"/>
          <w:highlight w:val="none"/>
          <w:lang w:val="en-US" w:eastAsia="zh-CN"/>
        </w:rPr>
        <w:t>要求</w:t>
      </w:r>
      <w:r>
        <w:rPr>
          <w:rFonts w:hint="eastAsia" w:ascii="Times New Roman" w:hAnsi="Times New Roman" w:eastAsia="宋体"/>
          <w:color w:val="auto"/>
          <w:sz w:val="24"/>
          <w:szCs w:val="24"/>
          <w:highlight w:val="none"/>
        </w:rPr>
        <w:t>进行。</w:t>
      </w:r>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网络安全等级保护测评</w:t>
      </w:r>
      <w:r>
        <w:rPr>
          <w:rFonts w:ascii="Times New Roman" w:hAnsi="Times New Roman" w:eastAsia="宋体" w:cs="宋体"/>
          <w:color w:val="auto"/>
          <w:sz w:val="24"/>
          <w:szCs w:val="24"/>
          <w:highlight w:val="none"/>
        </w:rPr>
        <w:t>项目目标是输出</w:t>
      </w:r>
      <w:r>
        <w:rPr>
          <w:rFonts w:hint="eastAsia" w:ascii="Times New Roman" w:hAnsi="Times New Roman" w:eastAsia="宋体" w:cs="宋体"/>
          <w:color w:val="auto"/>
          <w:sz w:val="24"/>
          <w:szCs w:val="24"/>
          <w:highlight w:val="none"/>
          <w:lang w:eastAsia="zh-CN"/>
        </w:rPr>
        <w:t>网络安全等级保护测评</w:t>
      </w:r>
      <w:r>
        <w:rPr>
          <w:rFonts w:ascii="Times New Roman" w:hAnsi="Times New Roman" w:eastAsia="宋体" w:cs="宋体"/>
          <w:color w:val="auto"/>
          <w:sz w:val="24"/>
          <w:szCs w:val="24"/>
          <w:highlight w:val="none"/>
        </w:rPr>
        <w:t>报告，该项目将产生一定数量的文档。</w:t>
      </w:r>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投标</w:t>
      </w:r>
      <w:r>
        <w:rPr>
          <w:rFonts w:ascii="Times New Roman" w:hAnsi="Times New Roman" w:eastAsia="宋体" w:cs="宋体"/>
          <w:color w:val="auto"/>
          <w:sz w:val="24"/>
          <w:szCs w:val="24"/>
          <w:highlight w:val="none"/>
        </w:rPr>
        <w:t>方应对所有正式交付件的综合质量审查负责，指定各交付件的相关责任人，明确相关职责。</w:t>
      </w:r>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投标方</w:t>
      </w:r>
      <w:r>
        <w:rPr>
          <w:rFonts w:ascii="Times New Roman" w:hAnsi="Times New Roman" w:eastAsia="宋体" w:cs="宋体"/>
          <w:color w:val="auto"/>
          <w:sz w:val="24"/>
          <w:szCs w:val="24"/>
          <w:highlight w:val="none"/>
        </w:rPr>
        <w:t>应提交验收流程、验收方法和验收依据。</w:t>
      </w:r>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投标方</w:t>
      </w:r>
      <w:r>
        <w:rPr>
          <w:rFonts w:ascii="Times New Roman" w:hAnsi="Times New Roman" w:eastAsia="宋体" w:cs="宋体"/>
          <w:color w:val="auto"/>
          <w:sz w:val="24"/>
          <w:szCs w:val="24"/>
          <w:highlight w:val="none"/>
        </w:rPr>
        <w:t>应提供交付件归档办法和方式。</w:t>
      </w:r>
    </w:p>
    <w:p>
      <w:pPr>
        <w:numPr>
          <w:ilvl w:val="1"/>
          <w:numId w:val="2"/>
        </w:numPr>
        <w:spacing w:line="360" w:lineRule="auto"/>
        <w:outlineLvl w:val="1"/>
        <w:rPr>
          <w:rFonts w:ascii="Times New Roman" w:hAnsi="Times New Roman" w:eastAsia="宋体"/>
          <w:b/>
          <w:color w:val="auto"/>
          <w:sz w:val="24"/>
          <w:szCs w:val="24"/>
          <w:highlight w:val="none"/>
        </w:rPr>
      </w:pPr>
      <w:bookmarkStart w:id="56" w:name="_Toc311015409"/>
      <w:bookmarkStart w:id="57" w:name="_Toc1029"/>
      <w:bookmarkStart w:id="58" w:name="_Toc19956"/>
      <w:r>
        <w:rPr>
          <w:rFonts w:hint="eastAsia" w:ascii="Times New Roman" w:hAnsi="Times New Roman" w:eastAsia="宋体"/>
          <w:b/>
          <w:color w:val="auto"/>
          <w:sz w:val="24"/>
          <w:szCs w:val="24"/>
          <w:highlight w:val="none"/>
        </w:rPr>
        <w:t>项目文档</w:t>
      </w:r>
      <w:bookmarkEnd w:id="56"/>
      <w:bookmarkEnd w:id="57"/>
      <w:bookmarkEnd w:id="58"/>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hint="eastAsia" w:ascii="Times New Roman" w:hAnsi="Times New Roman" w:eastAsia="宋体" w:cs="宋体"/>
          <w:color w:val="auto"/>
          <w:sz w:val="24"/>
          <w:szCs w:val="24"/>
          <w:highlight w:val="none"/>
          <w:lang w:eastAsia="zh-CN"/>
        </w:rPr>
      </w:pPr>
      <w:bookmarkStart w:id="59" w:name="_Toc8390"/>
      <w:r>
        <w:rPr>
          <w:rFonts w:hint="eastAsia" w:ascii="Times New Roman" w:hAnsi="Times New Roman" w:eastAsia="宋体" w:cs="宋体"/>
          <w:color w:val="auto"/>
          <w:sz w:val="24"/>
          <w:szCs w:val="24"/>
          <w:highlight w:val="none"/>
          <w:lang w:eastAsia="zh-CN"/>
        </w:rPr>
        <w:t>投标方提供的资料应使用国际单位制（SI），语言为中文。</w:t>
      </w:r>
      <w:bookmarkEnd w:id="59"/>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hint="eastAsia" w:ascii="Times New Roman" w:hAnsi="Times New Roman" w:eastAsia="宋体" w:cs="宋体"/>
          <w:color w:val="auto"/>
          <w:sz w:val="24"/>
          <w:szCs w:val="24"/>
          <w:highlight w:val="none"/>
          <w:lang w:eastAsia="zh-CN"/>
        </w:rPr>
      </w:pPr>
      <w:bookmarkStart w:id="60" w:name="_Toc4211"/>
      <w:r>
        <w:rPr>
          <w:rFonts w:hint="eastAsia" w:ascii="Times New Roman" w:hAnsi="Times New Roman" w:eastAsia="宋体" w:cs="宋体"/>
          <w:color w:val="auto"/>
          <w:sz w:val="24"/>
          <w:szCs w:val="24"/>
          <w:highlight w:val="none"/>
          <w:lang w:eastAsia="zh-CN"/>
        </w:rPr>
        <w:t>资料的组织结构清晰、逻辑性强。资料内容要正确、准确、一致、清晰完整。如所供资料不能达到要求时，投标方应免费给予补充。</w:t>
      </w:r>
      <w:bookmarkEnd w:id="60"/>
    </w:p>
    <w:p>
      <w:pPr>
        <w:keepNext w:val="0"/>
        <w:keepLines w:val="0"/>
        <w:pageBreakBefore w:val="0"/>
        <w:widowControl w:val="0"/>
        <w:numPr>
          <w:ilvl w:val="0"/>
          <w:numId w:val="3"/>
        </w:numPr>
        <w:kinsoku/>
        <w:wordWrap/>
        <w:autoSpaceDE/>
        <w:autoSpaceDN/>
        <w:bidi w:val="0"/>
        <w:adjustRightInd/>
        <w:spacing w:line="360" w:lineRule="auto"/>
        <w:ind w:left="0" w:firstLine="480" w:firstLineChars="200"/>
        <w:textAlignment w:val="auto"/>
        <w:outlineLvl w:val="9"/>
        <w:rPr>
          <w:rFonts w:hint="eastAsia" w:ascii="Times New Roman" w:hAnsi="Times New Roman" w:eastAsia="宋体" w:cs="宋体"/>
          <w:color w:val="auto"/>
          <w:sz w:val="24"/>
          <w:szCs w:val="24"/>
          <w:highlight w:val="none"/>
          <w:lang w:eastAsia="zh-CN"/>
        </w:rPr>
      </w:pPr>
      <w:bookmarkStart w:id="61" w:name="_Toc28882"/>
      <w:r>
        <w:rPr>
          <w:rFonts w:hint="eastAsia" w:ascii="Times New Roman" w:hAnsi="Times New Roman" w:eastAsia="宋体" w:cs="宋体"/>
          <w:color w:val="auto"/>
          <w:sz w:val="24"/>
          <w:szCs w:val="24"/>
          <w:highlight w:val="none"/>
          <w:lang w:eastAsia="zh-CN"/>
        </w:rPr>
        <w:t>投标方资料的提交应及时充分，满足项目进度要求。</w:t>
      </w:r>
      <w:bookmarkEnd w:id="61"/>
    </w:p>
    <w:p>
      <w:pPr>
        <w:numPr>
          <w:ilvl w:val="1"/>
          <w:numId w:val="2"/>
        </w:numPr>
        <w:spacing w:line="360" w:lineRule="auto"/>
        <w:outlineLvl w:val="1"/>
        <w:rPr>
          <w:rFonts w:ascii="Times New Roman" w:hAnsi="Times New Roman" w:eastAsia="宋体"/>
          <w:b/>
          <w:color w:val="auto"/>
          <w:sz w:val="24"/>
          <w:szCs w:val="24"/>
          <w:highlight w:val="none"/>
        </w:rPr>
      </w:pPr>
      <w:bookmarkStart w:id="62" w:name="_Toc12800"/>
      <w:bookmarkStart w:id="63" w:name="_Toc311015410"/>
      <w:bookmarkStart w:id="64" w:name="_Toc32247"/>
      <w:r>
        <w:rPr>
          <w:rFonts w:hint="eastAsia" w:ascii="Times New Roman" w:hAnsi="Times New Roman" w:eastAsia="宋体"/>
          <w:b/>
          <w:color w:val="auto"/>
          <w:sz w:val="24"/>
          <w:szCs w:val="24"/>
          <w:highlight w:val="none"/>
        </w:rPr>
        <w:t>质量保证</w:t>
      </w:r>
      <w:bookmarkEnd w:id="62"/>
      <w:bookmarkEnd w:id="63"/>
      <w:bookmarkEnd w:id="64"/>
    </w:p>
    <w:p>
      <w:pPr>
        <w:keepNext w:val="0"/>
        <w:keepLines w:val="0"/>
        <w:pageBreakBefore w:val="0"/>
        <w:widowControl w:val="0"/>
        <w:kinsoku/>
        <w:wordWrap/>
        <w:overflowPunct w:val="0"/>
        <w:topLinePunct/>
        <w:autoSpaceDE/>
        <w:autoSpaceDN/>
        <w:bidi w:val="0"/>
        <w:adjustRightInd/>
        <w:snapToGrid w:val="0"/>
        <w:spacing w:line="360" w:lineRule="auto"/>
        <w:ind w:firstLine="480" w:firstLineChars="200"/>
        <w:textAlignment w:val="auto"/>
        <w:outlineLvl w:val="9"/>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投标方在项目方案设计、实施、验收的各个阶段，均应满足</w:t>
      </w:r>
      <w:r>
        <w:rPr>
          <w:rFonts w:hint="eastAsia" w:ascii="Times New Roman" w:hAnsi="Times New Roman" w:eastAsia="宋体"/>
          <w:color w:val="auto"/>
          <w:sz w:val="24"/>
          <w:szCs w:val="24"/>
          <w:highlight w:val="none"/>
          <w:lang w:eastAsia="zh-CN"/>
        </w:rPr>
        <w:t>国家及行业网络安全等级保护测评的相关标准规范要求</w:t>
      </w:r>
      <w:r>
        <w:rPr>
          <w:rFonts w:hint="eastAsia" w:ascii="Times New Roman" w:hAnsi="Times New Roman" w:eastAsia="宋体"/>
          <w:color w:val="auto"/>
          <w:sz w:val="24"/>
          <w:szCs w:val="24"/>
          <w:highlight w:val="none"/>
        </w:rPr>
        <w:t>。</w:t>
      </w:r>
    </w:p>
    <w:p>
      <w:pPr>
        <w:numPr>
          <w:ilvl w:val="1"/>
          <w:numId w:val="2"/>
        </w:numPr>
        <w:spacing w:line="360" w:lineRule="auto"/>
        <w:outlineLvl w:val="1"/>
        <w:rPr>
          <w:rFonts w:ascii="Times New Roman" w:hAnsi="Times New Roman" w:eastAsia="宋体"/>
          <w:b/>
          <w:color w:val="auto"/>
          <w:sz w:val="24"/>
          <w:szCs w:val="24"/>
          <w:highlight w:val="none"/>
        </w:rPr>
      </w:pPr>
      <w:bookmarkStart w:id="65" w:name="_Toc22125"/>
      <w:bookmarkStart w:id="66" w:name="_Toc22195"/>
      <w:bookmarkStart w:id="67" w:name="_Toc311015411"/>
      <w:r>
        <w:rPr>
          <w:rFonts w:hint="eastAsia" w:ascii="Times New Roman" w:hAnsi="Times New Roman" w:eastAsia="宋体"/>
          <w:b/>
          <w:color w:val="auto"/>
          <w:sz w:val="24"/>
          <w:szCs w:val="24"/>
          <w:highlight w:val="none"/>
        </w:rPr>
        <w:t>保密要求</w:t>
      </w:r>
      <w:bookmarkEnd w:id="65"/>
      <w:bookmarkEnd w:id="66"/>
      <w:bookmarkEnd w:id="67"/>
    </w:p>
    <w:p>
      <w:pPr>
        <w:keepNext w:val="0"/>
        <w:keepLines w:val="0"/>
        <w:pageBreakBefore w:val="0"/>
        <w:widowControl w:val="0"/>
        <w:kinsoku/>
        <w:wordWrap/>
        <w:overflowPunct w:val="0"/>
        <w:topLinePunct/>
        <w:autoSpaceDE/>
        <w:autoSpaceDN/>
        <w:bidi w:val="0"/>
        <w:adjustRightInd/>
        <w:snapToGrid w:val="0"/>
        <w:spacing w:line="360" w:lineRule="auto"/>
        <w:ind w:firstLine="480" w:firstLineChars="200"/>
        <w:textAlignment w:val="auto"/>
        <w:outlineLvl w:val="9"/>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项目实施方应与招标方签订保密协议，对</w:t>
      </w:r>
      <w:r>
        <w:rPr>
          <w:rFonts w:hint="eastAsia" w:ascii="Times New Roman" w:hAnsi="Times New Roman" w:eastAsia="宋体"/>
          <w:color w:val="auto"/>
          <w:sz w:val="24"/>
          <w:szCs w:val="24"/>
          <w:highlight w:val="none"/>
          <w:lang w:eastAsia="zh-CN"/>
        </w:rPr>
        <w:t>项目实施</w:t>
      </w:r>
      <w:r>
        <w:rPr>
          <w:rFonts w:hint="eastAsia" w:ascii="Times New Roman" w:hAnsi="Times New Roman" w:eastAsia="宋体"/>
          <w:color w:val="auto"/>
          <w:sz w:val="24"/>
          <w:szCs w:val="24"/>
          <w:highlight w:val="none"/>
        </w:rPr>
        <w:t>过程</w:t>
      </w:r>
      <w:r>
        <w:rPr>
          <w:rFonts w:hint="eastAsia" w:ascii="Times New Roman" w:hAnsi="Times New Roman" w:eastAsia="宋体"/>
          <w:color w:val="auto"/>
          <w:sz w:val="24"/>
          <w:szCs w:val="24"/>
          <w:highlight w:val="none"/>
          <w:lang w:eastAsia="zh-CN"/>
        </w:rPr>
        <w:t>中的</w:t>
      </w:r>
      <w:r>
        <w:rPr>
          <w:rFonts w:hint="eastAsia" w:ascii="Times New Roman" w:hAnsi="Times New Roman" w:eastAsia="宋体"/>
          <w:color w:val="auto"/>
          <w:sz w:val="24"/>
          <w:szCs w:val="24"/>
          <w:highlight w:val="none"/>
        </w:rPr>
        <w:t>数据和结果数据严格保密，未经授权不得泄露给任何</w:t>
      </w:r>
      <w:r>
        <w:rPr>
          <w:rFonts w:hint="eastAsia" w:ascii="Times New Roman" w:hAnsi="Times New Roman" w:eastAsia="宋体"/>
          <w:color w:val="auto"/>
          <w:sz w:val="24"/>
          <w:szCs w:val="24"/>
          <w:highlight w:val="none"/>
          <w:lang w:eastAsia="zh-CN"/>
        </w:rPr>
        <w:t>第三方</w:t>
      </w:r>
      <w:r>
        <w:rPr>
          <w:rFonts w:hint="eastAsia" w:ascii="Times New Roman" w:hAnsi="Times New Roman" w:eastAsia="宋体"/>
          <w:color w:val="auto"/>
          <w:sz w:val="24"/>
          <w:szCs w:val="24"/>
          <w:highlight w:val="none"/>
        </w:rPr>
        <w:t>单位和个人，不得利用此数据侵害招标方的权益，否则招标方有权追究投标方的责任。</w:t>
      </w:r>
    </w:p>
    <w:p>
      <w:pPr>
        <w:numPr>
          <w:ilvl w:val="0"/>
          <w:numId w:val="2"/>
        </w:numPr>
        <w:spacing w:line="360" w:lineRule="auto"/>
        <w:outlineLvl w:val="0"/>
        <w:rPr>
          <w:rFonts w:hint="eastAsia" w:ascii="Times New Roman" w:hAnsi="Times New Roman" w:eastAsia="宋体" w:cs="Times New Roman"/>
          <w:b/>
          <w:color w:val="auto"/>
          <w:sz w:val="24"/>
          <w:szCs w:val="24"/>
          <w:highlight w:val="none"/>
          <w:lang w:eastAsia="zh-CN"/>
        </w:rPr>
      </w:pPr>
      <w:bookmarkStart w:id="68" w:name="_Toc23365"/>
      <w:r>
        <w:rPr>
          <w:rFonts w:hint="eastAsia" w:ascii="Times New Roman" w:hAnsi="Times New Roman" w:eastAsia="宋体" w:cs="Times New Roman"/>
          <w:b/>
          <w:color w:val="auto"/>
          <w:sz w:val="24"/>
          <w:szCs w:val="24"/>
          <w:highlight w:val="none"/>
          <w:lang w:eastAsia="zh-CN"/>
        </w:rPr>
        <w:t>售后服务和技术支持</w:t>
      </w:r>
      <w:bookmarkEnd w:id="68"/>
    </w:p>
    <w:p>
      <w:pPr>
        <w:pStyle w:val="59"/>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在项目开始到完成验收</w:t>
      </w:r>
      <w:r>
        <w:rPr>
          <w:rFonts w:hint="eastAsia" w:ascii="宋体" w:hAnsi="宋体" w:cs="宋体"/>
          <w:sz w:val="24"/>
          <w:szCs w:val="24"/>
          <w:lang w:val="en-US" w:eastAsia="zh-CN"/>
        </w:rPr>
        <w:t>期间</w:t>
      </w:r>
      <w:r>
        <w:rPr>
          <w:rFonts w:hint="eastAsia" w:ascii="宋体" w:hAnsi="宋体" w:eastAsia="宋体" w:cs="宋体"/>
          <w:sz w:val="24"/>
          <w:szCs w:val="24"/>
          <w:lang w:val="en-US" w:eastAsia="zh-CN"/>
        </w:rPr>
        <w:t>内，如遇到现场问题需要</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技术支持，提供以下售后服务：</w:t>
      </w:r>
    </w:p>
    <w:p>
      <w:pPr>
        <w:pStyle w:val="59"/>
        <w:numPr>
          <w:ilvl w:val="0"/>
          <w:numId w:val="4"/>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远程处理。</w:t>
      </w:r>
      <w:r>
        <w:rPr>
          <w:rFonts w:hint="eastAsia" w:ascii="宋体" w:hAnsi="宋体" w:cs="宋体"/>
          <w:sz w:val="24"/>
          <w:szCs w:val="24"/>
          <w:lang w:val="en-US" w:eastAsia="zh-CN"/>
        </w:rPr>
        <w:t>招标人</w:t>
      </w:r>
      <w:r>
        <w:rPr>
          <w:rFonts w:hint="eastAsia" w:ascii="宋体" w:hAnsi="宋体" w:eastAsia="宋体" w:cs="宋体"/>
          <w:sz w:val="24"/>
          <w:szCs w:val="24"/>
          <w:lang w:val="en-US" w:eastAsia="zh-CN"/>
        </w:rPr>
        <w:t>在需要技术咨询时，可以通过电话（周一至周日7×24小时）、邮件等方法寻求支持，</w:t>
      </w:r>
      <w:r>
        <w:rPr>
          <w:rFonts w:hint="eastAsia" w:ascii="宋体" w:hAnsi="宋体" w:cs="宋体"/>
          <w:sz w:val="24"/>
          <w:szCs w:val="24"/>
          <w:lang w:val="en-US" w:eastAsia="zh-CN"/>
        </w:rPr>
        <w:t>投标人须</w:t>
      </w:r>
      <w:r>
        <w:rPr>
          <w:rFonts w:hint="eastAsia" w:ascii="宋体" w:hAnsi="宋体" w:eastAsia="宋体" w:cs="宋体"/>
          <w:sz w:val="24"/>
          <w:szCs w:val="24"/>
          <w:lang w:val="en-US" w:eastAsia="zh-CN"/>
        </w:rPr>
        <w:t>保证技术咨询电话24小时保持畅通。在收到请求后30分钟内响应，无偿提供相应的技术支持服务。</w:t>
      </w:r>
    </w:p>
    <w:p>
      <w:pPr>
        <w:pStyle w:val="21"/>
        <w:spacing w:line="360" w:lineRule="auto"/>
        <w:ind w:left="0" w:leftChars="0" w:firstLine="480" w:firstLineChars="200"/>
        <w:rPr>
          <w:rFonts w:hint="eastAsia" w:ascii="Times New Roman" w:hAnsi="Times New Roman" w:eastAsia="宋体"/>
          <w:color w:val="auto"/>
          <w:sz w:val="24"/>
          <w:szCs w:val="24"/>
          <w:highlight w:val="none"/>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现场处理(现场服务)，</w:t>
      </w:r>
      <w:r>
        <w:rPr>
          <w:rFonts w:hint="eastAsia" w:ascii="宋体" w:hAnsi="宋体" w:cs="宋体"/>
          <w:sz w:val="24"/>
          <w:szCs w:val="24"/>
          <w:lang w:val="en-US" w:eastAsia="zh-CN"/>
        </w:rPr>
        <w:t>投标人应</w:t>
      </w:r>
      <w:r>
        <w:rPr>
          <w:rFonts w:hint="eastAsia" w:ascii="宋体" w:hAnsi="宋体" w:eastAsia="宋体" w:cs="宋体"/>
          <w:sz w:val="24"/>
          <w:szCs w:val="24"/>
          <w:lang w:val="en-US" w:eastAsia="zh-CN"/>
        </w:rPr>
        <w:t>具有本地化的服务支撑能力，对于通过远程无法解决的问题，</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会派遣服务人员前往用户现场提供技术支持，服务人员具备三年及以上相关工作经验，在收到请求后</w:t>
      </w:r>
      <w:r>
        <w:rPr>
          <w:rFonts w:hint="eastAsia" w:ascii="宋体" w:hAnsi="宋体" w:cs="宋体"/>
          <w:sz w:val="24"/>
          <w:szCs w:val="24"/>
          <w:lang w:val="en-US" w:eastAsia="zh-CN"/>
        </w:rPr>
        <w:t>半</w:t>
      </w:r>
      <w:r>
        <w:rPr>
          <w:rFonts w:hint="eastAsia" w:ascii="宋体" w:hAnsi="宋体" w:eastAsia="宋体" w:cs="宋体"/>
          <w:sz w:val="24"/>
          <w:szCs w:val="24"/>
          <w:lang w:val="en-US" w:eastAsia="zh-CN"/>
        </w:rPr>
        <w:t>小时响应，并保证</w:t>
      </w:r>
      <w:r>
        <w:rPr>
          <w:rFonts w:hint="eastAsia" w:ascii="宋体" w:hAnsi="宋体" w:cs="宋体"/>
          <w:sz w:val="24"/>
          <w:szCs w:val="24"/>
          <w:lang w:val="en-US" w:eastAsia="zh-CN"/>
        </w:rPr>
        <w:t>2小时</w:t>
      </w:r>
      <w:r>
        <w:rPr>
          <w:rFonts w:hint="eastAsia" w:ascii="宋体" w:hAnsi="宋体" w:eastAsia="宋体" w:cs="宋体"/>
          <w:sz w:val="24"/>
          <w:szCs w:val="24"/>
          <w:lang w:val="en-US" w:eastAsia="zh-CN"/>
        </w:rPr>
        <w:t>内到达现场无偿提供现场技术支持服务。</w:t>
      </w:r>
    </w:p>
    <w:p>
      <w:pPr>
        <w:pStyle w:val="21"/>
        <w:ind w:left="0" w:leftChars="0" w:firstLine="0" w:firstLineChars="0"/>
        <w:rPr>
          <w:rFonts w:hint="eastAsia" w:ascii="Times New Roman" w:hAnsi="Times New Roman" w:eastAsia="宋体"/>
          <w:color w:val="auto"/>
          <w:sz w:val="24"/>
          <w:szCs w:val="24"/>
          <w:highlight w:val="none"/>
          <w:lang w:eastAsia="zh-CN"/>
        </w:rPr>
      </w:pPr>
    </w:p>
    <w:sectPr>
      <w:pgSz w:w="11906" w:h="16838"/>
      <w:pgMar w:top="1440" w:right="1274" w:bottom="1440" w:left="1800" w:header="851" w:footer="992" w:gutter="0"/>
      <w:pgBorders>
        <w:top w:val="none" w:sz="0" w:space="0"/>
        <w:left w:val="none" w:sz="0" w:space="0"/>
        <w:bottom w:val="none" w:sz="0" w:space="0"/>
        <w:right w:val="none" w:sz="0" w:space="0"/>
      </w:pgBorders>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rPr>
      <w:t>2</w:t>
    </w:r>
    <w:r>
      <w:rPr>
        <w:rStyle w:val="25"/>
      </w:rPr>
      <w:fldChar w:fldCharType="end"/>
    </w:r>
  </w:p>
  <w:p>
    <w:pPr>
      <w:pStyle w:val="16"/>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sz w:val="18"/>
        <w:szCs w:val="18"/>
      </w:rPr>
    </w:pPr>
    <w:r>
      <w:rPr>
        <w:rFonts w:hint="eastAsia"/>
      </w:rPr>
      <w:t xml:space="preserve"> </w:t>
    </w:r>
    <w:r>
      <w:rPr>
        <w:rFonts w:hint="eastAsia" w:ascii="宋体" w:hAnsi="宋体"/>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76DBE"/>
    <w:multiLevelType w:val="multilevel"/>
    <w:tmpl w:val="01C76DBE"/>
    <w:lvl w:ilvl="0" w:tentative="0">
      <w:start w:val="1"/>
      <w:numFmt w:val="decimal"/>
      <w:lvlText w:val="%1"/>
      <w:lvlJc w:val="left"/>
      <w:pPr>
        <w:tabs>
          <w:tab w:val="left" w:pos="425"/>
        </w:tabs>
        <w:ind w:left="0" w:firstLine="0"/>
      </w:pPr>
      <w:rPr>
        <w:rFonts w:hint="default"/>
        <w:sz w:val="24"/>
        <w:szCs w:val="24"/>
      </w:rPr>
    </w:lvl>
    <w:lvl w:ilvl="1" w:tentative="0">
      <w:start w:val="1"/>
      <w:numFmt w:val="decimal"/>
      <w:lvlText w:val="%1.%2"/>
      <w:lvlJc w:val="left"/>
      <w:pPr>
        <w:tabs>
          <w:tab w:val="left" w:pos="567"/>
        </w:tabs>
        <w:ind w:left="567" w:hanging="567"/>
      </w:pPr>
      <w:rPr>
        <w:rFonts w:hint="eastAsia"/>
        <w:sz w:val="24"/>
      </w:rPr>
    </w:lvl>
    <w:lvl w:ilvl="2" w:tentative="0">
      <w:start w:val="1"/>
      <w:numFmt w:val="decimal"/>
      <w:lvlText w:val="%1.%2.%3"/>
      <w:lvlJc w:val="left"/>
      <w:pPr>
        <w:tabs>
          <w:tab w:val="left" w:pos="851"/>
        </w:tabs>
        <w:ind w:left="851" w:hanging="709"/>
      </w:pPr>
      <w:rPr>
        <w:rFonts w:hint="eastAsia"/>
        <w:b w:val="0"/>
        <w:sz w:val="24"/>
        <w:szCs w:val="24"/>
      </w:rPr>
    </w:lvl>
    <w:lvl w:ilvl="3" w:tentative="0">
      <w:start w:val="1"/>
      <w:numFmt w:val="decimal"/>
      <w:lvlText w:val="%1.%2.%3.%4"/>
      <w:lvlJc w:val="left"/>
      <w:pPr>
        <w:tabs>
          <w:tab w:val="left" w:pos="851"/>
        </w:tabs>
        <w:ind w:left="851" w:hanging="851"/>
      </w:pPr>
      <w:rPr>
        <w:rFonts w:hint="default" w:asciiTheme="minorEastAsia" w:hAnsiTheme="minorEastAsia" w:eastAsiaTheme="minorEastAsia"/>
        <w:b w:val="0"/>
        <w:i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2C8E742B"/>
    <w:multiLevelType w:val="multilevel"/>
    <w:tmpl w:val="2C8E742B"/>
    <w:lvl w:ilvl="0" w:tentative="0">
      <w:start w:val="1"/>
      <w:numFmt w:val="bullet"/>
      <w:lvlText w:val=""/>
      <w:lvlJc w:val="left"/>
      <w:pPr>
        <w:tabs>
          <w:tab w:val="left" w:pos="544"/>
        </w:tabs>
        <w:ind w:left="420" w:hanging="420"/>
      </w:pPr>
      <w:rPr>
        <w:rFonts w:hint="default" w:ascii="Wingdings" w:hAnsi="Wingdings"/>
      </w:rPr>
    </w:lvl>
    <w:lvl w:ilvl="1" w:tentative="0">
      <w:start w:val="1"/>
      <w:numFmt w:val="decimal"/>
      <w:lvlText w:val="%1.%2"/>
      <w:lvlJc w:val="left"/>
      <w:pPr>
        <w:tabs>
          <w:tab w:val="left" w:pos="567"/>
        </w:tabs>
        <w:ind w:left="567" w:hanging="567"/>
      </w:pPr>
      <w:rPr>
        <w:rFonts w:hint="default" w:ascii="Times New Roman" w:hAnsi="Times New Roman" w:cs="Times New Roman"/>
      </w:rPr>
    </w:lvl>
    <w:lvl w:ilvl="2" w:tentative="0">
      <w:start w:val="1"/>
      <w:numFmt w:val="decimal"/>
      <w:lvlText w:val="%1.%2.%3"/>
      <w:lvlJc w:val="left"/>
      <w:pPr>
        <w:tabs>
          <w:tab w:val="left" w:pos="709"/>
        </w:tabs>
        <w:ind w:left="709" w:hanging="709"/>
      </w:pPr>
      <w:rPr>
        <w:rFonts w:hint="default" w:ascii="Times New Roman" w:hAnsi="Times New Roman" w:cs="Times New Roman"/>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60CE2C45"/>
    <w:multiLevelType w:val="singleLevel"/>
    <w:tmpl w:val="60CE2C45"/>
    <w:lvl w:ilvl="0" w:tentative="0">
      <w:start w:val="1"/>
      <w:numFmt w:val="decimal"/>
      <w:suff w:val="nothing"/>
      <w:lvlText w:val="%1）"/>
      <w:lvlJc w:val="left"/>
    </w:lvl>
  </w:abstractNum>
  <w:abstractNum w:abstractNumId="3">
    <w:nsid w:val="6DD96184"/>
    <w:multiLevelType w:val="multilevel"/>
    <w:tmpl w:val="6DD96184"/>
    <w:lvl w:ilvl="0" w:tentative="0">
      <w:start w:val="1"/>
      <w:numFmt w:val="decimal"/>
      <w:pStyle w:val="36"/>
      <w:lvlText w:val="%1."/>
      <w:lvlJc w:val="left"/>
      <w:pPr>
        <w:ind w:left="425" w:hanging="425"/>
      </w:pPr>
      <w:rPr>
        <w:rFonts w:hint="eastAsia"/>
      </w:rPr>
    </w:lvl>
    <w:lvl w:ilvl="1" w:tentative="0">
      <w:start w:val="1"/>
      <w:numFmt w:val="decimal"/>
      <w:pStyle w:val="37"/>
      <w:lvlText w:val="%1.%2"/>
      <w:lvlJc w:val="left"/>
      <w:pPr>
        <w:ind w:left="454" w:hanging="454"/>
      </w:pPr>
      <w:rPr>
        <w:rFonts w:hint="eastAsia"/>
        <w:lang w:val="en-US"/>
      </w:rPr>
    </w:lvl>
    <w:lvl w:ilvl="2" w:tentative="0">
      <w:start w:val="1"/>
      <w:numFmt w:val="decimal"/>
      <w:pStyle w:val="38"/>
      <w:lvlText w:val="%1.%2.%3"/>
      <w:lvlJc w:val="left"/>
      <w:pPr>
        <w:ind w:left="425" w:firstLine="29"/>
      </w:pPr>
      <w:rPr>
        <w:rFonts w:hint="eastAsia"/>
        <w:lang w:val="en-US"/>
      </w:rPr>
    </w:lvl>
    <w:lvl w:ilvl="3" w:tentative="0">
      <w:start w:val="1"/>
      <w:numFmt w:val="decimal"/>
      <w:lvlText w:val="%1.%2.%3.%4"/>
      <w:lvlJc w:val="left"/>
      <w:pPr>
        <w:tabs>
          <w:tab w:val="left" w:pos="709"/>
        </w:tabs>
        <w:ind w:left="851" w:hanging="142"/>
      </w:pPr>
      <w:rPr>
        <w:rFonts w:hint="eastAsia"/>
      </w:rPr>
    </w:lvl>
    <w:lvl w:ilvl="4" w:tentative="0">
      <w:start w:val="1"/>
      <w:numFmt w:val="decimal"/>
      <w:lvlText w:val="%1.%2.%3.%4.%5"/>
      <w:lvlJc w:val="left"/>
      <w:pPr>
        <w:ind w:left="90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lNWQwY2NkNDMyODUwMjUxYzlhNDhjYThiMGUxMTYifQ=="/>
  </w:docVars>
  <w:rsids>
    <w:rsidRoot w:val="00172A27"/>
    <w:rsid w:val="000013EB"/>
    <w:rsid w:val="00003475"/>
    <w:rsid w:val="0000460D"/>
    <w:rsid w:val="00007746"/>
    <w:rsid w:val="00010075"/>
    <w:rsid w:val="000110D0"/>
    <w:rsid w:val="00011154"/>
    <w:rsid w:val="00011437"/>
    <w:rsid w:val="00012A7E"/>
    <w:rsid w:val="00013D8B"/>
    <w:rsid w:val="000156CD"/>
    <w:rsid w:val="00015879"/>
    <w:rsid w:val="0001606D"/>
    <w:rsid w:val="00016461"/>
    <w:rsid w:val="0002113A"/>
    <w:rsid w:val="000240D5"/>
    <w:rsid w:val="00024725"/>
    <w:rsid w:val="00024A38"/>
    <w:rsid w:val="00025361"/>
    <w:rsid w:val="00030A75"/>
    <w:rsid w:val="00031C9E"/>
    <w:rsid w:val="00031E81"/>
    <w:rsid w:val="0003272F"/>
    <w:rsid w:val="00033291"/>
    <w:rsid w:val="000337A4"/>
    <w:rsid w:val="00034944"/>
    <w:rsid w:val="00034FDD"/>
    <w:rsid w:val="000403BD"/>
    <w:rsid w:val="00040E9A"/>
    <w:rsid w:val="0004168C"/>
    <w:rsid w:val="00041A4E"/>
    <w:rsid w:val="00041F7E"/>
    <w:rsid w:val="00042996"/>
    <w:rsid w:val="000429FF"/>
    <w:rsid w:val="000434F5"/>
    <w:rsid w:val="00044638"/>
    <w:rsid w:val="00045513"/>
    <w:rsid w:val="00045B6F"/>
    <w:rsid w:val="00045C9E"/>
    <w:rsid w:val="0004667C"/>
    <w:rsid w:val="00050A38"/>
    <w:rsid w:val="000524CB"/>
    <w:rsid w:val="000528A4"/>
    <w:rsid w:val="00053C6A"/>
    <w:rsid w:val="00055CD9"/>
    <w:rsid w:val="00056BC5"/>
    <w:rsid w:val="00057D8D"/>
    <w:rsid w:val="00060FB6"/>
    <w:rsid w:val="0006238F"/>
    <w:rsid w:val="00062CEC"/>
    <w:rsid w:val="00063FA5"/>
    <w:rsid w:val="0006555B"/>
    <w:rsid w:val="0006697B"/>
    <w:rsid w:val="00066EFA"/>
    <w:rsid w:val="00067B38"/>
    <w:rsid w:val="000706AC"/>
    <w:rsid w:val="0007133B"/>
    <w:rsid w:val="0007311D"/>
    <w:rsid w:val="000739E9"/>
    <w:rsid w:val="00074A9D"/>
    <w:rsid w:val="00075CB6"/>
    <w:rsid w:val="000768AA"/>
    <w:rsid w:val="000851B8"/>
    <w:rsid w:val="00091918"/>
    <w:rsid w:val="00091AE2"/>
    <w:rsid w:val="00091E33"/>
    <w:rsid w:val="00092233"/>
    <w:rsid w:val="0009272E"/>
    <w:rsid w:val="000930CE"/>
    <w:rsid w:val="00093848"/>
    <w:rsid w:val="00093891"/>
    <w:rsid w:val="00094E2B"/>
    <w:rsid w:val="000A27BA"/>
    <w:rsid w:val="000A4515"/>
    <w:rsid w:val="000A51DD"/>
    <w:rsid w:val="000A58E4"/>
    <w:rsid w:val="000A6F6D"/>
    <w:rsid w:val="000B0BAD"/>
    <w:rsid w:val="000B3A39"/>
    <w:rsid w:val="000B4632"/>
    <w:rsid w:val="000B54EE"/>
    <w:rsid w:val="000B5533"/>
    <w:rsid w:val="000B73EA"/>
    <w:rsid w:val="000C0ECA"/>
    <w:rsid w:val="000C113B"/>
    <w:rsid w:val="000C255C"/>
    <w:rsid w:val="000C4174"/>
    <w:rsid w:val="000C4B0B"/>
    <w:rsid w:val="000C61E2"/>
    <w:rsid w:val="000C6BB3"/>
    <w:rsid w:val="000C7E67"/>
    <w:rsid w:val="000D0C5B"/>
    <w:rsid w:val="000D34AA"/>
    <w:rsid w:val="000D3A1C"/>
    <w:rsid w:val="000D3D21"/>
    <w:rsid w:val="000D585C"/>
    <w:rsid w:val="000D59AD"/>
    <w:rsid w:val="000D6E8B"/>
    <w:rsid w:val="000D772A"/>
    <w:rsid w:val="000D7AE0"/>
    <w:rsid w:val="000E01C5"/>
    <w:rsid w:val="000E0625"/>
    <w:rsid w:val="000E07CC"/>
    <w:rsid w:val="000E44D0"/>
    <w:rsid w:val="000E568C"/>
    <w:rsid w:val="000E6526"/>
    <w:rsid w:val="000E65E7"/>
    <w:rsid w:val="000E6E02"/>
    <w:rsid w:val="000E6FDB"/>
    <w:rsid w:val="000E7676"/>
    <w:rsid w:val="00100B3C"/>
    <w:rsid w:val="00100DA8"/>
    <w:rsid w:val="0010238A"/>
    <w:rsid w:val="00102BA6"/>
    <w:rsid w:val="00106EA6"/>
    <w:rsid w:val="00110617"/>
    <w:rsid w:val="001107B0"/>
    <w:rsid w:val="0011285E"/>
    <w:rsid w:val="00112EBD"/>
    <w:rsid w:val="00116AC2"/>
    <w:rsid w:val="001170D8"/>
    <w:rsid w:val="001217A7"/>
    <w:rsid w:val="00121AE3"/>
    <w:rsid w:val="00126076"/>
    <w:rsid w:val="001262D8"/>
    <w:rsid w:val="0013031A"/>
    <w:rsid w:val="00130425"/>
    <w:rsid w:val="0013347B"/>
    <w:rsid w:val="00133E11"/>
    <w:rsid w:val="00134E64"/>
    <w:rsid w:val="00135144"/>
    <w:rsid w:val="001354D4"/>
    <w:rsid w:val="00135FE8"/>
    <w:rsid w:val="001365D7"/>
    <w:rsid w:val="00137BCC"/>
    <w:rsid w:val="0014062A"/>
    <w:rsid w:val="00140B67"/>
    <w:rsid w:val="00141553"/>
    <w:rsid w:val="00142248"/>
    <w:rsid w:val="001430CA"/>
    <w:rsid w:val="00143680"/>
    <w:rsid w:val="00143FE9"/>
    <w:rsid w:val="00144244"/>
    <w:rsid w:val="001447A1"/>
    <w:rsid w:val="00146DA9"/>
    <w:rsid w:val="001478EA"/>
    <w:rsid w:val="00152A90"/>
    <w:rsid w:val="0015425B"/>
    <w:rsid w:val="00154ADD"/>
    <w:rsid w:val="00154EE3"/>
    <w:rsid w:val="001554EF"/>
    <w:rsid w:val="001555E1"/>
    <w:rsid w:val="0015618D"/>
    <w:rsid w:val="001575EE"/>
    <w:rsid w:val="00163366"/>
    <w:rsid w:val="001656A1"/>
    <w:rsid w:val="00165783"/>
    <w:rsid w:val="00165D7A"/>
    <w:rsid w:val="00170328"/>
    <w:rsid w:val="0017063E"/>
    <w:rsid w:val="0017130E"/>
    <w:rsid w:val="0017441D"/>
    <w:rsid w:val="00174F88"/>
    <w:rsid w:val="00175B02"/>
    <w:rsid w:val="00176661"/>
    <w:rsid w:val="00176A14"/>
    <w:rsid w:val="00177B23"/>
    <w:rsid w:val="00180790"/>
    <w:rsid w:val="00180D39"/>
    <w:rsid w:val="001824C3"/>
    <w:rsid w:val="00182CEF"/>
    <w:rsid w:val="001836E4"/>
    <w:rsid w:val="00184D70"/>
    <w:rsid w:val="00185B3E"/>
    <w:rsid w:val="001862E7"/>
    <w:rsid w:val="001878B6"/>
    <w:rsid w:val="00190FB8"/>
    <w:rsid w:val="001911C9"/>
    <w:rsid w:val="001911D1"/>
    <w:rsid w:val="0019197C"/>
    <w:rsid w:val="00192633"/>
    <w:rsid w:val="0019349A"/>
    <w:rsid w:val="00195CE6"/>
    <w:rsid w:val="00196C9A"/>
    <w:rsid w:val="00197CE8"/>
    <w:rsid w:val="001A0CE3"/>
    <w:rsid w:val="001A1FE3"/>
    <w:rsid w:val="001A213F"/>
    <w:rsid w:val="001A2D82"/>
    <w:rsid w:val="001A2E47"/>
    <w:rsid w:val="001A3B0D"/>
    <w:rsid w:val="001A4666"/>
    <w:rsid w:val="001A6E16"/>
    <w:rsid w:val="001A77A2"/>
    <w:rsid w:val="001B0882"/>
    <w:rsid w:val="001B0F4E"/>
    <w:rsid w:val="001B1669"/>
    <w:rsid w:val="001B1679"/>
    <w:rsid w:val="001B2151"/>
    <w:rsid w:val="001B27EC"/>
    <w:rsid w:val="001B4448"/>
    <w:rsid w:val="001B5FDB"/>
    <w:rsid w:val="001B6A0D"/>
    <w:rsid w:val="001C0536"/>
    <w:rsid w:val="001C2D2E"/>
    <w:rsid w:val="001C33BB"/>
    <w:rsid w:val="001C3492"/>
    <w:rsid w:val="001C35AE"/>
    <w:rsid w:val="001C5BC9"/>
    <w:rsid w:val="001C6212"/>
    <w:rsid w:val="001C7496"/>
    <w:rsid w:val="001C7FFC"/>
    <w:rsid w:val="001D1593"/>
    <w:rsid w:val="001D1A04"/>
    <w:rsid w:val="001D2F7B"/>
    <w:rsid w:val="001D49A1"/>
    <w:rsid w:val="001D5FF0"/>
    <w:rsid w:val="001D6F35"/>
    <w:rsid w:val="001E049F"/>
    <w:rsid w:val="001E177E"/>
    <w:rsid w:val="001E2018"/>
    <w:rsid w:val="001E2DCB"/>
    <w:rsid w:val="001E7AC0"/>
    <w:rsid w:val="001F0F8E"/>
    <w:rsid w:val="001F148D"/>
    <w:rsid w:val="001F1B56"/>
    <w:rsid w:val="001F4913"/>
    <w:rsid w:val="001F535A"/>
    <w:rsid w:val="001F6F39"/>
    <w:rsid w:val="001F7861"/>
    <w:rsid w:val="001F7B5B"/>
    <w:rsid w:val="00202517"/>
    <w:rsid w:val="00203088"/>
    <w:rsid w:val="00203E3B"/>
    <w:rsid w:val="0020537D"/>
    <w:rsid w:val="00206A13"/>
    <w:rsid w:val="00210279"/>
    <w:rsid w:val="002116E8"/>
    <w:rsid w:val="00212014"/>
    <w:rsid w:val="00212801"/>
    <w:rsid w:val="0021327A"/>
    <w:rsid w:val="0021359F"/>
    <w:rsid w:val="002151AF"/>
    <w:rsid w:val="0021668C"/>
    <w:rsid w:val="00216C6B"/>
    <w:rsid w:val="00217238"/>
    <w:rsid w:val="00221709"/>
    <w:rsid w:val="002229E5"/>
    <w:rsid w:val="0022326F"/>
    <w:rsid w:val="0022343D"/>
    <w:rsid w:val="00223747"/>
    <w:rsid w:val="00224C5C"/>
    <w:rsid w:val="00224D99"/>
    <w:rsid w:val="00225EEB"/>
    <w:rsid w:val="002260E4"/>
    <w:rsid w:val="00226D75"/>
    <w:rsid w:val="002274C6"/>
    <w:rsid w:val="00227992"/>
    <w:rsid w:val="00227A6E"/>
    <w:rsid w:val="00230504"/>
    <w:rsid w:val="0023138F"/>
    <w:rsid w:val="00231BA1"/>
    <w:rsid w:val="00232866"/>
    <w:rsid w:val="0023360C"/>
    <w:rsid w:val="0023410F"/>
    <w:rsid w:val="0023672F"/>
    <w:rsid w:val="00242236"/>
    <w:rsid w:val="002427A6"/>
    <w:rsid w:val="00242DA0"/>
    <w:rsid w:val="002461B7"/>
    <w:rsid w:val="00247FB0"/>
    <w:rsid w:val="002530AA"/>
    <w:rsid w:val="0025485D"/>
    <w:rsid w:val="00254DC3"/>
    <w:rsid w:val="00255809"/>
    <w:rsid w:val="00256243"/>
    <w:rsid w:val="00256844"/>
    <w:rsid w:val="00257099"/>
    <w:rsid w:val="00257A7A"/>
    <w:rsid w:val="00257CEE"/>
    <w:rsid w:val="0026037E"/>
    <w:rsid w:val="002629E2"/>
    <w:rsid w:val="00264705"/>
    <w:rsid w:val="002654B9"/>
    <w:rsid w:val="00265A4B"/>
    <w:rsid w:val="00265B06"/>
    <w:rsid w:val="00270091"/>
    <w:rsid w:val="0027136D"/>
    <w:rsid w:val="00271379"/>
    <w:rsid w:val="00274277"/>
    <w:rsid w:val="00276681"/>
    <w:rsid w:val="00276C7A"/>
    <w:rsid w:val="00276F6D"/>
    <w:rsid w:val="0028022A"/>
    <w:rsid w:val="00280FAA"/>
    <w:rsid w:val="00281510"/>
    <w:rsid w:val="00281DD3"/>
    <w:rsid w:val="00281FE6"/>
    <w:rsid w:val="0028298C"/>
    <w:rsid w:val="00284793"/>
    <w:rsid w:val="00284993"/>
    <w:rsid w:val="00284A02"/>
    <w:rsid w:val="0028742F"/>
    <w:rsid w:val="00291B8E"/>
    <w:rsid w:val="00291D24"/>
    <w:rsid w:val="00291EC1"/>
    <w:rsid w:val="00293189"/>
    <w:rsid w:val="00293D7A"/>
    <w:rsid w:val="0029489E"/>
    <w:rsid w:val="00295650"/>
    <w:rsid w:val="002964FD"/>
    <w:rsid w:val="00296A80"/>
    <w:rsid w:val="002A25F2"/>
    <w:rsid w:val="002A2721"/>
    <w:rsid w:val="002A32EB"/>
    <w:rsid w:val="002A35CD"/>
    <w:rsid w:val="002A44BC"/>
    <w:rsid w:val="002A484B"/>
    <w:rsid w:val="002A501B"/>
    <w:rsid w:val="002A5426"/>
    <w:rsid w:val="002B0A68"/>
    <w:rsid w:val="002B18C8"/>
    <w:rsid w:val="002B1D00"/>
    <w:rsid w:val="002B4308"/>
    <w:rsid w:val="002B504C"/>
    <w:rsid w:val="002B799E"/>
    <w:rsid w:val="002B7F24"/>
    <w:rsid w:val="002C0370"/>
    <w:rsid w:val="002C0483"/>
    <w:rsid w:val="002C30A2"/>
    <w:rsid w:val="002C3D7B"/>
    <w:rsid w:val="002C3DFC"/>
    <w:rsid w:val="002C5F2C"/>
    <w:rsid w:val="002D1DAC"/>
    <w:rsid w:val="002D1E06"/>
    <w:rsid w:val="002D2F2C"/>
    <w:rsid w:val="002D49E0"/>
    <w:rsid w:val="002D4FFF"/>
    <w:rsid w:val="002D58B2"/>
    <w:rsid w:val="002D62E2"/>
    <w:rsid w:val="002D7A7B"/>
    <w:rsid w:val="002D7ACE"/>
    <w:rsid w:val="002E0857"/>
    <w:rsid w:val="002E2461"/>
    <w:rsid w:val="002E3965"/>
    <w:rsid w:val="002E3DCF"/>
    <w:rsid w:val="002E42C0"/>
    <w:rsid w:val="002E458D"/>
    <w:rsid w:val="002E5E12"/>
    <w:rsid w:val="002E6F87"/>
    <w:rsid w:val="002E79E1"/>
    <w:rsid w:val="002F0565"/>
    <w:rsid w:val="002F229E"/>
    <w:rsid w:val="002F3142"/>
    <w:rsid w:val="002F41C8"/>
    <w:rsid w:val="002F5495"/>
    <w:rsid w:val="002F62C7"/>
    <w:rsid w:val="002F65ED"/>
    <w:rsid w:val="002F6DFB"/>
    <w:rsid w:val="002F7B23"/>
    <w:rsid w:val="003000C2"/>
    <w:rsid w:val="0030095B"/>
    <w:rsid w:val="00302B60"/>
    <w:rsid w:val="00303AA3"/>
    <w:rsid w:val="00304753"/>
    <w:rsid w:val="0030504F"/>
    <w:rsid w:val="00305BD9"/>
    <w:rsid w:val="00306E09"/>
    <w:rsid w:val="0030739F"/>
    <w:rsid w:val="0031231C"/>
    <w:rsid w:val="00312A47"/>
    <w:rsid w:val="003134A1"/>
    <w:rsid w:val="0031405A"/>
    <w:rsid w:val="003144EC"/>
    <w:rsid w:val="003157CF"/>
    <w:rsid w:val="003200D2"/>
    <w:rsid w:val="00320C47"/>
    <w:rsid w:val="00321342"/>
    <w:rsid w:val="003218B1"/>
    <w:rsid w:val="00322114"/>
    <w:rsid w:val="00322153"/>
    <w:rsid w:val="003224C0"/>
    <w:rsid w:val="003232B5"/>
    <w:rsid w:val="003238AD"/>
    <w:rsid w:val="00325637"/>
    <w:rsid w:val="0032654B"/>
    <w:rsid w:val="00326CE5"/>
    <w:rsid w:val="003311D4"/>
    <w:rsid w:val="003324CC"/>
    <w:rsid w:val="00332D42"/>
    <w:rsid w:val="003333B5"/>
    <w:rsid w:val="00336BCF"/>
    <w:rsid w:val="00342732"/>
    <w:rsid w:val="00342F66"/>
    <w:rsid w:val="0034358D"/>
    <w:rsid w:val="003437C4"/>
    <w:rsid w:val="00346306"/>
    <w:rsid w:val="00347383"/>
    <w:rsid w:val="00347B63"/>
    <w:rsid w:val="00347FEC"/>
    <w:rsid w:val="00350BCC"/>
    <w:rsid w:val="00350DBE"/>
    <w:rsid w:val="003546F8"/>
    <w:rsid w:val="00354C59"/>
    <w:rsid w:val="00356EF5"/>
    <w:rsid w:val="00362D7A"/>
    <w:rsid w:val="0036309F"/>
    <w:rsid w:val="003666DE"/>
    <w:rsid w:val="00371A96"/>
    <w:rsid w:val="00371B55"/>
    <w:rsid w:val="00371C23"/>
    <w:rsid w:val="0037277F"/>
    <w:rsid w:val="003730D4"/>
    <w:rsid w:val="00373A04"/>
    <w:rsid w:val="0037766E"/>
    <w:rsid w:val="00380CB9"/>
    <w:rsid w:val="003817BA"/>
    <w:rsid w:val="003819C3"/>
    <w:rsid w:val="003848C5"/>
    <w:rsid w:val="00387EDD"/>
    <w:rsid w:val="003904C4"/>
    <w:rsid w:val="003905F8"/>
    <w:rsid w:val="00390AB4"/>
    <w:rsid w:val="00390BBA"/>
    <w:rsid w:val="003914FA"/>
    <w:rsid w:val="0039219C"/>
    <w:rsid w:val="003929F0"/>
    <w:rsid w:val="00394039"/>
    <w:rsid w:val="0039500A"/>
    <w:rsid w:val="0039599C"/>
    <w:rsid w:val="00396163"/>
    <w:rsid w:val="00397895"/>
    <w:rsid w:val="003A28E0"/>
    <w:rsid w:val="003A5454"/>
    <w:rsid w:val="003A657C"/>
    <w:rsid w:val="003B19DA"/>
    <w:rsid w:val="003B24A8"/>
    <w:rsid w:val="003B3ACB"/>
    <w:rsid w:val="003B3F6F"/>
    <w:rsid w:val="003B4BC2"/>
    <w:rsid w:val="003B5C7E"/>
    <w:rsid w:val="003B6EAC"/>
    <w:rsid w:val="003C0500"/>
    <w:rsid w:val="003C2AC6"/>
    <w:rsid w:val="003C31A5"/>
    <w:rsid w:val="003C39BD"/>
    <w:rsid w:val="003C673C"/>
    <w:rsid w:val="003C733A"/>
    <w:rsid w:val="003C7888"/>
    <w:rsid w:val="003D1A35"/>
    <w:rsid w:val="003D2BDC"/>
    <w:rsid w:val="003D4BD9"/>
    <w:rsid w:val="003D620A"/>
    <w:rsid w:val="003D7F41"/>
    <w:rsid w:val="003E4531"/>
    <w:rsid w:val="003E4780"/>
    <w:rsid w:val="003E5BAA"/>
    <w:rsid w:val="003E722D"/>
    <w:rsid w:val="003F02C5"/>
    <w:rsid w:val="003F06E2"/>
    <w:rsid w:val="003F27BD"/>
    <w:rsid w:val="003F32C1"/>
    <w:rsid w:val="003F3CAF"/>
    <w:rsid w:val="003F3CC2"/>
    <w:rsid w:val="003F41E2"/>
    <w:rsid w:val="003F4E08"/>
    <w:rsid w:val="003F645E"/>
    <w:rsid w:val="003F7F04"/>
    <w:rsid w:val="00401D9A"/>
    <w:rsid w:val="0040204C"/>
    <w:rsid w:val="00402272"/>
    <w:rsid w:val="00403502"/>
    <w:rsid w:val="00403EE0"/>
    <w:rsid w:val="00404AAD"/>
    <w:rsid w:val="00404DA7"/>
    <w:rsid w:val="004077E2"/>
    <w:rsid w:val="00410E67"/>
    <w:rsid w:val="00410F5A"/>
    <w:rsid w:val="00411DF1"/>
    <w:rsid w:val="00413BCF"/>
    <w:rsid w:val="00416A01"/>
    <w:rsid w:val="00422188"/>
    <w:rsid w:val="004235ED"/>
    <w:rsid w:val="004241E2"/>
    <w:rsid w:val="00424A9A"/>
    <w:rsid w:val="00424AA4"/>
    <w:rsid w:val="004252E1"/>
    <w:rsid w:val="00425A08"/>
    <w:rsid w:val="00425E0F"/>
    <w:rsid w:val="00426015"/>
    <w:rsid w:val="00426BEB"/>
    <w:rsid w:val="00426C3A"/>
    <w:rsid w:val="0043028A"/>
    <w:rsid w:val="004304AC"/>
    <w:rsid w:val="00430C47"/>
    <w:rsid w:val="00430F7D"/>
    <w:rsid w:val="00431AFB"/>
    <w:rsid w:val="00431CE8"/>
    <w:rsid w:val="00432BC4"/>
    <w:rsid w:val="00433F93"/>
    <w:rsid w:val="00434440"/>
    <w:rsid w:val="00434BD2"/>
    <w:rsid w:val="00436F80"/>
    <w:rsid w:val="00437E98"/>
    <w:rsid w:val="00437F65"/>
    <w:rsid w:val="004418C2"/>
    <w:rsid w:val="0044267E"/>
    <w:rsid w:val="004449D7"/>
    <w:rsid w:val="00444E51"/>
    <w:rsid w:val="00450C1F"/>
    <w:rsid w:val="00451594"/>
    <w:rsid w:val="0045340E"/>
    <w:rsid w:val="00453641"/>
    <w:rsid w:val="004566D9"/>
    <w:rsid w:val="004604CD"/>
    <w:rsid w:val="00460631"/>
    <w:rsid w:val="00460B91"/>
    <w:rsid w:val="004614E8"/>
    <w:rsid w:val="0046568E"/>
    <w:rsid w:val="0046642D"/>
    <w:rsid w:val="004669CA"/>
    <w:rsid w:val="00466C41"/>
    <w:rsid w:val="00470155"/>
    <w:rsid w:val="00470198"/>
    <w:rsid w:val="004719B9"/>
    <w:rsid w:val="00477442"/>
    <w:rsid w:val="00477CAC"/>
    <w:rsid w:val="00481ACD"/>
    <w:rsid w:val="00483839"/>
    <w:rsid w:val="004861AB"/>
    <w:rsid w:val="00486797"/>
    <w:rsid w:val="00486EA2"/>
    <w:rsid w:val="00487D68"/>
    <w:rsid w:val="004917DD"/>
    <w:rsid w:val="004923C7"/>
    <w:rsid w:val="00492B66"/>
    <w:rsid w:val="00493E3E"/>
    <w:rsid w:val="004948A8"/>
    <w:rsid w:val="004973DB"/>
    <w:rsid w:val="00497F67"/>
    <w:rsid w:val="004A0C01"/>
    <w:rsid w:val="004A1F5E"/>
    <w:rsid w:val="004A2F4B"/>
    <w:rsid w:val="004A4668"/>
    <w:rsid w:val="004A4BED"/>
    <w:rsid w:val="004A5529"/>
    <w:rsid w:val="004B049D"/>
    <w:rsid w:val="004B2A0C"/>
    <w:rsid w:val="004B32B2"/>
    <w:rsid w:val="004B435F"/>
    <w:rsid w:val="004B62CF"/>
    <w:rsid w:val="004B6BEC"/>
    <w:rsid w:val="004B720B"/>
    <w:rsid w:val="004B757D"/>
    <w:rsid w:val="004B7726"/>
    <w:rsid w:val="004B7D6A"/>
    <w:rsid w:val="004B7DD3"/>
    <w:rsid w:val="004C0A02"/>
    <w:rsid w:val="004C131E"/>
    <w:rsid w:val="004C230C"/>
    <w:rsid w:val="004C3318"/>
    <w:rsid w:val="004C5437"/>
    <w:rsid w:val="004C7EA6"/>
    <w:rsid w:val="004D13A1"/>
    <w:rsid w:val="004D1661"/>
    <w:rsid w:val="004D311E"/>
    <w:rsid w:val="004D4A8A"/>
    <w:rsid w:val="004D5275"/>
    <w:rsid w:val="004D7D39"/>
    <w:rsid w:val="004E1DBD"/>
    <w:rsid w:val="004E2A07"/>
    <w:rsid w:val="004E2EB4"/>
    <w:rsid w:val="004E4ED6"/>
    <w:rsid w:val="004E6512"/>
    <w:rsid w:val="004E6FF9"/>
    <w:rsid w:val="004E73A7"/>
    <w:rsid w:val="004F00AB"/>
    <w:rsid w:val="004F0EEE"/>
    <w:rsid w:val="004F1CED"/>
    <w:rsid w:val="004F209F"/>
    <w:rsid w:val="004F28A4"/>
    <w:rsid w:val="004F2912"/>
    <w:rsid w:val="004F32FE"/>
    <w:rsid w:val="004F3949"/>
    <w:rsid w:val="004F4C4B"/>
    <w:rsid w:val="004F4DC5"/>
    <w:rsid w:val="004F4ED4"/>
    <w:rsid w:val="004F51DB"/>
    <w:rsid w:val="004F67BC"/>
    <w:rsid w:val="00500BE0"/>
    <w:rsid w:val="00500EA0"/>
    <w:rsid w:val="00501093"/>
    <w:rsid w:val="00502071"/>
    <w:rsid w:val="00502233"/>
    <w:rsid w:val="00502FB2"/>
    <w:rsid w:val="005057E2"/>
    <w:rsid w:val="00505F69"/>
    <w:rsid w:val="00507B94"/>
    <w:rsid w:val="00511393"/>
    <w:rsid w:val="00511889"/>
    <w:rsid w:val="005119CE"/>
    <w:rsid w:val="005119DF"/>
    <w:rsid w:val="00511C5D"/>
    <w:rsid w:val="00511E90"/>
    <w:rsid w:val="005122BA"/>
    <w:rsid w:val="0051245B"/>
    <w:rsid w:val="00512770"/>
    <w:rsid w:val="00512A56"/>
    <w:rsid w:val="00513D2F"/>
    <w:rsid w:val="00514D15"/>
    <w:rsid w:val="005153AD"/>
    <w:rsid w:val="00515F10"/>
    <w:rsid w:val="00516D52"/>
    <w:rsid w:val="005179AA"/>
    <w:rsid w:val="00517E08"/>
    <w:rsid w:val="00522147"/>
    <w:rsid w:val="005221C0"/>
    <w:rsid w:val="00522DAB"/>
    <w:rsid w:val="0052497B"/>
    <w:rsid w:val="00525932"/>
    <w:rsid w:val="00525B6F"/>
    <w:rsid w:val="005263BC"/>
    <w:rsid w:val="00526B56"/>
    <w:rsid w:val="00526B86"/>
    <w:rsid w:val="00527F3D"/>
    <w:rsid w:val="0053034A"/>
    <w:rsid w:val="00530CA5"/>
    <w:rsid w:val="0053116D"/>
    <w:rsid w:val="00532310"/>
    <w:rsid w:val="0053253F"/>
    <w:rsid w:val="005325C1"/>
    <w:rsid w:val="00534170"/>
    <w:rsid w:val="00535975"/>
    <w:rsid w:val="005359DF"/>
    <w:rsid w:val="005373E5"/>
    <w:rsid w:val="00537B69"/>
    <w:rsid w:val="00540A54"/>
    <w:rsid w:val="00540F95"/>
    <w:rsid w:val="0054134C"/>
    <w:rsid w:val="00541A81"/>
    <w:rsid w:val="00542531"/>
    <w:rsid w:val="005438AE"/>
    <w:rsid w:val="00544A3E"/>
    <w:rsid w:val="00544C5C"/>
    <w:rsid w:val="005450A1"/>
    <w:rsid w:val="00547D9F"/>
    <w:rsid w:val="00547EFA"/>
    <w:rsid w:val="0055116C"/>
    <w:rsid w:val="00551748"/>
    <w:rsid w:val="00551C38"/>
    <w:rsid w:val="005535E1"/>
    <w:rsid w:val="00555495"/>
    <w:rsid w:val="00556E4B"/>
    <w:rsid w:val="005624D4"/>
    <w:rsid w:val="00563CAE"/>
    <w:rsid w:val="00564155"/>
    <w:rsid w:val="005661AC"/>
    <w:rsid w:val="005669C0"/>
    <w:rsid w:val="005671FE"/>
    <w:rsid w:val="00571D3F"/>
    <w:rsid w:val="005721B6"/>
    <w:rsid w:val="00572307"/>
    <w:rsid w:val="00572B0A"/>
    <w:rsid w:val="00572EAA"/>
    <w:rsid w:val="00573163"/>
    <w:rsid w:val="00573A00"/>
    <w:rsid w:val="00573E9F"/>
    <w:rsid w:val="005767AB"/>
    <w:rsid w:val="00576AE3"/>
    <w:rsid w:val="00580252"/>
    <w:rsid w:val="00581608"/>
    <w:rsid w:val="00582C41"/>
    <w:rsid w:val="00582E1B"/>
    <w:rsid w:val="00583C22"/>
    <w:rsid w:val="0058689B"/>
    <w:rsid w:val="005868FB"/>
    <w:rsid w:val="00587B16"/>
    <w:rsid w:val="005917D5"/>
    <w:rsid w:val="005922E5"/>
    <w:rsid w:val="00593237"/>
    <w:rsid w:val="005937D8"/>
    <w:rsid w:val="00595B51"/>
    <w:rsid w:val="00596309"/>
    <w:rsid w:val="005964B9"/>
    <w:rsid w:val="005A010A"/>
    <w:rsid w:val="005A01B4"/>
    <w:rsid w:val="005A03BE"/>
    <w:rsid w:val="005A0789"/>
    <w:rsid w:val="005A1600"/>
    <w:rsid w:val="005A17F6"/>
    <w:rsid w:val="005A2132"/>
    <w:rsid w:val="005A2BAF"/>
    <w:rsid w:val="005A2FE8"/>
    <w:rsid w:val="005A37CF"/>
    <w:rsid w:val="005A3BBB"/>
    <w:rsid w:val="005A4179"/>
    <w:rsid w:val="005A47CE"/>
    <w:rsid w:val="005A5C68"/>
    <w:rsid w:val="005A6EA0"/>
    <w:rsid w:val="005B0183"/>
    <w:rsid w:val="005B0934"/>
    <w:rsid w:val="005B0CD1"/>
    <w:rsid w:val="005B1612"/>
    <w:rsid w:val="005B1CF1"/>
    <w:rsid w:val="005B1CF8"/>
    <w:rsid w:val="005B28AD"/>
    <w:rsid w:val="005B4430"/>
    <w:rsid w:val="005B6665"/>
    <w:rsid w:val="005C05A3"/>
    <w:rsid w:val="005C1B49"/>
    <w:rsid w:val="005C1F01"/>
    <w:rsid w:val="005C2C8A"/>
    <w:rsid w:val="005C3E8F"/>
    <w:rsid w:val="005C5376"/>
    <w:rsid w:val="005C67F9"/>
    <w:rsid w:val="005D1A7D"/>
    <w:rsid w:val="005D4332"/>
    <w:rsid w:val="005D46C8"/>
    <w:rsid w:val="005D592A"/>
    <w:rsid w:val="005D632F"/>
    <w:rsid w:val="005D74A4"/>
    <w:rsid w:val="005D7D8D"/>
    <w:rsid w:val="005E10F5"/>
    <w:rsid w:val="005E1FE2"/>
    <w:rsid w:val="005E1FF9"/>
    <w:rsid w:val="005E2773"/>
    <w:rsid w:val="005E3742"/>
    <w:rsid w:val="005E5A74"/>
    <w:rsid w:val="005E7A93"/>
    <w:rsid w:val="005F074D"/>
    <w:rsid w:val="005F0A06"/>
    <w:rsid w:val="005F1ABB"/>
    <w:rsid w:val="005F29CD"/>
    <w:rsid w:val="005F36CC"/>
    <w:rsid w:val="005F7290"/>
    <w:rsid w:val="005F7871"/>
    <w:rsid w:val="00601797"/>
    <w:rsid w:val="006018B8"/>
    <w:rsid w:val="006037AC"/>
    <w:rsid w:val="00603895"/>
    <w:rsid w:val="00605539"/>
    <w:rsid w:val="00612108"/>
    <w:rsid w:val="006146B4"/>
    <w:rsid w:val="00615337"/>
    <w:rsid w:val="00616417"/>
    <w:rsid w:val="00620CF8"/>
    <w:rsid w:val="00621A60"/>
    <w:rsid w:val="00622B98"/>
    <w:rsid w:val="006268EB"/>
    <w:rsid w:val="006303BE"/>
    <w:rsid w:val="00630C6F"/>
    <w:rsid w:val="00634123"/>
    <w:rsid w:val="006346B4"/>
    <w:rsid w:val="00634E0C"/>
    <w:rsid w:val="00634FA7"/>
    <w:rsid w:val="00635F80"/>
    <w:rsid w:val="00636497"/>
    <w:rsid w:val="00636860"/>
    <w:rsid w:val="006369BD"/>
    <w:rsid w:val="00636CE5"/>
    <w:rsid w:val="006372E2"/>
    <w:rsid w:val="006377BA"/>
    <w:rsid w:val="00637B17"/>
    <w:rsid w:val="006415C2"/>
    <w:rsid w:val="006424D8"/>
    <w:rsid w:val="006426D7"/>
    <w:rsid w:val="00642E34"/>
    <w:rsid w:val="00643505"/>
    <w:rsid w:val="00643943"/>
    <w:rsid w:val="006455A3"/>
    <w:rsid w:val="00650DE2"/>
    <w:rsid w:val="006516C7"/>
    <w:rsid w:val="0065192B"/>
    <w:rsid w:val="00651C12"/>
    <w:rsid w:val="00651D8F"/>
    <w:rsid w:val="006520F3"/>
    <w:rsid w:val="0065269C"/>
    <w:rsid w:val="00652E32"/>
    <w:rsid w:val="00653858"/>
    <w:rsid w:val="00653B6B"/>
    <w:rsid w:val="006546AE"/>
    <w:rsid w:val="006549D0"/>
    <w:rsid w:val="00657660"/>
    <w:rsid w:val="00663F55"/>
    <w:rsid w:val="0066638D"/>
    <w:rsid w:val="00666D94"/>
    <w:rsid w:val="006670BC"/>
    <w:rsid w:val="0067020D"/>
    <w:rsid w:val="006704B2"/>
    <w:rsid w:val="00670AA4"/>
    <w:rsid w:val="006710DD"/>
    <w:rsid w:val="0067244C"/>
    <w:rsid w:val="00672E06"/>
    <w:rsid w:val="00672F9E"/>
    <w:rsid w:val="00673473"/>
    <w:rsid w:val="00673A05"/>
    <w:rsid w:val="00674494"/>
    <w:rsid w:val="00676EB1"/>
    <w:rsid w:val="00680CF3"/>
    <w:rsid w:val="00681F03"/>
    <w:rsid w:val="00682C9B"/>
    <w:rsid w:val="006832A0"/>
    <w:rsid w:val="00684CF0"/>
    <w:rsid w:val="006859A4"/>
    <w:rsid w:val="00687F84"/>
    <w:rsid w:val="006902F5"/>
    <w:rsid w:val="00690E2F"/>
    <w:rsid w:val="006914B9"/>
    <w:rsid w:val="00692D06"/>
    <w:rsid w:val="00694125"/>
    <w:rsid w:val="0069467C"/>
    <w:rsid w:val="00695093"/>
    <w:rsid w:val="006A0BB7"/>
    <w:rsid w:val="006A186B"/>
    <w:rsid w:val="006A31EB"/>
    <w:rsid w:val="006A3CDC"/>
    <w:rsid w:val="006A4784"/>
    <w:rsid w:val="006A4D86"/>
    <w:rsid w:val="006A537B"/>
    <w:rsid w:val="006A5458"/>
    <w:rsid w:val="006A7578"/>
    <w:rsid w:val="006A7D0B"/>
    <w:rsid w:val="006B003A"/>
    <w:rsid w:val="006B211F"/>
    <w:rsid w:val="006B23E0"/>
    <w:rsid w:val="006B50E2"/>
    <w:rsid w:val="006C0FF5"/>
    <w:rsid w:val="006C2D97"/>
    <w:rsid w:val="006C2E05"/>
    <w:rsid w:val="006C4C0F"/>
    <w:rsid w:val="006C5979"/>
    <w:rsid w:val="006C709A"/>
    <w:rsid w:val="006C75E3"/>
    <w:rsid w:val="006C7FAC"/>
    <w:rsid w:val="006D1117"/>
    <w:rsid w:val="006D208E"/>
    <w:rsid w:val="006D2764"/>
    <w:rsid w:val="006D27BC"/>
    <w:rsid w:val="006D2C54"/>
    <w:rsid w:val="006D4765"/>
    <w:rsid w:val="006D650D"/>
    <w:rsid w:val="006D7439"/>
    <w:rsid w:val="006D7CA5"/>
    <w:rsid w:val="006E05FC"/>
    <w:rsid w:val="006E0F3F"/>
    <w:rsid w:val="006E0F99"/>
    <w:rsid w:val="006E178D"/>
    <w:rsid w:val="006E178F"/>
    <w:rsid w:val="006E3143"/>
    <w:rsid w:val="006E3237"/>
    <w:rsid w:val="006E41E2"/>
    <w:rsid w:val="006E5020"/>
    <w:rsid w:val="006E5270"/>
    <w:rsid w:val="006E67B1"/>
    <w:rsid w:val="006E6EC5"/>
    <w:rsid w:val="006F2D4A"/>
    <w:rsid w:val="006F3745"/>
    <w:rsid w:val="006F6DFB"/>
    <w:rsid w:val="006F6EB5"/>
    <w:rsid w:val="006F7865"/>
    <w:rsid w:val="0070131F"/>
    <w:rsid w:val="00701A36"/>
    <w:rsid w:val="00701D70"/>
    <w:rsid w:val="00702871"/>
    <w:rsid w:val="00703130"/>
    <w:rsid w:val="00704968"/>
    <w:rsid w:val="0070662F"/>
    <w:rsid w:val="00707EAC"/>
    <w:rsid w:val="007101D3"/>
    <w:rsid w:val="00710EEB"/>
    <w:rsid w:val="0071251F"/>
    <w:rsid w:val="007134F7"/>
    <w:rsid w:val="00713C31"/>
    <w:rsid w:val="0071463F"/>
    <w:rsid w:val="007156AF"/>
    <w:rsid w:val="007170F8"/>
    <w:rsid w:val="007171F9"/>
    <w:rsid w:val="00721AB7"/>
    <w:rsid w:val="007227B8"/>
    <w:rsid w:val="0072370A"/>
    <w:rsid w:val="00723865"/>
    <w:rsid w:val="00723FA9"/>
    <w:rsid w:val="00724C33"/>
    <w:rsid w:val="00725125"/>
    <w:rsid w:val="00725345"/>
    <w:rsid w:val="007254EF"/>
    <w:rsid w:val="007272CE"/>
    <w:rsid w:val="00730F91"/>
    <w:rsid w:val="00732642"/>
    <w:rsid w:val="007345A8"/>
    <w:rsid w:val="00736A52"/>
    <w:rsid w:val="00736DE2"/>
    <w:rsid w:val="00736E81"/>
    <w:rsid w:val="00737F8C"/>
    <w:rsid w:val="00740359"/>
    <w:rsid w:val="007419B0"/>
    <w:rsid w:val="007427A9"/>
    <w:rsid w:val="00744D24"/>
    <w:rsid w:val="00745816"/>
    <w:rsid w:val="00746AF4"/>
    <w:rsid w:val="00750D94"/>
    <w:rsid w:val="00751611"/>
    <w:rsid w:val="00751616"/>
    <w:rsid w:val="007517BF"/>
    <w:rsid w:val="00751BAB"/>
    <w:rsid w:val="00751DCF"/>
    <w:rsid w:val="00751FF4"/>
    <w:rsid w:val="00752CE2"/>
    <w:rsid w:val="007539CB"/>
    <w:rsid w:val="00753CAE"/>
    <w:rsid w:val="00754142"/>
    <w:rsid w:val="00754EEE"/>
    <w:rsid w:val="00754F7D"/>
    <w:rsid w:val="0075776C"/>
    <w:rsid w:val="007600FD"/>
    <w:rsid w:val="00761B49"/>
    <w:rsid w:val="00762F9F"/>
    <w:rsid w:val="00763A23"/>
    <w:rsid w:val="00763B2C"/>
    <w:rsid w:val="0076473B"/>
    <w:rsid w:val="007655E4"/>
    <w:rsid w:val="0077129A"/>
    <w:rsid w:val="007717D5"/>
    <w:rsid w:val="00771D5F"/>
    <w:rsid w:val="00772E7D"/>
    <w:rsid w:val="00773297"/>
    <w:rsid w:val="0077374E"/>
    <w:rsid w:val="007738F9"/>
    <w:rsid w:val="00774C15"/>
    <w:rsid w:val="00775C7C"/>
    <w:rsid w:val="00776B03"/>
    <w:rsid w:val="00777EAE"/>
    <w:rsid w:val="007807DE"/>
    <w:rsid w:val="0078114B"/>
    <w:rsid w:val="00781439"/>
    <w:rsid w:val="00782BA0"/>
    <w:rsid w:val="00783B8B"/>
    <w:rsid w:val="00783BB2"/>
    <w:rsid w:val="007841FE"/>
    <w:rsid w:val="007856A3"/>
    <w:rsid w:val="00787F1D"/>
    <w:rsid w:val="00793BF8"/>
    <w:rsid w:val="00793F85"/>
    <w:rsid w:val="007944EB"/>
    <w:rsid w:val="0079465A"/>
    <w:rsid w:val="007958CE"/>
    <w:rsid w:val="00796CCD"/>
    <w:rsid w:val="007A1875"/>
    <w:rsid w:val="007A2070"/>
    <w:rsid w:val="007A430B"/>
    <w:rsid w:val="007A5159"/>
    <w:rsid w:val="007A5582"/>
    <w:rsid w:val="007A58D3"/>
    <w:rsid w:val="007A67B3"/>
    <w:rsid w:val="007A735C"/>
    <w:rsid w:val="007B0489"/>
    <w:rsid w:val="007B07B7"/>
    <w:rsid w:val="007B356B"/>
    <w:rsid w:val="007B358A"/>
    <w:rsid w:val="007B391A"/>
    <w:rsid w:val="007B44DF"/>
    <w:rsid w:val="007B5E63"/>
    <w:rsid w:val="007B6416"/>
    <w:rsid w:val="007B6F86"/>
    <w:rsid w:val="007C0531"/>
    <w:rsid w:val="007C1DFC"/>
    <w:rsid w:val="007C4842"/>
    <w:rsid w:val="007C4DF1"/>
    <w:rsid w:val="007C7521"/>
    <w:rsid w:val="007C7876"/>
    <w:rsid w:val="007D0CED"/>
    <w:rsid w:val="007D18CE"/>
    <w:rsid w:val="007D40B9"/>
    <w:rsid w:val="007D660F"/>
    <w:rsid w:val="007D7A69"/>
    <w:rsid w:val="007D7F0E"/>
    <w:rsid w:val="007E1001"/>
    <w:rsid w:val="007E21BD"/>
    <w:rsid w:val="007E23E6"/>
    <w:rsid w:val="007E2986"/>
    <w:rsid w:val="007E2E22"/>
    <w:rsid w:val="007E33DD"/>
    <w:rsid w:val="007E3897"/>
    <w:rsid w:val="007E400F"/>
    <w:rsid w:val="007E4E62"/>
    <w:rsid w:val="007E5AB3"/>
    <w:rsid w:val="007F042F"/>
    <w:rsid w:val="007F0F1D"/>
    <w:rsid w:val="007F1569"/>
    <w:rsid w:val="007F35D9"/>
    <w:rsid w:val="007F3689"/>
    <w:rsid w:val="007F4F0E"/>
    <w:rsid w:val="007F518A"/>
    <w:rsid w:val="007F697C"/>
    <w:rsid w:val="007F6A1E"/>
    <w:rsid w:val="007F6C0E"/>
    <w:rsid w:val="007F73B1"/>
    <w:rsid w:val="0080091E"/>
    <w:rsid w:val="00801279"/>
    <w:rsid w:val="008014E3"/>
    <w:rsid w:val="008020D7"/>
    <w:rsid w:val="00802244"/>
    <w:rsid w:val="0080228A"/>
    <w:rsid w:val="0080370F"/>
    <w:rsid w:val="0080451F"/>
    <w:rsid w:val="0080540C"/>
    <w:rsid w:val="00805C24"/>
    <w:rsid w:val="00805FD6"/>
    <w:rsid w:val="008061D4"/>
    <w:rsid w:val="00806A6B"/>
    <w:rsid w:val="00811A3B"/>
    <w:rsid w:val="00811EA6"/>
    <w:rsid w:val="00811F02"/>
    <w:rsid w:val="00813CE5"/>
    <w:rsid w:val="00813D5A"/>
    <w:rsid w:val="00816172"/>
    <w:rsid w:val="00816253"/>
    <w:rsid w:val="008165B6"/>
    <w:rsid w:val="008168D4"/>
    <w:rsid w:val="00817254"/>
    <w:rsid w:val="00820230"/>
    <w:rsid w:val="00820321"/>
    <w:rsid w:val="00821BF6"/>
    <w:rsid w:val="00822477"/>
    <w:rsid w:val="00822690"/>
    <w:rsid w:val="008236F7"/>
    <w:rsid w:val="00823D59"/>
    <w:rsid w:val="00823F52"/>
    <w:rsid w:val="00824A9B"/>
    <w:rsid w:val="0082594B"/>
    <w:rsid w:val="008266F3"/>
    <w:rsid w:val="00826E1E"/>
    <w:rsid w:val="008304E6"/>
    <w:rsid w:val="00830819"/>
    <w:rsid w:val="00832262"/>
    <w:rsid w:val="0083274E"/>
    <w:rsid w:val="00833886"/>
    <w:rsid w:val="00833DCE"/>
    <w:rsid w:val="008369F5"/>
    <w:rsid w:val="00837279"/>
    <w:rsid w:val="008374B7"/>
    <w:rsid w:val="008423CA"/>
    <w:rsid w:val="008426BC"/>
    <w:rsid w:val="00842E62"/>
    <w:rsid w:val="0084445B"/>
    <w:rsid w:val="00845351"/>
    <w:rsid w:val="008477CC"/>
    <w:rsid w:val="00847DF9"/>
    <w:rsid w:val="00851BB0"/>
    <w:rsid w:val="008565F7"/>
    <w:rsid w:val="008568B2"/>
    <w:rsid w:val="008610E5"/>
    <w:rsid w:val="00862CCB"/>
    <w:rsid w:val="0086304A"/>
    <w:rsid w:val="00866881"/>
    <w:rsid w:val="00867682"/>
    <w:rsid w:val="00870EDF"/>
    <w:rsid w:val="008732E2"/>
    <w:rsid w:val="00874187"/>
    <w:rsid w:val="00877121"/>
    <w:rsid w:val="00880922"/>
    <w:rsid w:val="0088097D"/>
    <w:rsid w:val="00880ADA"/>
    <w:rsid w:val="00883F18"/>
    <w:rsid w:val="00885BD4"/>
    <w:rsid w:val="008873B5"/>
    <w:rsid w:val="00890B47"/>
    <w:rsid w:val="0089224B"/>
    <w:rsid w:val="00892450"/>
    <w:rsid w:val="00893923"/>
    <w:rsid w:val="00895505"/>
    <w:rsid w:val="008A070A"/>
    <w:rsid w:val="008A0774"/>
    <w:rsid w:val="008A15E7"/>
    <w:rsid w:val="008A3759"/>
    <w:rsid w:val="008A49E5"/>
    <w:rsid w:val="008A4F2C"/>
    <w:rsid w:val="008A64B5"/>
    <w:rsid w:val="008A7FBF"/>
    <w:rsid w:val="008B037A"/>
    <w:rsid w:val="008B0644"/>
    <w:rsid w:val="008B1AD3"/>
    <w:rsid w:val="008B264A"/>
    <w:rsid w:val="008B2823"/>
    <w:rsid w:val="008B2DDB"/>
    <w:rsid w:val="008B6CD0"/>
    <w:rsid w:val="008B76FA"/>
    <w:rsid w:val="008C10ED"/>
    <w:rsid w:val="008C260D"/>
    <w:rsid w:val="008C2B85"/>
    <w:rsid w:val="008C6E38"/>
    <w:rsid w:val="008D1E71"/>
    <w:rsid w:val="008D223C"/>
    <w:rsid w:val="008D2589"/>
    <w:rsid w:val="008D263D"/>
    <w:rsid w:val="008D34E1"/>
    <w:rsid w:val="008D4B56"/>
    <w:rsid w:val="008D4E47"/>
    <w:rsid w:val="008D4F6C"/>
    <w:rsid w:val="008D62E0"/>
    <w:rsid w:val="008D70AD"/>
    <w:rsid w:val="008D76CC"/>
    <w:rsid w:val="008E066F"/>
    <w:rsid w:val="008E3C3C"/>
    <w:rsid w:val="008E4AEA"/>
    <w:rsid w:val="008E51D8"/>
    <w:rsid w:val="008E5CBA"/>
    <w:rsid w:val="008E5DA3"/>
    <w:rsid w:val="008E7A21"/>
    <w:rsid w:val="008F0818"/>
    <w:rsid w:val="008F1282"/>
    <w:rsid w:val="008F171B"/>
    <w:rsid w:val="008F1904"/>
    <w:rsid w:val="008F1AD4"/>
    <w:rsid w:val="008F65D1"/>
    <w:rsid w:val="008F6F60"/>
    <w:rsid w:val="0090073A"/>
    <w:rsid w:val="00901C7C"/>
    <w:rsid w:val="009025AD"/>
    <w:rsid w:val="009029AD"/>
    <w:rsid w:val="009041E3"/>
    <w:rsid w:val="00905017"/>
    <w:rsid w:val="00905B17"/>
    <w:rsid w:val="00906DFB"/>
    <w:rsid w:val="00911656"/>
    <w:rsid w:val="0091244F"/>
    <w:rsid w:val="00913465"/>
    <w:rsid w:val="009138D9"/>
    <w:rsid w:val="009143D9"/>
    <w:rsid w:val="009146C1"/>
    <w:rsid w:val="00915076"/>
    <w:rsid w:val="0091528C"/>
    <w:rsid w:val="009152EC"/>
    <w:rsid w:val="00915EF0"/>
    <w:rsid w:val="00920665"/>
    <w:rsid w:val="009207F7"/>
    <w:rsid w:val="00921352"/>
    <w:rsid w:val="009219F7"/>
    <w:rsid w:val="00922EF1"/>
    <w:rsid w:val="009247DE"/>
    <w:rsid w:val="00924850"/>
    <w:rsid w:val="0092550F"/>
    <w:rsid w:val="00926567"/>
    <w:rsid w:val="0092669D"/>
    <w:rsid w:val="00927219"/>
    <w:rsid w:val="009307B6"/>
    <w:rsid w:val="009308EC"/>
    <w:rsid w:val="00931124"/>
    <w:rsid w:val="00932F87"/>
    <w:rsid w:val="0093495C"/>
    <w:rsid w:val="00936FEE"/>
    <w:rsid w:val="009404A8"/>
    <w:rsid w:val="00940F47"/>
    <w:rsid w:val="0094195D"/>
    <w:rsid w:val="00941C08"/>
    <w:rsid w:val="009437D1"/>
    <w:rsid w:val="00943EB4"/>
    <w:rsid w:val="009447E1"/>
    <w:rsid w:val="00944C06"/>
    <w:rsid w:val="0094561A"/>
    <w:rsid w:val="00945AFB"/>
    <w:rsid w:val="00947D6B"/>
    <w:rsid w:val="00947FC9"/>
    <w:rsid w:val="009502E7"/>
    <w:rsid w:val="00950FF8"/>
    <w:rsid w:val="00955222"/>
    <w:rsid w:val="00955BF9"/>
    <w:rsid w:val="009602DA"/>
    <w:rsid w:val="00962A67"/>
    <w:rsid w:val="0096421C"/>
    <w:rsid w:val="009662E2"/>
    <w:rsid w:val="009671E5"/>
    <w:rsid w:val="00967C53"/>
    <w:rsid w:val="00972C57"/>
    <w:rsid w:val="00972E8F"/>
    <w:rsid w:val="0097409C"/>
    <w:rsid w:val="009746AB"/>
    <w:rsid w:val="009754B7"/>
    <w:rsid w:val="0098003E"/>
    <w:rsid w:val="00980E21"/>
    <w:rsid w:val="00983CA5"/>
    <w:rsid w:val="00985462"/>
    <w:rsid w:val="00986C9A"/>
    <w:rsid w:val="00986EAF"/>
    <w:rsid w:val="00990D1B"/>
    <w:rsid w:val="00991BBD"/>
    <w:rsid w:val="009920B1"/>
    <w:rsid w:val="00992653"/>
    <w:rsid w:val="00992C34"/>
    <w:rsid w:val="00993992"/>
    <w:rsid w:val="00993E78"/>
    <w:rsid w:val="00994214"/>
    <w:rsid w:val="00995CE9"/>
    <w:rsid w:val="00995DDC"/>
    <w:rsid w:val="0099723F"/>
    <w:rsid w:val="00997EC0"/>
    <w:rsid w:val="009A029E"/>
    <w:rsid w:val="009A0A72"/>
    <w:rsid w:val="009A2294"/>
    <w:rsid w:val="009A3305"/>
    <w:rsid w:val="009A3E2B"/>
    <w:rsid w:val="009B0F49"/>
    <w:rsid w:val="009B0FB4"/>
    <w:rsid w:val="009B3447"/>
    <w:rsid w:val="009B34C1"/>
    <w:rsid w:val="009B403B"/>
    <w:rsid w:val="009B414E"/>
    <w:rsid w:val="009B54DD"/>
    <w:rsid w:val="009B627E"/>
    <w:rsid w:val="009B6F4B"/>
    <w:rsid w:val="009B7400"/>
    <w:rsid w:val="009C0E85"/>
    <w:rsid w:val="009C1613"/>
    <w:rsid w:val="009C393C"/>
    <w:rsid w:val="009C450A"/>
    <w:rsid w:val="009C48E2"/>
    <w:rsid w:val="009C6300"/>
    <w:rsid w:val="009D74E1"/>
    <w:rsid w:val="009D797C"/>
    <w:rsid w:val="009E09A6"/>
    <w:rsid w:val="009E2064"/>
    <w:rsid w:val="009E2406"/>
    <w:rsid w:val="009E38EA"/>
    <w:rsid w:val="009E3AE1"/>
    <w:rsid w:val="009E4684"/>
    <w:rsid w:val="009E58DF"/>
    <w:rsid w:val="009E6F74"/>
    <w:rsid w:val="009E7350"/>
    <w:rsid w:val="009F0EA5"/>
    <w:rsid w:val="009F1064"/>
    <w:rsid w:val="009F18FF"/>
    <w:rsid w:val="009F1BCF"/>
    <w:rsid w:val="009F2750"/>
    <w:rsid w:val="009F2756"/>
    <w:rsid w:val="009F3C60"/>
    <w:rsid w:val="009F43F5"/>
    <w:rsid w:val="009F4606"/>
    <w:rsid w:val="009F4854"/>
    <w:rsid w:val="009F528C"/>
    <w:rsid w:val="009F651F"/>
    <w:rsid w:val="009F6DC7"/>
    <w:rsid w:val="009F7A74"/>
    <w:rsid w:val="009F7CFF"/>
    <w:rsid w:val="00A0500B"/>
    <w:rsid w:val="00A05CAC"/>
    <w:rsid w:val="00A06AA3"/>
    <w:rsid w:val="00A11E6F"/>
    <w:rsid w:val="00A133C8"/>
    <w:rsid w:val="00A1384A"/>
    <w:rsid w:val="00A138AB"/>
    <w:rsid w:val="00A22556"/>
    <w:rsid w:val="00A2256F"/>
    <w:rsid w:val="00A23343"/>
    <w:rsid w:val="00A26994"/>
    <w:rsid w:val="00A2790B"/>
    <w:rsid w:val="00A31CA7"/>
    <w:rsid w:val="00A32301"/>
    <w:rsid w:val="00A33564"/>
    <w:rsid w:val="00A33B52"/>
    <w:rsid w:val="00A34182"/>
    <w:rsid w:val="00A34278"/>
    <w:rsid w:val="00A346CF"/>
    <w:rsid w:val="00A34A52"/>
    <w:rsid w:val="00A34B62"/>
    <w:rsid w:val="00A3538D"/>
    <w:rsid w:val="00A35988"/>
    <w:rsid w:val="00A35CE5"/>
    <w:rsid w:val="00A36531"/>
    <w:rsid w:val="00A401D1"/>
    <w:rsid w:val="00A4021B"/>
    <w:rsid w:val="00A40A3D"/>
    <w:rsid w:val="00A4163F"/>
    <w:rsid w:val="00A4253C"/>
    <w:rsid w:val="00A43056"/>
    <w:rsid w:val="00A44C39"/>
    <w:rsid w:val="00A469ED"/>
    <w:rsid w:val="00A4730F"/>
    <w:rsid w:val="00A50036"/>
    <w:rsid w:val="00A50FC1"/>
    <w:rsid w:val="00A519C7"/>
    <w:rsid w:val="00A53351"/>
    <w:rsid w:val="00A544E3"/>
    <w:rsid w:val="00A55DA9"/>
    <w:rsid w:val="00A56406"/>
    <w:rsid w:val="00A579EE"/>
    <w:rsid w:val="00A6058A"/>
    <w:rsid w:val="00A62487"/>
    <w:rsid w:val="00A66B2F"/>
    <w:rsid w:val="00A671DF"/>
    <w:rsid w:val="00A678D0"/>
    <w:rsid w:val="00A679ED"/>
    <w:rsid w:val="00A70385"/>
    <w:rsid w:val="00A71963"/>
    <w:rsid w:val="00A72FCF"/>
    <w:rsid w:val="00A741B3"/>
    <w:rsid w:val="00A751B6"/>
    <w:rsid w:val="00A761D8"/>
    <w:rsid w:val="00A76B50"/>
    <w:rsid w:val="00A77171"/>
    <w:rsid w:val="00A820DB"/>
    <w:rsid w:val="00A83D6E"/>
    <w:rsid w:val="00A913E2"/>
    <w:rsid w:val="00A9390C"/>
    <w:rsid w:val="00A94226"/>
    <w:rsid w:val="00A956CB"/>
    <w:rsid w:val="00A95780"/>
    <w:rsid w:val="00A963F1"/>
    <w:rsid w:val="00AA01B2"/>
    <w:rsid w:val="00AA1496"/>
    <w:rsid w:val="00AA2F93"/>
    <w:rsid w:val="00AA433B"/>
    <w:rsid w:val="00AA5058"/>
    <w:rsid w:val="00AA5DA0"/>
    <w:rsid w:val="00AA76C6"/>
    <w:rsid w:val="00AB0C2B"/>
    <w:rsid w:val="00AB29B6"/>
    <w:rsid w:val="00AB3202"/>
    <w:rsid w:val="00AB3231"/>
    <w:rsid w:val="00AB3552"/>
    <w:rsid w:val="00AB4A5B"/>
    <w:rsid w:val="00AB6127"/>
    <w:rsid w:val="00AB64F1"/>
    <w:rsid w:val="00AB65F0"/>
    <w:rsid w:val="00AB7087"/>
    <w:rsid w:val="00AB73D8"/>
    <w:rsid w:val="00AC03A7"/>
    <w:rsid w:val="00AC09DB"/>
    <w:rsid w:val="00AC0A4A"/>
    <w:rsid w:val="00AC0DE2"/>
    <w:rsid w:val="00AC132E"/>
    <w:rsid w:val="00AC1678"/>
    <w:rsid w:val="00AC4651"/>
    <w:rsid w:val="00AC4FDB"/>
    <w:rsid w:val="00AC796C"/>
    <w:rsid w:val="00AD0294"/>
    <w:rsid w:val="00AD0BFB"/>
    <w:rsid w:val="00AD25F5"/>
    <w:rsid w:val="00AD344E"/>
    <w:rsid w:val="00AD37E5"/>
    <w:rsid w:val="00AD44C9"/>
    <w:rsid w:val="00AD550D"/>
    <w:rsid w:val="00AD757B"/>
    <w:rsid w:val="00AD7CFE"/>
    <w:rsid w:val="00AE0EF4"/>
    <w:rsid w:val="00AE1F24"/>
    <w:rsid w:val="00AE2D9A"/>
    <w:rsid w:val="00AE50C0"/>
    <w:rsid w:val="00AE50F1"/>
    <w:rsid w:val="00AE5FCF"/>
    <w:rsid w:val="00AE69E4"/>
    <w:rsid w:val="00AF09B4"/>
    <w:rsid w:val="00AF1AF8"/>
    <w:rsid w:val="00AF27C4"/>
    <w:rsid w:val="00AF4E20"/>
    <w:rsid w:val="00AF7BB4"/>
    <w:rsid w:val="00B00D32"/>
    <w:rsid w:val="00B021A3"/>
    <w:rsid w:val="00B03B76"/>
    <w:rsid w:val="00B03D49"/>
    <w:rsid w:val="00B057A7"/>
    <w:rsid w:val="00B05B4D"/>
    <w:rsid w:val="00B06B28"/>
    <w:rsid w:val="00B06D2B"/>
    <w:rsid w:val="00B10641"/>
    <w:rsid w:val="00B1066F"/>
    <w:rsid w:val="00B116DB"/>
    <w:rsid w:val="00B1263B"/>
    <w:rsid w:val="00B13035"/>
    <w:rsid w:val="00B13A14"/>
    <w:rsid w:val="00B15743"/>
    <w:rsid w:val="00B1681B"/>
    <w:rsid w:val="00B16D4D"/>
    <w:rsid w:val="00B21917"/>
    <w:rsid w:val="00B24EBC"/>
    <w:rsid w:val="00B25131"/>
    <w:rsid w:val="00B26CAF"/>
    <w:rsid w:val="00B304CC"/>
    <w:rsid w:val="00B30767"/>
    <w:rsid w:val="00B30D8B"/>
    <w:rsid w:val="00B3714A"/>
    <w:rsid w:val="00B3744B"/>
    <w:rsid w:val="00B3750C"/>
    <w:rsid w:val="00B37D30"/>
    <w:rsid w:val="00B410A6"/>
    <w:rsid w:val="00B501F0"/>
    <w:rsid w:val="00B50209"/>
    <w:rsid w:val="00B53AA6"/>
    <w:rsid w:val="00B5656B"/>
    <w:rsid w:val="00B5673F"/>
    <w:rsid w:val="00B60E0A"/>
    <w:rsid w:val="00B616CB"/>
    <w:rsid w:val="00B62E96"/>
    <w:rsid w:val="00B634DC"/>
    <w:rsid w:val="00B6395D"/>
    <w:rsid w:val="00B63DD2"/>
    <w:rsid w:val="00B66B88"/>
    <w:rsid w:val="00B66DBA"/>
    <w:rsid w:val="00B671F8"/>
    <w:rsid w:val="00B6746C"/>
    <w:rsid w:val="00B71881"/>
    <w:rsid w:val="00B71C46"/>
    <w:rsid w:val="00B71E2A"/>
    <w:rsid w:val="00B724C3"/>
    <w:rsid w:val="00B7650F"/>
    <w:rsid w:val="00B76695"/>
    <w:rsid w:val="00B77BC9"/>
    <w:rsid w:val="00B835E9"/>
    <w:rsid w:val="00B8385A"/>
    <w:rsid w:val="00B851CA"/>
    <w:rsid w:val="00B8566E"/>
    <w:rsid w:val="00B85A28"/>
    <w:rsid w:val="00B86339"/>
    <w:rsid w:val="00B86472"/>
    <w:rsid w:val="00B86783"/>
    <w:rsid w:val="00B87768"/>
    <w:rsid w:val="00B87F51"/>
    <w:rsid w:val="00B90350"/>
    <w:rsid w:val="00B913EA"/>
    <w:rsid w:val="00B9257C"/>
    <w:rsid w:val="00B9318C"/>
    <w:rsid w:val="00B9762C"/>
    <w:rsid w:val="00BA00CB"/>
    <w:rsid w:val="00BA1204"/>
    <w:rsid w:val="00BA218D"/>
    <w:rsid w:val="00BA2336"/>
    <w:rsid w:val="00BA34E4"/>
    <w:rsid w:val="00BA3DB9"/>
    <w:rsid w:val="00BA5352"/>
    <w:rsid w:val="00BA55AD"/>
    <w:rsid w:val="00BA6244"/>
    <w:rsid w:val="00BB20C4"/>
    <w:rsid w:val="00BB22CC"/>
    <w:rsid w:val="00BB2B8E"/>
    <w:rsid w:val="00BB3AF4"/>
    <w:rsid w:val="00BB3FE3"/>
    <w:rsid w:val="00BB5C8E"/>
    <w:rsid w:val="00BB5E5D"/>
    <w:rsid w:val="00BB6E15"/>
    <w:rsid w:val="00BB6E84"/>
    <w:rsid w:val="00BB7EA8"/>
    <w:rsid w:val="00BC0310"/>
    <w:rsid w:val="00BC1D4F"/>
    <w:rsid w:val="00BC2766"/>
    <w:rsid w:val="00BC27D2"/>
    <w:rsid w:val="00BC2ABE"/>
    <w:rsid w:val="00BC34D4"/>
    <w:rsid w:val="00BC4606"/>
    <w:rsid w:val="00BC4648"/>
    <w:rsid w:val="00BC5482"/>
    <w:rsid w:val="00BC6692"/>
    <w:rsid w:val="00BC6C4A"/>
    <w:rsid w:val="00BC758D"/>
    <w:rsid w:val="00BD1290"/>
    <w:rsid w:val="00BD22DA"/>
    <w:rsid w:val="00BD4175"/>
    <w:rsid w:val="00BD4825"/>
    <w:rsid w:val="00BD6AA3"/>
    <w:rsid w:val="00BD7016"/>
    <w:rsid w:val="00BD78B2"/>
    <w:rsid w:val="00BD7E0D"/>
    <w:rsid w:val="00BE0A23"/>
    <w:rsid w:val="00BE10FF"/>
    <w:rsid w:val="00BE206A"/>
    <w:rsid w:val="00BE2211"/>
    <w:rsid w:val="00BE23CE"/>
    <w:rsid w:val="00BE346C"/>
    <w:rsid w:val="00BE40F6"/>
    <w:rsid w:val="00BE4A0D"/>
    <w:rsid w:val="00BE5D65"/>
    <w:rsid w:val="00BE68A0"/>
    <w:rsid w:val="00BE72DD"/>
    <w:rsid w:val="00BE7314"/>
    <w:rsid w:val="00BE797C"/>
    <w:rsid w:val="00BF036D"/>
    <w:rsid w:val="00BF0EA9"/>
    <w:rsid w:val="00BF14E5"/>
    <w:rsid w:val="00BF378F"/>
    <w:rsid w:val="00BF3B55"/>
    <w:rsid w:val="00BF46B0"/>
    <w:rsid w:val="00BF7215"/>
    <w:rsid w:val="00BF7568"/>
    <w:rsid w:val="00C0131F"/>
    <w:rsid w:val="00C02A3D"/>
    <w:rsid w:val="00C02DF1"/>
    <w:rsid w:val="00C03922"/>
    <w:rsid w:val="00C03A00"/>
    <w:rsid w:val="00C03CDE"/>
    <w:rsid w:val="00C05741"/>
    <w:rsid w:val="00C057E6"/>
    <w:rsid w:val="00C07B97"/>
    <w:rsid w:val="00C07E50"/>
    <w:rsid w:val="00C11340"/>
    <w:rsid w:val="00C11770"/>
    <w:rsid w:val="00C13935"/>
    <w:rsid w:val="00C13BF6"/>
    <w:rsid w:val="00C14AC8"/>
    <w:rsid w:val="00C15693"/>
    <w:rsid w:val="00C157FF"/>
    <w:rsid w:val="00C1618B"/>
    <w:rsid w:val="00C16944"/>
    <w:rsid w:val="00C17B58"/>
    <w:rsid w:val="00C20983"/>
    <w:rsid w:val="00C20A02"/>
    <w:rsid w:val="00C21318"/>
    <w:rsid w:val="00C216D9"/>
    <w:rsid w:val="00C230B6"/>
    <w:rsid w:val="00C23F10"/>
    <w:rsid w:val="00C251E3"/>
    <w:rsid w:val="00C26797"/>
    <w:rsid w:val="00C30F50"/>
    <w:rsid w:val="00C32179"/>
    <w:rsid w:val="00C32981"/>
    <w:rsid w:val="00C339B8"/>
    <w:rsid w:val="00C34A17"/>
    <w:rsid w:val="00C3518D"/>
    <w:rsid w:val="00C35747"/>
    <w:rsid w:val="00C35B41"/>
    <w:rsid w:val="00C369BA"/>
    <w:rsid w:val="00C37623"/>
    <w:rsid w:val="00C37D9C"/>
    <w:rsid w:val="00C40DFF"/>
    <w:rsid w:val="00C4269F"/>
    <w:rsid w:val="00C4590D"/>
    <w:rsid w:val="00C45E8E"/>
    <w:rsid w:val="00C47348"/>
    <w:rsid w:val="00C505A9"/>
    <w:rsid w:val="00C505C3"/>
    <w:rsid w:val="00C51AD7"/>
    <w:rsid w:val="00C52724"/>
    <w:rsid w:val="00C53379"/>
    <w:rsid w:val="00C5349F"/>
    <w:rsid w:val="00C53E15"/>
    <w:rsid w:val="00C55031"/>
    <w:rsid w:val="00C565FC"/>
    <w:rsid w:val="00C56BB0"/>
    <w:rsid w:val="00C57EE9"/>
    <w:rsid w:val="00C60BBA"/>
    <w:rsid w:val="00C60E61"/>
    <w:rsid w:val="00C61516"/>
    <w:rsid w:val="00C64E98"/>
    <w:rsid w:val="00C64EC4"/>
    <w:rsid w:val="00C658A2"/>
    <w:rsid w:val="00C66975"/>
    <w:rsid w:val="00C6754C"/>
    <w:rsid w:val="00C716E0"/>
    <w:rsid w:val="00C72E32"/>
    <w:rsid w:val="00C759D3"/>
    <w:rsid w:val="00C7620E"/>
    <w:rsid w:val="00C76447"/>
    <w:rsid w:val="00C80BAD"/>
    <w:rsid w:val="00C8119C"/>
    <w:rsid w:val="00C833B9"/>
    <w:rsid w:val="00C83D9B"/>
    <w:rsid w:val="00C85977"/>
    <w:rsid w:val="00C8780F"/>
    <w:rsid w:val="00C87C2F"/>
    <w:rsid w:val="00C87FE7"/>
    <w:rsid w:val="00C9024B"/>
    <w:rsid w:val="00C90937"/>
    <w:rsid w:val="00C91BFB"/>
    <w:rsid w:val="00C920EF"/>
    <w:rsid w:val="00C92D2E"/>
    <w:rsid w:val="00C9410D"/>
    <w:rsid w:val="00C965BC"/>
    <w:rsid w:val="00C973F7"/>
    <w:rsid w:val="00CA0201"/>
    <w:rsid w:val="00CA0E57"/>
    <w:rsid w:val="00CA1FB9"/>
    <w:rsid w:val="00CA333C"/>
    <w:rsid w:val="00CA4D08"/>
    <w:rsid w:val="00CA5472"/>
    <w:rsid w:val="00CA55B9"/>
    <w:rsid w:val="00CA5A78"/>
    <w:rsid w:val="00CA7908"/>
    <w:rsid w:val="00CB0877"/>
    <w:rsid w:val="00CB1202"/>
    <w:rsid w:val="00CB2168"/>
    <w:rsid w:val="00CB296F"/>
    <w:rsid w:val="00CB3648"/>
    <w:rsid w:val="00CB74DE"/>
    <w:rsid w:val="00CC30C1"/>
    <w:rsid w:val="00CC32E4"/>
    <w:rsid w:val="00CC371E"/>
    <w:rsid w:val="00CC4C58"/>
    <w:rsid w:val="00CC515F"/>
    <w:rsid w:val="00CC5C41"/>
    <w:rsid w:val="00CC7D65"/>
    <w:rsid w:val="00CD0923"/>
    <w:rsid w:val="00CD2781"/>
    <w:rsid w:val="00CD2F49"/>
    <w:rsid w:val="00CD3306"/>
    <w:rsid w:val="00CD3500"/>
    <w:rsid w:val="00CD61D0"/>
    <w:rsid w:val="00CE05A5"/>
    <w:rsid w:val="00CE0B40"/>
    <w:rsid w:val="00CE1D56"/>
    <w:rsid w:val="00CE2CE3"/>
    <w:rsid w:val="00CE6E41"/>
    <w:rsid w:val="00CE7CBF"/>
    <w:rsid w:val="00CF02F5"/>
    <w:rsid w:val="00CF25D3"/>
    <w:rsid w:val="00CF3712"/>
    <w:rsid w:val="00CF40A0"/>
    <w:rsid w:val="00D00466"/>
    <w:rsid w:val="00D0144B"/>
    <w:rsid w:val="00D017C7"/>
    <w:rsid w:val="00D01C99"/>
    <w:rsid w:val="00D026B0"/>
    <w:rsid w:val="00D0340A"/>
    <w:rsid w:val="00D03DBA"/>
    <w:rsid w:val="00D042EC"/>
    <w:rsid w:val="00D05093"/>
    <w:rsid w:val="00D052BD"/>
    <w:rsid w:val="00D05334"/>
    <w:rsid w:val="00D06601"/>
    <w:rsid w:val="00D06616"/>
    <w:rsid w:val="00D07014"/>
    <w:rsid w:val="00D076B6"/>
    <w:rsid w:val="00D07BC1"/>
    <w:rsid w:val="00D07C07"/>
    <w:rsid w:val="00D11AF2"/>
    <w:rsid w:val="00D12732"/>
    <w:rsid w:val="00D13F6B"/>
    <w:rsid w:val="00D145A7"/>
    <w:rsid w:val="00D155DC"/>
    <w:rsid w:val="00D16117"/>
    <w:rsid w:val="00D17945"/>
    <w:rsid w:val="00D1795D"/>
    <w:rsid w:val="00D204ED"/>
    <w:rsid w:val="00D218F8"/>
    <w:rsid w:val="00D22090"/>
    <w:rsid w:val="00D23C5E"/>
    <w:rsid w:val="00D248AD"/>
    <w:rsid w:val="00D24A77"/>
    <w:rsid w:val="00D27D8F"/>
    <w:rsid w:val="00D325E5"/>
    <w:rsid w:val="00D327B7"/>
    <w:rsid w:val="00D32A6C"/>
    <w:rsid w:val="00D3464E"/>
    <w:rsid w:val="00D3618F"/>
    <w:rsid w:val="00D40491"/>
    <w:rsid w:val="00D40E6A"/>
    <w:rsid w:val="00D4105B"/>
    <w:rsid w:val="00D4184F"/>
    <w:rsid w:val="00D4223E"/>
    <w:rsid w:val="00D46C80"/>
    <w:rsid w:val="00D473FE"/>
    <w:rsid w:val="00D5045C"/>
    <w:rsid w:val="00D51711"/>
    <w:rsid w:val="00D51BE6"/>
    <w:rsid w:val="00D51E55"/>
    <w:rsid w:val="00D5247F"/>
    <w:rsid w:val="00D5263A"/>
    <w:rsid w:val="00D52DD0"/>
    <w:rsid w:val="00D52FBA"/>
    <w:rsid w:val="00D54D27"/>
    <w:rsid w:val="00D5500F"/>
    <w:rsid w:val="00D56BCB"/>
    <w:rsid w:val="00D57F6B"/>
    <w:rsid w:val="00D57FA6"/>
    <w:rsid w:val="00D6051D"/>
    <w:rsid w:val="00D6080B"/>
    <w:rsid w:val="00D61E2D"/>
    <w:rsid w:val="00D62FF4"/>
    <w:rsid w:val="00D65F8F"/>
    <w:rsid w:val="00D67891"/>
    <w:rsid w:val="00D67FBD"/>
    <w:rsid w:val="00D7033C"/>
    <w:rsid w:val="00D71273"/>
    <w:rsid w:val="00D71ABD"/>
    <w:rsid w:val="00D72C89"/>
    <w:rsid w:val="00D734E8"/>
    <w:rsid w:val="00D74831"/>
    <w:rsid w:val="00D74D25"/>
    <w:rsid w:val="00D75989"/>
    <w:rsid w:val="00D77580"/>
    <w:rsid w:val="00D80288"/>
    <w:rsid w:val="00D80BCC"/>
    <w:rsid w:val="00D83CBB"/>
    <w:rsid w:val="00D84D2E"/>
    <w:rsid w:val="00D8612C"/>
    <w:rsid w:val="00D904AE"/>
    <w:rsid w:val="00D90DF9"/>
    <w:rsid w:val="00D910CA"/>
    <w:rsid w:val="00D912B1"/>
    <w:rsid w:val="00D91795"/>
    <w:rsid w:val="00D91C04"/>
    <w:rsid w:val="00D92DE5"/>
    <w:rsid w:val="00D93D41"/>
    <w:rsid w:val="00D93E2A"/>
    <w:rsid w:val="00D96D77"/>
    <w:rsid w:val="00DA4286"/>
    <w:rsid w:val="00DA50ED"/>
    <w:rsid w:val="00DA56C6"/>
    <w:rsid w:val="00DB0035"/>
    <w:rsid w:val="00DB0304"/>
    <w:rsid w:val="00DB1490"/>
    <w:rsid w:val="00DB292C"/>
    <w:rsid w:val="00DB340E"/>
    <w:rsid w:val="00DB544D"/>
    <w:rsid w:val="00DB54FA"/>
    <w:rsid w:val="00DB70FD"/>
    <w:rsid w:val="00DC0994"/>
    <w:rsid w:val="00DC1354"/>
    <w:rsid w:val="00DC246C"/>
    <w:rsid w:val="00DC4982"/>
    <w:rsid w:val="00DC5754"/>
    <w:rsid w:val="00DC6972"/>
    <w:rsid w:val="00DC6DB4"/>
    <w:rsid w:val="00DC7449"/>
    <w:rsid w:val="00DC79CC"/>
    <w:rsid w:val="00DD1437"/>
    <w:rsid w:val="00DD1EFA"/>
    <w:rsid w:val="00DD2069"/>
    <w:rsid w:val="00DD24AE"/>
    <w:rsid w:val="00DD257C"/>
    <w:rsid w:val="00DD2EBE"/>
    <w:rsid w:val="00DD3C4D"/>
    <w:rsid w:val="00DD517B"/>
    <w:rsid w:val="00DD7781"/>
    <w:rsid w:val="00DE0DB0"/>
    <w:rsid w:val="00DE0E6B"/>
    <w:rsid w:val="00DE18E7"/>
    <w:rsid w:val="00DE1E59"/>
    <w:rsid w:val="00DE2991"/>
    <w:rsid w:val="00DE2AAF"/>
    <w:rsid w:val="00DE4718"/>
    <w:rsid w:val="00DE73AF"/>
    <w:rsid w:val="00DF337D"/>
    <w:rsid w:val="00DF59E2"/>
    <w:rsid w:val="00DF62EB"/>
    <w:rsid w:val="00DF6341"/>
    <w:rsid w:val="00DF6F18"/>
    <w:rsid w:val="00DF7B39"/>
    <w:rsid w:val="00E023F6"/>
    <w:rsid w:val="00E02FAB"/>
    <w:rsid w:val="00E03F94"/>
    <w:rsid w:val="00E102F1"/>
    <w:rsid w:val="00E12C62"/>
    <w:rsid w:val="00E140D0"/>
    <w:rsid w:val="00E1559B"/>
    <w:rsid w:val="00E1606D"/>
    <w:rsid w:val="00E16E40"/>
    <w:rsid w:val="00E178FE"/>
    <w:rsid w:val="00E21EF7"/>
    <w:rsid w:val="00E229C7"/>
    <w:rsid w:val="00E23789"/>
    <w:rsid w:val="00E23837"/>
    <w:rsid w:val="00E23AAA"/>
    <w:rsid w:val="00E247B3"/>
    <w:rsid w:val="00E25EB0"/>
    <w:rsid w:val="00E26955"/>
    <w:rsid w:val="00E26BF4"/>
    <w:rsid w:val="00E2700F"/>
    <w:rsid w:val="00E27488"/>
    <w:rsid w:val="00E30FE2"/>
    <w:rsid w:val="00E32578"/>
    <w:rsid w:val="00E33C27"/>
    <w:rsid w:val="00E35AD3"/>
    <w:rsid w:val="00E36DF6"/>
    <w:rsid w:val="00E40625"/>
    <w:rsid w:val="00E4130E"/>
    <w:rsid w:val="00E415BA"/>
    <w:rsid w:val="00E428AD"/>
    <w:rsid w:val="00E43219"/>
    <w:rsid w:val="00E43710"/>
    <w:rsid w:val="00E43805"/>
    <w:rsid w:val="00E43E5F"/>
    <w:rsid w:val="00E44102"/>
    <w:rsid w:val="00E44B12"/>
    <w:rsid w:val="00E44E80"/>
    <w:rsid w:val="00E46008"/>
    <w:rsid w:val="00E465F2"/>
    <w:rsid w:val="00E46EF5"/>
    <w:rsid w:val="00E4704E"/>
    <w:rsid w:val="00E4778C"/>
    <w:rsid w:val="00E47CA6"/>
    <w:rsid w:val="00E50D5C"/>
    <w:rsid w:val="00E50E74"/>
    <w:rsid w:val="00E53549"/>
    <w:rsid w:val="00E5379B"/>
    <w:rsid w:val="00E545B1"/>
    <w:rsid w:val="00E54D45"/>
    <w:rsid w:val="00E55777"/>
    <w:rsid w:val="00E56448"/>
    <w:rsid w:val="00E572FC"/>
    <w:rsid w:val="00E5796E"/>
    <w:rsid w:val="00E57CDA"/>
    <w:rsid w:val="00E61439"/>
    <w:rsid w:val="00E62E84"/>
    <w:rsid w:val="00E642DF"/>
    <w:rsid w:val="00E64854"/>
    <w:rsid w:val="00E65737"/>
    <w:rsid w:val="00E65FED"/>
    <w:rsid w:val="00E66E06"/>
    <w:rsid w:val="00E67B19"/>
    <w:rsid w:val="00E7024E"/>
    <w:rsid w:val="00E70CAD"/>
    <w:rsid w:val="00E71ED4"/>
    <w:rsid w:val="00E7354E"/>
    <w:rsid w:val="00E74557"/>
    <w:rsid w:val="00E764FC"/>
    <w:rsid w:val="00E7722C"/>
    <w:rsid w:val="00E80A23"/>
    <w:rsid w:val="00E819A4"/>
    <w:rsid w:val="00E833DF"/>
    <w:rsid w:val="00E850A0"/>
    <w:rsid w:val="00E851CF"/>
    <w:rsid w:val="00E876B3"/>
    <w:rsid w:val="00E91E16"/>
    <w:rsid w:val="00E91E8B"/>
    <w:rsid w:val="00E94A57"/>
    <w:rsid w:val="00E95E88"/>
    <w:rsid w:val="00E97F9A"/>
    <w:rsid w:val="00EA1A16"/>
    <w:rsid w:val="00EA4C3E"/>
    <w:rsid w:val="00EA68CD"/>
    <w:rsid w:val="00EA704F"/>
    <w:rsid w:val="00EB47A3"/>
    <w:rsid w:val="00EB5221"/>
    <w:rsid w:val="00EB5878"/>
    <w:rsid w:val="00EB6122"/>
    <w:rsid w:val="00EB646D"/>
    <w:rsid w:val="00EC0749"/>
    <w:rsid w:val="00EC0765"/>
    <w:rsid w:val="00EC0E1B"/>
    <w:rsid w:val="00EC3802"/>
    <w:rsid w:val="00EC54EE"/>
    <w:rsid w:val="00EC5622"/>
    <w:rsid w:val="00EC62AB"/>
    <w:rsid w:val="00EC686F"/>
    <w:rsid w:val="00ED03EB"/>
    <w:rsid w:val="00ED2B5E"/>
    <w:rsid w:val="00ED6418"/>
    <w:rsid w:val="00ED6CE0"/>
    <w:rsid w:val="00ED6F48"/>
    <w:rsid w:val="00ED7F2D"/>
    <w:rsid w:val="00EE09FD"/>
    <w:rsid w:val="00EE1D21"/>
    <w:rsid w:val="00EE1FAB"/>
    <w:rsid w:val="00EE22B6"/>
    <w:rsid w:val="00EE2579"/>
    <w:rsid w:val="00EE3048"/>
    <w:rsid w:val="00EE5254"/>
    <w:rsid w:val="00EE6243"/>
    <w:rsid w:val="00EE6A73"/>
    <w:rsid w:val="00EE6D97"/>
    <w:rsid w:val="00EF09FD"/>
    <w:rsid w:val="00EF1453"/>
    <w:rsid w:val="00EF2EF2"/>
    <w:rsid w:val="00EF3F33"/>
    <w:rsid w:val="00EF5A90"/>
    <w:rsid w:val="00EF61A8"/>
    <w:rsid w:val="00EF6DAB"/>
    <w:rsid w:val="00EF76AA"/>
    <w:rsid w:val="00EF7F6C"/>
    <w:rsid w:val="00F00410"/>
    <w:rsid w:val="00F0127C"/>
    <w:rsid w:val="00F06BF3"/>
    <w:rsid w:val="00F07792"/>
    <w:rsid w:val="00F07953"/>
    <w:rsid w:val="00F1024E"/>
    <w:rsid w:val="00F10ED3"/>
    <w:rsid w:val="00F113B3"/>
    <w:rsid w:val="00F11C15"/>
    <w:rsid w:val="00F128F7"/>
    <w:rsid w:val="00F12F7B"/>
    <w:rsid w:val="00F13C31"/>
    <w:rsid w:val="00F16C0B"/>
    <w:rsid w:val="00F16D75"/>
    <w:rsid w:val="00F24052"/>
    <w:rsid w:val="00F253C1"/>
    <w:rsid w:val="00F25C62"/>
    <w:rsid w:val="00F26476"/>
    <w:rsid w:val="00F271E5"/>
    <w:rsid w:val="00F27257"/>
    <w:rsid w:val="00F27E01"/>
    <w:rsid w:val="00F302D8"/>
    <w:rsid w:val="00F314B2"/>
    <w:rsid w:val="00F31E3E"/>
    <w:rsid w:val="00F3221E"/>
    <w:rsid w:val="00F323AB"/>
    <w:rsid w:val="00F32404"/>
    <w:rsid w:val="00F32AC5"/>
    <w:rsid w:val="00F333D6"/>
    <w:rsid w:val="00F362F3"/>
    <w:rsid w:val="00F4024B"/>
    <w:rsid w:val="00F40CDD"/>
    <w:rsid w:val="00F4170E"/>
    <w:rsid w:val="00F43134"/>
    <w:rsid w:val="00F442DD"/>
    <w:rsid w:val="00F45345"/>
    <w:rsid w:val="00F469E5"/>
    <w:rsid w:val="00F47E02"/>
    <w:rsid w:val="00F5016A"/>
    <w:rsid w:val="00F5032D"/>
    <w:rsid w:val="00F5148E"/>
    <w:rsid w:val="00F51A98"/>
    <w:rsid w:val="00F51FEB"/>
    <w:rsid w:val="00F522C0"/>
    <w:rsid w:val="00F53BC8"/>
    <w:rsid w:val="00F55E95"/>
    <w:rsid w:val="00F57FEC"/>
    <w:rsid w:val="00F600EA"/>
    <w:rsid w:val="00F60C24"/>
    <w:rsid w:val="00F61D3F"/>
    <w:rsid w:val="00F6209D"/>
    <w:rsid w:val="00F6340A"/>
    <w:rsid w:val="00F64352"/>
    <w:rsid w:val="00F646DD"/>
    <w:rsid w:val="00F668FD"/>
    <w:rsid w:val="00F70486"/>
    <w:rsid w:val="00F708A5"/>
    <w:rsid w:val="00F71778"/>
    <w:rsid w:val="00F724EA"/>
    <w:rsid w:val="00F72CFD"/>
    <w:rsid w:val="00F73748"/>
    <w:rsid w:val="00F74D43"/>
    <w:rsid w:val="00F75F80"/>
    <w:rsid w:val="00F76426"/>
    <w:rsid w:val="00F76BF5"/>
    <w:rsid w:val="00F77F02"/>
    <w:rsid w:val="00F81700"/>
    <w:rsid w:val="00F81870"/>
    <w:rsid w:val="00F82D2B"/>
    <w:rsid w:val="00F83E30"/>
    <w:rsid w:val="00F851DB"/>
    <w:rsid w:val="00F87937"/>
    <w:rsid w:val="00F90A21"/>
    <w:rsid w:val="00F9194E"/>
    <w:rsid w:val="00F9378D"/>
    <w:rsid w:val="00F94A4F"/>
    <w:rsid w:val="00F95D44"/>
    <w:rsid w:val="00F96119"/>
    <w:rsid w:val="00F964E2"/>
    <w:rsid w:val="00F979D6"/>
    <w:rsid w:val="00FA022F"/>
    <w:rsid w:val="00FA374D"/>
    <w:rsid w:val="00FA46B5"/>
    <w:rsid w:val="00FA5733"/>
    <w:rsid w:val="00FA6797"/>
    <w:rsid w:val="00FA6BD7"/>
    <w:rsid w:val="00FA771A"/>
    <w:rsid w:val="00FB079C"/>
    <w:rsid w:val="00FB09AF"/>
    <w:rsid w:val="00FB1CA6"/>
    <w:rsid w:val="00FB206E"/>
    <w:rsid w:val="00FB23A7"/>
    <w:rsid w:val="00FB2B60"/>
    <w:rsid w:val="00FB6B4E"/>
    <w:rsid w:val="00FB7331"/>
    <w:rsid w:val="00FB7585"/>
    <w:rsid w:val="00FC0115"/>
    <w:rsid w:val="00FC029B"/>
    <w:rsid w:val="00FC174A"/>
    <w:rsid w:val="00FC1CD8"/>
    <w:rsid w:val="00FC1D64"/>
    <w:rsid w:val="00FC1DA1"/>
    <w:rsid w:val="00FC286E"/>
    <w:rsid w:val="00FC2BE0"/>
    <w:rsid w:val="00FC336E"/>
    <w:rsid w:val="00FC3587"/>
    <w:rsid w:val="00FC3DA0"/>
    <w:rsid w:val="00FC4418"/>
    <w:rsid w:val="00FC6000"/>
    <w:rsid w:val="00FD124C"/>
    <w:rsid w:val="00FD13A1"/>
    <w:rsid w:val="00FD21CA"/>
    <w:rsid w:val="00FD2A69"/>
    <w:rsid w:val="00FD3812"/>
    <w:rsid w:val="00FD40C1"/>
    <w:rsid w:val="00FD42B3"/>
    <w:rsid w:val="00FD4AA5"/>
    <w:rsid w:val="00FD5A9D"/>
    <w:rsid w:val="00FD5CDC"/>
    <w:rsid w:val="00FD69D9"/>
    <w:rsid w:val="00FD7A8F"/>
    <w:rsid w:val="00FD7EEC"/>
    <w:rsid w:val="00FE0DFC"/>
    <w:rsid w:val="00FE15C5"/>
    <w:rsid w:val="00FE19A2"/>
    <w:rsid w:val="00FE1AA2"/>
    <w:rsid w:val="00FE4672"/>
    <w:rsid w:val="00FE4E70"/>
    <w:rsid w:val="00FE718B"/>
    <w:rsid w:val="00FF272B"/>
    <w:rsid w:val="00FF2F6B"/>
    <w:rsid w:val="00FF3529"/>
    <w:rsid w:val="00FF49B0"/>
    <w:rsid w:val="00FF6010"/>
    <w:rsid w:val="00FF771B"/>
    <w:rsid w:val="0114450E"/>
    <w:rsid w:val="01866EFD"/>
    <w:rsid w:val="01D071A0"/>
    <w:rsid w:val="01E73665"/>
    <w:rsid w:val="0262015D"/>
    <w:rsid w:val="027421E2"/>
    <w:rsid w:val="02926272"/>
    <w:rsid w:val="02AE76B5"/>
    <w:rsid w:val="0324280B"/>
    <w:rsid w:val="036B41ED"/>
    <w:rsid w:val="03922EE8"/>
    <w:rsid w:val="03D25139"/>
    <w:rsid w:val="04242C34"/>
    <w:rsid w:val="04525B69"/>
    <w:rsid w:val="047D37F0"/>
    <w:rsid w:val="047F5D11"/>
    <w:rsid w:val="04993CCD"/>
    <w:rsid w:val="04A34D8C"/>
    <w:rsid w:val="04AF1F16"/>
    <w:rsid w:val="04D92B37"/>
    <w:rsid w:val="05AC6D1D"/>
    <w:rsid w:val="05B977EB"/>
    <w:rsid w:val="06595CFF"/>
    <w:rsid w:val="06967EEB"/>
    <w:rsid w:val="06D53BFB"/>
    <w:rsid w:val="077D2DD8"/>
    <w:rsid w:val="07C4358E"/>
    <w:rsid w:val="082A0972"/>
    <w:rsid w:val="084F2647"/>
    <w:rsid w:val="084F6742"/>
    <w:rsid w:val="098026FD"/>
    <w:rsid w:val="0A2602F3"/>
    <w:rsid w:val="0A423A6D"/>
    <w:rsid w:val="0A623D21"/>
    <w:rsid w:val="0A946E0A"/>
    <w:rsid w:val="0AA50B55"/>
    <w:rsid w:val="0B9022CF"/>
    <w:rsid w:val="0CCE4A1B"/>
    <w:rsid w:val="0D187FF9"/>
    <w:rsid w:val="0D217832"/>
    <w:rsid w:val="0D594EE8"/>
    <w:rsid w:val="0D662E08"/>
    <w:rsid w:val="0D8768F9"/>
    <w:rsid w:val="0D8C4FDD"/>
    <w:rsid w:val="0DB13F0A"/>
    <w:rsid w:val="0DBC135B"/>
    <w:rsid w:val="0E550512"/>
    <w:rsid w:val="0E584BA4"/>
    <w:rsid w:val="0EDC3100"/>
    <w:rsid w:val="0F481C79"/>
    <w:rsid w:val="0F4F0C82"/>
    <w:rsid w:val="0F701AFC"/>
    <w:rsid w:val="0F914050"/>
    <w:rsid w:val="102B124F"/>
    <w:rsid w:val="10323600"/>
    <w:rsid w:val="107A4CE3"/>
    <w:rsid w:val="10994EC9"/>
    <w:rsid w:val="10DC69E5"/>
    <w:rsid w:val="11487ACF"/>
    <w:rsid w:val="11875551"/>
    <w:rsid w:val="11E53991"/>
    <w:rsid w:val="129F5136"/>
    <w:rsid w:val="13056DA1"/>
    <w:rsid w:val="130D4BEE"/>
    <w:rsid w:val="131F597E"/>
    <w:rsid w:val="13495436"/>
    <w:rsid w:val="135C6540"/>
    <w:rsid w:val="135D2B3F"/>
    <w:rsid w:val="137D1656"/>
    <w:rsid w:val="13B034E4"/>
    <w:rsid w:val="13BB1E33"/>
    <w:rsid w:val="14256510"/>
    <w:rsid w:val="148179DB"/>
    <w:rsid w:val="14D26E5D"/>
    <w:rsid w:val="14D97A77"/>
    <w:rsid w:val="14FD69B2"/>
    <w:rsid w:val="15124BC9"/>
    <w:rsid w:val="151F646F"/>
    <w:rsid w:val="157023B4"/>
    <w:rsid w:val="157052DB"/>
    <w:rsid w:val="15903D84"/>
    <w:rsid w:val="15AE4291"/>
    <w:rsid w:val="167371B9"/>
    <w:rsid w:val="16916602"/>
    <w:rsid w:val="16943340"/>
    <w:rsid w:val="16DB0D23"/>
    <w:rsid w:val="1704755B"/>
    <w:rsid w:val="17430A55"/>
    <w:rsid w:val="176240E3"/>
    <w:rsid w:val="176C5AE7"/>
    <w:rsid w:val="177619D0"/>
    <w:rsid w:val="17800E6A"/>
    <w:rsid w:val="178C7701"/>
    <w:rsid w:val="181F5252"/>
    <w:rsid w:val="189D1773"/>
    <w:rsid w:val="191C45FD"/>
    <w:rsid w:val="19A4163F"/>
    <w:rsid w:val="1AE166AD"/>
    <w:rsid w:val="1B922006"/>
    <w:rsid w:val="1BFA644A"/>
    <w:rsid w:val="1C2F195D"/>
    <w:rsid w:val="1C317008"/>
    <w:rsid w:val="1C325A5A"/>
    <w:rsid w:val="1C9F62B1"/>
    <w:rsid w:val="1CE6696C"/>
    <w:rsid w:val="1D0E621C"/>
    <w:rsid w:val="1D5C0E2D"/>
    <w:rsid w:val="1D7D4124"/>
    <w:rsid w:val="1D892A61"/>
    <w:rsid w:val="1DBE3C88"/>
    <w:rsid w:val="1DD47F82"/>
    <w:rsid w:val="1E473968"/>
    <w:rsid w:val="1F2C0698"/>
    <w:rsid w:val="1F423197"/>
    <w:rsid w:val="1FB2128A"/>
    <w:rsid w:val="204A63B8"/>
    <w:rsid w:val="21465AA6"/>
    <w:rsid w:val="21760275"/>
    <w:rsid w:val="21C32169"/>
    <w:rsid w:val="225758C8"/>
    <w:rsid w:val="22977147"/>
    <w:rsid w:val="230C6F1C"/>
    <w:rsid w:val="23602307"/>
    <w:rsid w:val="23654E0F"/>
    <w:rsid w:val="23734838"/>
    <w:rsid w:val="237D2005"/>
    <w:rsid w:val="24A1359C"/>
    <w:rsid w:val="25480121"/>
    <w:rsid w:val="25B43080"/>
    <w:rsid w:val="25CF44C6"/>
    <w:rsid w:val="26456FE5"/>
    <w:rsid w:val="26601E01"/>
    <w:rsid w:val="26902452"/>
    <w:rsid w:val="26B405A3"/>
    <w:rsid w:val="26C77387"/>
    <w:rsid w:val="26F87993"/>
    <w:rsid w:val="27091C61"/>
    <w:rsid w:val="270C5E9F"/>
    <w:rsid w:val="271479D3"/>
    <w:rsid w:val="2728508B"/>
    <w:rsid w:val="2742617D"/>
    <w:rsid w:val="275A62E6"/>
    <w:rsid w:val="275F2F31"/>
    <w:rsid w:val="276869F2"/>
    <w:rsid w:val="277236EB"/>
    <w:rsid w:val="27D500FA"/>
    <w:rsid w:val="284729C0"/>
    <w:rsid w:val="288F3813"/>
    <w:rsid w:val="2906626C"/>
    <w:rsid w:val="2909285F"/>
    <w:rsid w:val="29107FCC"/>
    <w:rsid w:val="29365CAD"/>
    <w:rsid w:val="294B7042"/>
    <w:rsid w:val="298236A4"/>
    <w:rsid w:val="298F789E"/>
    <w:rsid w:val="2AA00C2E"/>
    <w:rsid w:val="2AB71661"/>
    <w:rsid w:val="2AF50D00"/>
    <w:rsid w:val="2B1B3AB8"/>
    <w:rsid w:val="2B8E0355"/>
    <w:rsid w:val="2BF821BA"/>
    <w:rsid w:val="2BFD7009"/>
    <w:rsid w:val="2C0F7BDD"/>
    <w:rsid w:val="2CA96CD7"/>
    <w:rsid w:val="2DD56D78"/>
    <w:rsid w:val="2E417F8E"/>
    <w:rsid w:val="2E7A527D"/>
    <w:rsid w:val="2F0E2F7B"/>
    <w:rsid w:val="2F3654C2"/>
    <w:rsid w:val="2F3F5AC4"/>
    <w:rsid w:val="2F4E38D7"/>
    <w:rsid w:val="2F770CCD"/>
    <w:rsid w:val="2FA261AC"/>
    <w:rsid w:val="2FAB776E"/>
    <w:rsid w:val="2FE7227A"/>
    <w:rsid w:val="2FFF05A9"/>
    <w:rsid w:val="3057724C"/>
    <w:rsid w:val="30677159"/>
    <w:rsid w:val="307B4DB3"/>
    <w:rsid w:val="30DA47E8"/>
    <w:rsid w:val="31B77B85"/>
    <w:rsid w:val="31F94177"/>
    <w:rsid w:val="320E6B17"/>
    <w:rsid w:val="321911F2"/>
    <w:rsid w:val="323F0057"/>
    <w:rsid w:val="32BE34EB"/>
    <w:rsid w:val="32D22A86"/>
    <w:rsid w:val="339A5903"/>
    <w:rsid w:val="33C7220D"/>
    <w:rsid w:val="340219BA"/>
    <w:rsid w:val="341F28AC"/>
    <w:rsid w:val="34323458"/>
    <w:rsid w:val="34CA3741"/>
    <w:rsid w:val="34F40383"/>
    <w:rsid w:val="359B7C8E"/>
    <w:rsid w:val="362C4330"/>
    <w:rsid w:val="36555B89"/>
    <w:rsid w:val="36630549"/>
    <w:rsid w:val="369A3D98"/>
    <w:rsid w:val="36C73B97"/>
    <w:rsid w:val="37304E84"/>
    <w:rsid w:val="37682375"/>
    <w:rsid w:val="38A914DD"/>
    <w:rsid w:val="38E44E97"/>
    <w:rsid w:val="38E8309B"/>
    <w:rsid w:val="39D507AD"/>
    <w:rsid w:val="39ED5597"/>
    <w:rsid w:val="39F145AD"/>
    <w:rsid w:val="3A37160C"/>
    <w:rsid w:val="3A4C01C6"/>
    <w:rsid w:val="3B056CE1"/>
    <w:rsid w:val="3B2A4470"/>
    <w:rsid w:val="3B880D11"/>
    <w:rsid w:val="3B896049"/>
    <w:rsid w:val="3C2E54B2"/>
    <w:rsid w:val="3C6E7BB4"/>
    <w:rsid w:val="3CA05CE1"/>
    <w:rsid w:val="3CA56D9D"/>
    <w:rsid w:val="3D7E104C"/>
    <w:rsid w:val="3DB05C42"/>
    <w:rsid w:val="3DB42544"/>
    <w:rsid w:val="3DD22671"/>
    <w:rsid w:val="3E7771CF"/>
    <w:rsid w:val="3E796E99"/>
    <w:rsid w:val="3EF87967"/>
    <w:rsid w:val="3F62027C"/>
    <w:rsid w:val="3F6E4CBD"/>
    <w:rsid w:val="3FE366AA"/>
    <w:rsid w:val="40191C3B"/>
    <w:rsid w:val="40D72953"/>
    <w:rsid w:val="41036573"/>
    <w:rsid w:val="412032B6"/>
    <w:rsid w:val="414A2F2A"/>
    <w:rsid w:val="41A42046"/>
    <w:rsid w:val="41F43E7E"/>
    <w:rsid w:val="42060A80"/>
    <w:rsid w:val="42112DC1"/>
    <w:rsid w:val="427B6B1F"/>
    <w:rsid w:val="42FD7804"/>
    <w:rsid w:val="43C91F3D"/>
    <w:rsid w:val="44682E47"/>
    <w:rsid w:val="44A80E53"/>
    <w:rsid w:val="44C15785"/>
    <w:rsid w:val="45162F18"/>
    <w:rsid w:val="451B5F05"/>
    <w:rsid w:val="454C2178"/>
    <w:rsid w:val="462F1804"/>
    <w:rsid w:val="463E212E"/>
    <w:rsid w:val="469753A9"/>
    <w:rsid w:val="46A56A90"/>
    <w:rsid w:val="472639CC"/>
    <w:rsid w:val="47965B2A"/>
    <w:rsid w:val="486017CE"/>
    <w:rsid w:val="488340B6"/>
    <w:rsid w:val="48A34FCD"/>
    <w:rsid w:val="48C26A4F"/>
    <w:rsid w:val="492E18A2"/>
    <w:rsid w:val="496A688F"/>
    <w:rsid w:val="49EC3438"/>
    <w:rsid w:val="4A417262"/>
    <w:rsid w:val="4A8F6F91"/>
    <w:rsid w:val="4AD3705F"/>
    <w:rsid w:val="4B4A7AC1"/>
    <w:rsid w:val="4B5841DF"/>
    <w:rsid w:val="4B6147C6"/>
    <w:rsid w:val="4C467221"/>
    <w:rsid w:val="4C6C31F6"/>
    <w:rsid w:val="4C8F7BE7"/>
    <w:rsid w:val="4C904518"/>
    <w:rsid w:val="4EA52A33"/>
    <w:rsid w:val="4EBB6076"/>
    <w:rsid w:val="4F111F1B"/>
    <w:rsid w:val="4F720558"/>
    <w:rsid w:val="4FAA35E8"/>
    <w:rsid w:val="4FEF6CE1"/>
    <w:rsid w:val="500E5705"/>
    <w:rsid w:val="506D1336"/>
    <w:rsid w:val="51086348"/>
    <w:rsid w:val="51D41E62"/>
    <w:rsid w:val="520157A0"/>
    <w:rsid w:val="520F3624"/>
    <w:rsid w:val="52222A6E"/>
    <w:rsid w:val="52411401"/>
    <w:rsid w:val="527B5B4E"/>
    <w:rsid w:val="533C039D"/>
    <w:rsid w:val="545D199F"/>
    <w:rsid w:val="54901C49"/>
    <w:rsid w:val="55B600DD"/>
    <w:rsid w:val="55C67B82"/>
    <w:rsid w:val="56503AEA"/>
    <w:rsid w:val="566717CE"/>
    <w:rsid w:val="56894F8D"/>
    <w:rsid w:val="56A4573A"/>
    <w:rsid w:val="56E721B2"/>
    <w:rsid w:val="57A61B84"/>
    <w:rsid w:val="57A85AF4"/>
    <w:rsid w:val="57E162A1"/>
    <w:rsid w:val="57F37B5D"/>
    <w:rsid w:val="58173ED4"/>
    <w:rsid w:val="58BE691D"/>
    <w:rsid w:val="58EF10C9"/>
    <w:rsid w:val="59195FA9"/>
    <w:rsid w:val="594B66A9"/>
    <w:rsid w:val="594D3043"/>
    <w:rsid w:val="5A620905"/>
    <w:rsid w:val="5A6319E7"/>
    <w:rsid w:val="5AA137C9"/>
    <w:rsid w:val="5AD93BE0"/>
    <w:rsid w:val="5AE277D1"/>
    <w:rsid w:val="5B1146F6"/>
    <w:rsid w:val="5C0E42A0"/>
    <w:rsid w:val="5C5A6B97"/>
    <w:rsid w:val="5CB86F23"/>
    <w:rsid w:val="5CCA4DBE"/>
    <w:rsid w:val="5CD15027"/>
    <w:rsid w:val="5CD804C0"/>
    <w:rsid w:val="5DF76033"/>
    <w:rsid w:val="5E0329F9"/>
    <w:rsid w:val="5E1614EB"/>
    <w:rsid w:val="5EBF15C7"/>
    <w:rsid w:val="5EC64EF6"/>
    <w:rsid w:val="5EEA2C37"/>
    <w:rsid w:val="5F0F6616"/>
    <w:rsid w:val="5F3C6C3E"/>
    <w:rsid w:val="5FA6464A"/>
    <w:rsid w:val="5FBA06DD"/>
    <w:rsid w:val="603550BB"/>
    <w:rsid w:val="60973B69"/>
    <w:rsid w:val="61233CCA"/>
    <w:rsid w:val="617C2A03"/>
    <w:rsid w:val="6183231F"/>
    <w:rsid w:val="61FF566A"/>
    <w:rsid w:val="62613E95"/>
    <w:rsid w:val="62714880"/>
    <w:rsid w:val="62C255EE"/>
    <w:rsid w:val="62E31591"/>
    <w:rsid w:val="63845409"/>
    <w:rsid w:val="63864956"/>
    <w:rsid w:val="63E06183"/>
    <w:rsid w:val="645D636A"/>
    <w:rsid w:val="646B27CF"/>
    <w:rsid w:val="649C3AF4"/>
    <w:rsid w:val="64C70939"/>
    <w:rsid w:val="64D21252"/>
    <w:rsid w:val="64EC39D2"/>
    <w:rsid w:val="651C1339"/>
    <w:rsid w:val="65723488"/>
    <w:rsid w:val="6609199E"/>
    <w:rsid w:val="664D643A"/>
    <w:rsid w:val="667118D0"/>
    <w:rsid w:val="668A46BC"/>
    <w:rsid w:val="66CA4FBE"/>
    <w:rsid w:val="670632BE"/>
    <w:rsid w:val="673A73C4"/>
    <w:rsid w:val="680D60B4"/>
    <w:rsid w:val="68504B95"/>
    <w:rsid w:val="695112BF"/>
    <w:rsid w:val="695B63F0"/>
    <w:rsid w:val="69D249EB"/>
    <w:rsid w:val="6A142866"/>
    <w:rsid w:val="6A1A5137"/>
    <w:rsid w:val="6A7F5BF4"/>
    <w:rsid w:val="6AE337E7"/>
    <w:rsid w:val="6B0D2E88"/>
    <w:rsid w:val="6B225EFD"/>
    <w:rsid w:val="6BB62005"/>
    <w:rsid w:val="6BB8583C"/>
    <w:rsid w:val="6BD27173"/>
    <w:rsid w:val="6C8055D4"/>
    <w:rsid w:val="6CA3402D"/>
    <w:rsid w:val="6D3A33A1"/>
    <w:rsid w:val="6D6D1B9D"/>
    <w:rsid w:val="6EE329C8"/>
    <w:rsid w:val="6F6739C7"/>
    <w:rsid w:val="70056713"/>
    <w:rsid w:val="7007649A"/>
    <w:rsid w:val="702D4D99"/>
    <w:rsid w:val="70722629"/>
    <w:rsid w:val="70935387"/>
    <w:rsid w:val="70C53766"/>
    <w:rsid w:val="70D70B0D"/>
    <w:rsid w:val="71040F1A"/>
    <w:rsid w:val="71B56DBF"/>
    <w:rsid w:val="720259EE"/>
    <w:rsid w:val="725032E0"/>
    <w:rsid w:val="72582479"/>
    <w:rsid w:val="72AA6333"/>
    <w:rsid w:val="72C73F24"/>
    <w:rsid w:val="73B35F55"/>
    <w:rsid w:val="73C7478B"/>
    <w:rsid w:val="747C122A"/>
    <w:rsid w:val="74E36AD0"/>
    <w:rsid w:val="75534DF7"/>
    <w:rsid w:val="75557F22"/>
    <w:rsid w:val="757F142D"/>
    <w:rsid w:val="7582327F"/>
    <w:rsid w:val="760D1E9F"/>
    <w:rsid w:val="760F1CA0"/>
    <w:rsid w:val="76EA5D2F"/>
    <w:rsid w:val="77342ECF"/>
    <w:rsid w:val="777D0E3C"/>
    <w:rsid w:val="78150FBF"/>
    <w:rsid w:val="782511C7"/>
    <w:rsid w:val="78286DB0"/>
    <w:rsid w:val="783E4E02"/>
    <w:rsid w:val="785370E0"/>
    <w:rsid w:val="78776B2A"/>
    <w:rsid w:val="78930FB9"/>
    <w:rsid w:val="78982E38"/>
    <w:rsid w:val="78A45300"/>
    <w:rsid w:val="79E074DA"/>
    <w:rsid w:val="7A190C5E"/>
    <w:rsid w:val="7A231686"/>
    <w:rsid w:val="7A28474D"/>
    <w:rsid w:val="7A3B7EA5"/>
    <w:rsid w:val="7B0D640B"/>
    <w:rsid w:val="7B51506B"/>
    <w:rsid w:val="7BC7337A"/>
    <w:rsid w:val="7BDC49CA"/>
    <w:rsid w:val="7BF933B2"/>
    <w:rsid w:val="7BFD3E33"/>
    <w:rsid w:val="7CB07A4E"/>
    <w:rsid w:val="7CCA04FE"/>
    <w:rsid w:val="7CD00C8A"/>
    <w:rsid w:val="7E1D3871"/>
    <w:rsid w:val="7F355404"/>
    <w:rsid w:val="7F3B5352"/>
    <w:rsid w:val="7F524B9D"/>
    <w:rsid w:val="7F772043"/>
    <w:rsid w:val="7F7B45DC"/>
    <w:rsid w:val="7F894935"/>
    <w:rsid w:val="7F9E11BF"/>
    <w:rsid w:val="7FB67E6D"/>
    <w:rsid w:val="7FD56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6"/>
    <w:qFormat/>
    <w:uiPriority w:val="0"/>
    <w:pPr>
      <w:keepNext/>
      <w:keepLines/>
      <w:spacing w:before="340" w:after="330" w:line="578" w:lineRule="auto"/>
      <w:outlineLvl w:val="0"/>
    </w:pPr>
    <w:rPr>
      <w:b/>
      <w:bCs/>
      <w:kern w:val="44"/>
      <w:sz w:val="44"/>
      <w:szCs w:val="44"/>
    </w:rPr>
  </w:style>
  <w:style w:type="paragraph" w:styleId="7">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8">
    <w:name w:val="heading 3"/>
    <w:basedOn w:val="1"/>
    <w:next w:val="1"/>
    <w:qFormat/>
    <w:uiPriority w:val="0"/>
    <w:pPr>
      <w:keepNext/>
      <w:keepLines/>
      <w:spacing w:before="260" w:after="260" w:line="416" w:lineRule="auto"/>
      <w:outlineLvl w:val="2"/>
    </w:pPr>
    <w:rPr>
      <w:b/>
      <w:bCs/>
      <w:sz w:val="32"/>
      <w:szCs w:val="32"/>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style>
  <w:style w:type="paragraph" w:styleId="3">
    <w:name w:val="Body Text"/>
    <w:basedOn w:val="1"/>
    <w:next w:val="4"/>
    <w:qFormat/>
    <w:uiPriority w:val="0"/>
    <w:pPr>
      <w:spacing w:beforeLines="50" w:line="360" w:lineRule="auto"/>
    </w:pPr>
    <w:rPr>
      <w:rFonts w:ascii="宋体" w:hAnsi="宋体"/>
      <w:color w:val="000000"/>
      <w:sz w:val="24"/>
      <w:szCs w:val="24"/>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Normal Indent"/>
    <w:basedOn w:val="1"/>
    <w:next w:val="1"/>
    <w:link w:val="52"/>
    <w:qFormat/>
    <w:uiPriority w:val="0"/>
    <w:pPr>
      <w:ind w:firstLine="420" w:firstLineChars="200"/>
    </w:pPr>
    <w:rPr>
      <w:szCs w:val="24"/>
    </w:rPr>
  </w:style>
  <w:style w:type="paragraph" w:styleId="9">
    <w:name w:val="Document Map"/>
    <w:basedOn w:val="1"/>
    <w:semiHidden/>
    <w:qFormat/>
    <w:uiPriority w:val="0"/>
    <w:pPr>
      <w:shd w:val="clear" w:color="auto" w:fill="000080"/>
    </w:pPr>
  </w:style>
  <w:style w:type="paragraph" w:styleId="10">
    <w:name w:val="annotation text"/>
    <w:basedOn w:val="1"/>
    <w:semiHidden/>
    <w:qFormat/>
    <w:uiPriority w:val="0"/>
    <w:pPr>
      <w:jc w:val="left"/>
    </w:pPr>
  </w:style>
  <w:style w:type="paragraph" w:styleId="11">
    <w:name w:val="Body Text Indent"/>
    <w:basedOn w:val="1"/>
    <w:qFormat/>
    <w:uiPriority w:val="0"/>
    <w:pPr>
      <w:spacing w:after="120" w:afterLines="0" w:afterAutospacing="0"/>
      <w:ind w:left="420" w:leftChars="200"/>
    </w:pPr>
  </w:style>
  <w:style w:type="paragraph" w:styleId="12">
    <w:name w:val="toc 3"/>
    <w:basedOn w:val="1"/>
    <w:next w:val="1"/>
    <w:qFormat/>
    <w:uiPriority w:val="0"/>
    <w:pPr>
      <w:ind w:left="840" w:leftChars="400"/>
    </w:pPr>
  </w:style>
  <w:style w:type="paragraph" w:styleId="13">
    <w:name w:val="Plain Text"/>
    <w:basedOn w:val="1"/>
    <w:link w:val="49"/>
    <w:qFormat/>
    <w:uiPriority w:val="0"/>
    <w:rPr>
      <w:rFonts w:ascii="宋体" w:hAnsi="Courier New"/>
    </w:rPr>
  </w:style>
  <w:style w:type="paragraph" w:styleId="14">
    <w:name w:val="Date"/>
    <w:basedOn w:val="1"/>
    <w:next w:val="1"/>
    <w:qFormat/>
    <w:uiPriority w:val="0"/>
    <w:pPr>
      <w:ind w:left="100" w:leftChars="25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semiHidden/>
    <w:qFormat/>
    <w:uiPriority w:val="0"/>
  </w:style>
  <w:style w:type="paragraph" w:styleId="19">
    <w:name w:val="toc 2"/>
    <w:basedOn w:val="1"/>
    <w:next w:val="1"/>
    <w:qFormat/>
    <w:uiPriority w:val="39"/>
    <w:pPr>
      <w:tabs>
        <w:tab w:val="right" w:leader="dot" w:pos="8378"/>
      </w:tabs>
      <w:spacing w:line="360" w:lineRule="auto"/>
      <w:ind w:left="420" w:leftChars="200"/>
    </w:pPr>
    <w:rPr>
      <w:rFonts w:ascii="华文仿宋" w:hAnsi="华文仿宋" w:eastAsia="华文仿宋"/>
      <w:kern w:val="0"/>
    </w:rPr>
  </w:style>
  <w:style w:type="paragraph" w:styleId="20">
    <w:name w:val="annotation subject"/>
    <w:basedOn w:val="10"/>
    <w:next w:val="10"/>
    <w:semiHidden/>
    <w:qFormat/>
    <w:uiPriority w:val="0"/>
    <w:rPr>
      <w:b/>
      <w:bCs/>
    </w:rPr>
  </w:style>
  <w:style w:type="paragraph" w:styleId="21">
    <w:name w:val="Body Text First Indent 2"/>
    <w:basedOn w:val="11"/>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Emphasis"/>
    <w:qFormat/>
    <w:uiPriority w:val="20"/>
    <w:rPr>
      <w:color w:val="CC0000"/>
    </w:rPr>
  </w:style>
  <w:style w:type="character" w:styleId="27">
    <w:name w:val="Hyperlink"/>
    <w:qFormat/>
    <w:uiPriority w:val="99"/>
    <w:rPr>
      <w:color w:val="0000FF"/>
      <w:u w:val="single"/>
    </w:rPr>
  </w:style>
  <w:style w:type="character" w:styleId="28">
    <w:name w:val="annotation reference"/>
    <w:semiHidden/>
    <w:qFormat/>
    <w:uiPriority w:val="0"/>
    <w:rPr>
      <w:sz w:val="21"/>
      <w:szCs w:val="21"/>
    </w:rPr>
  </w:style>
  <w:style w:type="paragraph" w:customStyle="1" w:styleId="29">
    <w:name w:val="Char Char Char Char Char Char Char Char Char Char"/>
    <w:basedOn w:val="1"/>
    <w:qFormat/>
    <w:uiPriority w:val="0"/>
    <w:rPr>
      <w:szCs w:val="24"/>
    </w:rPr>
  </w:style>
  <w:style w:type="paragraph" w:customStyle="1" w:styleId="30">
    <w:name w:val="Default Text"/>
    <w:basedOn w:val="1"/>
    <w:qFormat/>
    <w:uiPriority w:val="0"/>
    <w:pPr>
      <w:widowControl/>
      <w:overflowPunct w:val="0"/>
      <w:autoSpaceDE w:val="0"/>
      <w:autoSpaceDN w:val="0"/>
      <w:adjustRightInd w:val="0"/>
      <w:jc w:val="left"/>
      <w:textAlignment w:val="baseline"/>
    </w:pPr>
    <w:rPr>
      <w:kern w:val="0"/>
      <w:sz w:val="24"/>
    </w:rPr>
  </w:style>
  <w:style w:type="paragraph" w:customStyle="1" w:styleId="31">
    <w:name w:val="文章标题"/>
    <w:basedOn w:val="1"/>
    <w:next w:val="1"/>
    <w:qFormat/>
    <w:uiPriority w:val="0"/>
    <w:pPr>
      <w:spacing w:afterLines="100"/>
      <w:jc w:val="center"/>
    </w:pPr>
    <w:rPr>
      <w:rFonts w:cs="宋体"/>
      <w:bCs/>
      <w:sz w:val="44"/>
    </w:rPr>
  </w:style>
  <w:style w:type="paragraph" w:customStyle="1" w:styleId="32">
    <w:name w:val="样式 宋体 小四 加粗 黑色 行距: 固定值 27 磅"/>
    <w:basedOn w:val="1"/>
    <w:qFormat/>
    <w:uiPriority w:val="0"/>
    <w:pPr>
      <w:spacing w:line="540" w:lineRule="exact"/>
      <w:ind w:firstLine="482" w:firstLineChars="200"/>
    </w:pPr>
    <w:rPr>
      <w:rFonts w:ascii="宋体" w:hAnsi="宋体" w:cs="宋体"/>
      <w:b/>
      <w:bCs/>
      <w:color w:val="000000"/>
      <w:kern w:val="0"/>
      <w:sz w:val="30"/>
    </w:rPr>
  </w:style>
  <w:style w:type="paragraph" w:customStyle="1" w:styleId="33">
    <w:name w:val="正文1"/>
    <w:basedOn w:val="1"/>
    <w:qFormat/>
    <w:uiPriority w:val="0"/>
    <w:pPr>
      <w:ind w:firstLine="420"/>
    </w:pPr>
    <w:rPr>
      <w:rFonts w:ascii="华文仿宋" w:hAnsi="华文仿宋" w:eastAsia="华文仿宋"/>
      <w:kern w:val="0"/>
      <w:sz w:val="28"/>
      <w:szCs w:val="28"/>
    </w:rPr>
  </w:style>
  <w:style w:type="paragraph" w:customStyle="1" w:styleId="34">
    <w:name w:val="Normal Cenered"/>
    <w:basedOn w:val="1"/>
    <w:qFormat/>
    <w:uiPriority w:val="0"/>
    <w:pPr>
      <w:widowControl/>
      <w:tabs>
        <w:tab w:val="left" w:pos="6660"/>
      </w:tabs>
      <w:spacing w:before="240" w:after="120" w:line="288" w:lineRule="auto"/>
      <w:jc w:val="center"/>
    </w:pPr>
    <w:rPr>
      <w:kern w:val="0"/>
      <w:szCs w:val="24"/>
    </w:rPr>
  </w:style>
  <w:style w:type="paragraph" w:customStyle="1" w:styleId="35">
    <w:name w:val="默认段落字体 Para Char"/>
    <w:basedOn w:val="1"/>
    <w:qFormat/>
    <w:uiPriority w:val="0"/>
    <w:rPr>
      <w:szCs w:val="24"/>
    </w:rPr>
  </w:style>
  <w:style w:type="paragraph" w:customStyle="1" w:styleId="36">
    <w:name w:val="标题 1（nari）"/>
    <w:basedOn w:val="5"/>
    <w:next w:val="1"/>
    <w:qFormat/>
    <w:uiPriority w:val="0"/>
    <w:pPr>
      <w:widowControl/>
      <w:numPr>
        <w:ilvl w:val="0"/>
        <w:numId w:val="1"/>
      </w:numPr>
      <w:spacing w:before="240" w:after="200" w:line="240" w:lineRule="auto"/>
      <w:jc w:val="left"/>
      <w:outlineLvl w:val="2"/>
    </w:pPr>
    <w:rPr>
      <w:rFonts w:ascii="Arial" w:hAnsi="Arial" w:cs="宋体"/>
      <w:bCs w:val="0"/>
      <w:sz w:val="28"/>
    </w:rPr>
  </w:style>
  <w:style w:type="paragraph" w:customStyle="1" w:styleId="37">
    <w:name w:val="标题 2（nari）"/>
    <w:basedOn w:val="7"/>
    <w:next w:val="1"/>
    <w:qFormat/>
    <w:uiPriority w:val="0"/>
    <w:pPr>
      <w:widowControl/>
      <w:numPr>
        <w:ilvl w:val="1"/>
        <w:numId w:val="1"/>
      </w:numPr>
      <w:spacing w:before="320" w:after="160" w:line="240" w:lineRule="auto"/>
      <w:jc w:val="left"/>
      <w:outlineLvl w:val="3"/>
    </w:pPr>
    <w:rPr>
      <w:rFonts w:ascii="Times New Roman" w:hAnsi="Calibri" w:eastAsia="宋体" w:cs="宋体"/>
      <w:kern w:val="0"/>
      <w:sz w:val="24"/>
    </w:rPr>
  </w:style>
  <w:style w:type="paragraph" w:customStyle="1" w:styleId="38">
    <w:name w:val="标题 3（nari）"/>
    <w:basedOn w:val="8"/>
    <w:next w:val="1"/>
    <w:qFormat/>
    <w:uiPriority w:val="0"/>
    <w:pPr>
      <w:widowControl/>
      <w:numPr>
        <w:ilvl w:val="2"/>
        <w:numId w:val="1"/>
      </w:numPr>
      <w:tabs>
        <w:tab w:val="left" w:pos="960"/>
      </w:tabs>
      <w:spacing w:before="240" w:after="120" w:line="360" w:lineRule="auto"/>
      <w:jc w:val="left"/>
    </w:pPr>
    <w:rPr>
      <w:rFonts w:ascii="Arial" w:hAnsi="Arial" w:eastAsia="黑体" w:cs="宋体"/>
      <w:b w:val="0"/>
      <w:kern w:val="0"/>
      <w:sz w:val="24"/>
      <w:szCs w:val="30"/>
      <w:lang w:val="zh-CN"/>
    </w:rPr>
  </w:style>
  <w:style w:type="paragraph" w:customStyle="1" w:styleId="39">
    <w:name w:val="正文（nari）"/>
    <w:basedOn w:val="1"/>
    <w:link w:val="40"/>
    <w:qFormat/>
    <w:uiPriority w:val="0"/>
    <w:pPr>
      <w:spacing w:beforeLines="50" w:afterLines="50" w:line="500" w:lineRule="exact"/>
      <w:ind w:firstLine="200" w:firstLineChars="200"/>
      <w:jc w:val="left"/>
    </w:pPr>
    <w:rPr>
      <w:rFonts w:cs="宋体"/>
      <w:sz w:val="24"/>
    </w:rPr>
  </w:style>
  <w:style w:type="character" w:customStyle="1" w:styleId="40">
    <w:name w:val="正文（nari） Char"/>
    <w:link w:val="39"/>
    <w:qFormat/>
    <w:uiPriority w:val="0"/>
    <w:rPr>
      <w:rFonts w:eastAsia="宋体" w:cs="宋体"/>
      <w:kern w:val="2"/>
      <w:sz w:val="24"/>
      <w:lang w:val="en-US" w:eastAsia="zh-CN" w:bidi="ar-SA"/>
    </w:rPr>
  </w:style>
  <w:style w:type="paragraph" w:customStyle="1" w:styleId="41">
    <w:name w:val="p0"/>
    <w:basedOn w:val="1"/>
    <w:qFormat/>
    <w:uiPriority w:val="0"/>
    <w:pPr>
      <w:widowControl/>
    </w:pPr>
    <w:rPr>
      <w:rFonts w:ascii="Calibri" w:hAnsi="Calibri" w:cs="宋体"/>
      <w:kern w:val="0"/>
      <w:szCs w:val="21"/>
    </w:rPr>
  </w:style>
  <w:style w:type="paragraph" w:customStyle="1" w:styleId="42">
    <w:name w:val="国网标准正文"/>
    <w:basedOn w:val="1"/>
    <w:link w:val="43"/>
    <w:semiHidden/>
    <w:qFormat/>
    <w:uiPriority w:val="0"/>
    <w:pPr>
      <w:tabs>
        <w:tab w:val="left" w:pos="2700"/>
      </w:tabs>
      <w:adjustRightInd w:val="0"/>
      <w:snapToGrid w:val="0"/>
      <w:spacing w:line="312" w:lineRule="exact"/>
      <w:ind w:firstLine="420" w:firstLineChars="200"/>
      <w:textAlignment w:val="center"/>
    </w:pPr>
    <w:rPr>
      <w:rFonts w:ascii="宋体" w:hAnsi="宋体"/>
      <w:szCs w:val="28"/>
    </w:rPr>
  </w:style>
  <w:style w:type="character" w:customStyle="1" w:styleId="43">
    <w:name w:val="国网标准正文 Char"/>
    <w:link w:val="42"/>
    <w:semiHidden/>
    <w:qFormat/>
    <w:uiPriority w:val="0"/>
    <w:rPr>
      <w:rFonts w:ascii="宋体" w:hAnsi="宋体"/>
      <w:kern w:val="2"/>
      <w:sz w:val="21"/>
      <w:szCs w:val="28"/>
    </w:rPr>
  </w:style>
  <w:style w:type="paragraph" w:customStyle="1" w:styleId="44">
    <w:name w:val="国标3级"/>
    <w:basedOn w:val="1"/>
    <w:link w:val="45"/>
    <w:semiHidden/>
    <w:qFormat/>
    <w:uiPriority w:val="0"/>
    <w:pPr>
      <w:snapToGrid w:val="0"/>
      <w:spacing w:line="312" w:lineRule="exact"/>
    </w:pPr>
    <w:rPr>
      <w:rFonts w:ascii="宋体" w:hAnsi="宋体"/>
      <w:color w:val="000000"/>
    </w:rPr>
  </w:style>
  <w:style w:type="character" w:customStyle="1" w:styleId="45">
    <w:name w:val="国标3级 Char"/>
    <w:link w:val="44"/>
    <w:semiHidden/>
    <w:qFormat/>
    <w:uiPriority w:val="0"/>
    <w:rPr>
      <w:rFonts w:ascii="宋体" w:hAnsi="宋体"/>
      <w:color w:val="000000"/>
      <w:kern w:val="2"/>
      <w:sz w:val="21"/>
    </w:rPr>
  </w:style>
  <w:style w:type="paragraph" w:customStyle="1" w:styleId="46">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8">
    <w:name w:val="List Paragraph"/>
    <w:basedOn w:val="1"/>
    <w:link w:val="53"/>
    <w:qFormat/>
    <w:uiPriority w:val="34"/>
    <w:pPr>
      <w:ind w:firstLine="420" w:firstLineChars="200"/>
    </w:pPr>
  </w:style>
  <w:style w:type="character" w:customStyle="1" w:styleId="49">
    <w:name w:val="纯文本 Char"/>
    <w:basedOn w:val="24"/>
    <w:link w:val="13"/>
    <w:qFormat/>
    <w:uiPriority w:val="0"/>
    <w:rPr>
      <w:rFonts w:ascii="宋体" w:hAnsi="Courier New"/>
      <w:kern w:val="2"/>
      <w:sz w:val="21"/>
    </w:rPr>
  </w:style>
  <w:style w:type="paragraph" w:customStyle="1" w:styleId="50">
    <w:name w:val="NERCIS-正文"/>
    <w:basedOn w:val="1"/>
    <w:link w:val="51"/>
    <w:qFormat/>
    <w:uiPriority w:val="0"/>
    <w:pPr>
      <w:spacing w:line="360" w:lineRule="auto"/>
      <w:ind w:firstLine="480" w:firstLineChars="200"/>
    </w:pPr>
    <w:rPr>
      <w:rFonts w:ascii="宋体" w:hAnsi="宋体"/>
      <w:kern w:val="0"/>
      <w:sz w:val="24"/>
    </w:rPr>
  </w:style>
  <w:style w:type="character" w:customStyle="1" w:styleId="51">
    <w:name w:val="NERCIS-正文 Char"/>
    <w:link w:val="50"/>
    <w:qFormat/>
    <w:uiPriority w:val="0"/>
    <w:rPr>
      <w:rFonts w:ascii="宋体" w:hAnsi="宋体"/>
      <w:sz w:val="24"/>
    </w:rPr>
  </w:style>
  <w:style w:type="character" w:customStyle="1" w:styleId="52">
    <w:name w:val="正文缩进 Char"/>
    <w:link w:val="6"/>
    <w:qFormat/>
    <w:locked/>
    <w:uiPriority w:val="0"/>
    <w:rPr>
      <w:kern w:val="2"/>
      <w:sz w:val="21"/>
      <w:szCs w:val="24"/>
    </w:rPr>
  </w:style>
  <w:style w:type="character" w:customStyle="1" w:styleId="53">
    <w:name w:val="列出段落 Char"/>
    <w:link w:val="48"/>
    <w:qFormat/>
    <w:uiPriority w:val="34"/>
    <w:rPr>
      <w:kern w:val="2"/>
      <w:sz w:val="21"/>
    </w:rPr>
  </w:style>
  <w:style w:type="paragraph" w:customStyle="1" w:styleId="54">
    <w:name w:val="样式 正文首行缩进 + 段前: 0.5 行 段后: 0.5 行"/>
    <w:basedOn w:val="1"/>
    <w:qFormat/>
    <w:uiPriority w:val="0"/>
    <w:pPr>
      <w:spacing w:before="156" w:beforeLines="50" w:after="156" w:afterLines="50" w:line="480" w:lineRule="exact"/>
      <w:ind w:firstLine="420"/>
    </w:pPr>
    <w:rPr>
      <w:rFonts w:ascii="Times New Roman" w:hAnsi="Times New Roman" w:eastAsia="宋体" w:cs="宋体"/>
      <w:sz w:val="24"/>
      <w:szCs w:val="20"/>
    </w:rPr>
  </w:style>
  <w:style w:type="character" w:customStyle="1" w:styleId="55">
    <w:name w:val="fontstyle01"/>
    <w:basedOn w:val="24"/>
    <w:qFormat/>
    <w:uiPriority w:val="0"/>
    <w:rPr>
      <w:rFonts w:ascii="宋体" w:hAnsi="宋体" w:eastAsia="宋体" w:cs="宋体"/>
      <w:color w:val="000000"/>
      <w:sz w:val="22"/>
      <w:szCs w:val="22"/>
    </w:rPr>
  </w:style>
  <w:style w:type="character" w:customStyle="1" w:styleId="56">
    <w:name w:val="font11"/>
    <w:basedOn w:val="24"/>
    <w:qFormat/>
    <w:uiPriority w:val="0"/>
    <w:rPr>
      <w:rFonts w:hint="eastAsia" w:ascii="宋体" w:hAnsi="宋体" w:eastAsia="宋体" w:cs="宋体"/>
      <w:color w:val="000000"/>
      <w:sz w:val="22"/>
      <w:szCs w:val="22"/>
      <w:u w:val="none"/>
    </w:rPr>
  </w:style>
  <w:style w:type="character" w:customStyle="1" w:styleId="57">
    <w:name w:val="font31"/>
    <w:basedOn w:val="24"/>
    <w:qFormat/>
    <w:uiPriority w:val="0"/>
    <w:rPr>
      <w:rFonts w:hint="eastAsia" w:ascii="宋体" w:hAnsi="宋体" w:eastAsia="宋体" w:cs="宋体"/>
      <w:color w:val="000000"/>
      <w:sz w:val="21"/>
      <w:szCs w:val="21"/>
      <w:u w:val="none"/>
    </w:rPr>
  </w:style>
  <w:style w:type="character" w:customStyle="1" w:styleId="58">
    <w:name w:val="font01"/>
    <w:basedOn w:val="24"/>
    <w:qFormat/>
    <w:uiPriority w:val="0"/>
    <w:rPr>
      <w:rFonts w:hint="eastAsia" w:ascii="宋体" w:hAnsi="宋体" w:eastAsia="宋体" w:cs="宋体"/>
      <w:color w:val="000000"/>
      <w:sz w:val="20"/>
      <w:szCs w:val="20"/>
      <w:u w:val="none"/>
    </w:rPr>
  </w:style>
  <w:style w:type="paragraph" w:customStyle="1" w:styleId="59">
    <w:name w:val="Body Text Indent"/>
    <w:basedOn w:val="1"/>
    <w:qFormat/>
    <w:uiPriority w:val="0"/>
    <w:pPr>
      <w:adjustRightInd w:val="0"/>
      <w:snapToGrid w:val="0"/>
      <w:spacing w:line="300" w:lineRule="auto"/>
    </w:pPr>
    <w:rPr>
      <w:sz w:val="21"/>
      <w:lang w:eastAsia="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 SYSTEM</Company>
  <Pages>25</Pages>
  <Words>15378</Words>
  <Characters>16036</Characters>
  <Lines>62</Lines>
  <Paragraphs>17</Paragraphs>
  <TotalTime>7</TotalTime>
  <ScaleCrop>false</ScaleCrop>
  <LinksUpToDate>false</LinksUpToDate>
  <CharactersWithSpaces>16102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2016-02-01T15:41:00Z</dcterms:created>
  <dc:creator>LYM</dc:creator>
  <cp:lastModifiedBy>郑鑫焱</cp:lastModifiedBy>
  <cp:lastPrinted>2012-05-09T16:22:00Z</cp:lastPrinted>
  <dcterms:modified xsi:type="dcterms:W3CDTF">2025-03-17T07:02:17Z</dcterms:modified>
  <dc:title>合同编号：</dc:title>
  <cp:revision>745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B84BB61B041C4C4D92134673E99D92F3</vt:lpwstr>
  </property>
</Properties>
</file>