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rPr>
          <w:rFonts w:ascii="仿宋_GB2312" w:hAnsi="仿宋_GB2312" w:eastAsia="仿宋_GB2312" w:cs="仿宋_GB2312"/>
          <w:b/>
          <w:sz w:val="48"/>
          <w:szCs w:val="21"/>
        </w:rPr>
      </w:pPr>
      <w:bookmarkStart w:id="0" w:name="OLE_LINK1"/>
      <w:bookmarkStart w:id="1" w:name="_Toc131168595"/>
      <w:bookmarkStart w:id="2" w:name="_Toc131134327"/>
      <w:bookmarkStart w:id="3" w:name="_Toc183578143"/>
      <w:bookmarkStart w:id="4" w:name="_Toc131134226"/>
      <w:bookmarkStart w:id="5" w:name="_Toc131133981"/>
      <w:bookmarkStart w:id="6" w:name="_Toc114028927"/>
      <w:bookmarkStart w:id="142" w:name="_GoBack"/>
      <w:r>
        <w:rPr>
          <w:rFonts w:hint="eastAsia" w:ascii="黑体" w:hAnsi="黑体" w:eastAsia="黑体"/>
          <w:b/>
          <w:bCs/>
          <w:sz w:val="36"/>
          <w:szCs w:val="36"/>
          <w:u w:val="single"/>
        </w:rPr>
        <w:t>数字电网科技公司202</w:t>
      </w:r>
      <w:r>
        <w:rPr>
          <w:rFonts w:hint="eastAsia" w:ascii="黑体" w:hAnsi="黑体" w:eastAsia="黑体"/>
          <w:b/>
          <w:bCs/>
          <w:sz w:val="36"/>
          <w:szCs w:val="36"/>
          <w:u w:val="single"/>
          <w:lang w:val="en-US" w:eastAsia="zh-CN"/>
        </w:rPr>
        <w:t>5</w:t>
      </w:r>
      <w:r>
        <w:rPr>
          <w:rFonts w:hint="eastAsia" w:ascii="黑体" w:hAnsi="黑体" w:eastAsia="黑体"/>
          <w:b/>
          <w:bCs/>
          <w:sz w:val="36"/>
          <w:szCs w:val="36"/>
          <w:u w:val="single"/>
        </w:rPr>
        <w:t>年无线通信模组性能测试辅材零星采购项目</w:t>
      </w:r>
      <w:r>
        <w:rPr>
          <w:rFonts w:hint="eastAsia" w:ascii="仿宋_GB2312" w:hAnsi="仿宋_GB2312" w:eastAsia="仿宋_GB2312" w:cs="仿宋_GB2312"/>
          <w:b/>
          <w:sz w:val="48"/>
          <w:szCs w:val="21"/>
        </w:rPr>
        <w:t xml:space="preserve"> </w:t>
      </w:r>
      <w:bookmarkEnd w:id="142"/>
    </w:p>
    <w:bookmarkEnd w:id="0"/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sz w:val="48"/>
          <w:szCs w:val="21"/>
        </w:rPr>
      </w:pPr>
      <w:bookmarkStart w:id="7" w:name="_Toc12389"/>
      <w:bookmarkStart w:id="8" w:name="_Toc21562"/>
      <w:bookmarkStart w:id="9" w:name="_Toc122702569"/>
      <w:bookmarkStart w:id="10" w:name="_Toc124496990"/>
      <w:bookmarkStart w:id="11" w:name="_Toc2621"/>
      <w:bookmarkStart w:id="12" w:name="_Toc127289271"/>
      <w:bookmarkStart w:id="13" w:name="_Toc26117"/>
      <w:bookmarkStart w:id="14" w:name="_Toc1546"/>
      <w:bookmarkStart w:id="15" w:name="_Toc124534206"/>
      <w:bookmarkStart w:id="16" w:name="_Toc28031"/>
      <w:bookmarkStart w:id="17" w:name="_Toc6124"/>
      <w:bookmarkStart w:id="18" w:name="_Toc21712"/>
      <w:r>
        <w:rPr>
          <w:rFonts w:hint="eastAsia" w:ascii="仿宋_GB2312" w:hAnsi="仿宋_GB2312" w:eastAsia="仿宋_GB2312" w:cs="仿宋_GB2312"/>
          <w:b/>
          <w:sz w:val="48"/>
          <w:szCs w:val="21"/>
        </w:rPr>
        <w:t>技术规范书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>
      <w:pPr>
        <w:pStyle w:val="2"/>
        <w:ind w:firstLine="480"/>
        <w:outlineLvl w:val="9"/>
      </w:pPr>
    </w:p>
    <w:p>
      <w:pPr>
        <w:pStyle w:val="3"/>
        <w:outlineLvl w:val="9"/>
      </w:pPr>
    </w:p>
    <w:p>
      <w:pPr>
        <w:outlineLvl w:val="9"/>
      </w:pPr>
    </w:p>
    <w:p>
      <w:pPr>
        <w:pStyle w:val="2"/>
        <w:outlineLvl w:val="9"/>
      </w:pPr>
    </w:p>
    <w:p>
      <w:pPr>
        <w:pStyle w:val="3"/>
        <w:outlineLvl w:val="9"/>
      </w:pPr>
    </w:p>
    <w:p/>
    <w:p>
      <w:pPr>
        <w:pStyle w:val="2"/>
      </w:pPr>
    </w:p>
    <w:p>
      <w:pPr>
        <w:pStyle w:val="3"/>
      </w:pPr>
    </w:p>
    <w:p/>
    <w:p>
      <w:pPr>
        <w:pStyle w:val="2"/>
        <w:rPr>
          <w:rFonts w:hint="eastAsia" w:eastAsia="宋体"/>
          <w:lang w:val="en-US" w:eastAsia="zh-CN"/>
        </w:rPr>
      </w:pPr>
    </w:p>
    <w:p>
      <w:pPr>
        <w:outlineLvl w:val="9"/>
      </w:pPr>
    </w:p>
    <w:p>
      <w:pPr>
        <w:pStyle w:val="2"/>
        <w:outlineLvl w:val="9"/>
      </w:pPr>
    </w:p>
    <w:p>
      <w:pPr>
        <w:pStyle w:val="3"/>
        <w:outlineLvl w:val="9"/>
      </w:pPr>
    </w:p>
    <w:p>
      <w:pPr>
        <w:pStyle w:val="2"/>
        <w:ind w:left="0" w:leftChars="0" w:firstLine="0" w:firstLineChars="0"/>
        <w:jc w:val="both"/>
        <w:outlineLvl w:val="9"/>
      </w:pP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sz w:val="36"/>
        </w:rPr>
      </w:pPr>
      <w:bookmarkStart w:id="19" w:name="_Toc20233"/>
      <w:bookmarkStart w:id="20" w:name="_Toc6890"/>
      <w:bookmarkStart w:id="21" w:name="_Toc17545"/>
      <w:bookmarkStart w:id="22" w:name="_Toc620"/>
      <w:r>
        <w:rPr>
          <w:rFonts w:hint="eastAsia" w:ascii="仿宋_GB2312" w:hAnsi="仿宋_GB2312" w:eastAsia="仿宋_GB2312" w:cs="仿宋_GB2312"/>
          <w:b/>
          <w:sz w:val="36"/>
        </w:rPr>
        <w:t>南方电网数字电网科技（广东）有限公司</w:t>
      </w:r>
      <w:r>
        <w:rPr>
          <w:rFonts w:ascii="宋体" w:hAnsi="宋体" w:cs="宋体"/>
          <w:sz w:val="24"/>
        </w:rPr>
        <w:t> </w:t>
      </w:r>
      <w:bookmarkEnd w:id="19"/>
      <w:bookmarkEnd w:id="20"/>
      <w:bookmarkEnd w:id="21"/>
      <w:bookmarkEnd w:id="22"/>
    </w:p>
    <w:p>
      <w:pPr>
        <w:spacing w:line="360" w:lineRule="auto"/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6"/>
        </w:rPr>
        <w:t>202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sz w:val="36"/>
        </w:rPr>
        <w:t>年0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sz w:val="36"/>
        </w:rPr>
        <w:t xml:space="preserve">月  </w:t>
      </w:r>
      <w:bookmarkEnd w:id="1"/>
      <w:bookmarkEnd w:id="2"/>
      <w:bookmarkEnd w:id="3"/>
      <w:bookmarkEnd w:id="4"/>
      <w:bookmarkEnd w:id="5"/>
      <w:bookmarkEnd w:id="6"/>
      <w:r>
        <w:rPr>
          <w:rFonts w:hint="eastAsia" w:ascii="仿宋_GB2312" w:hAnsi="仿宋_GB2312" w:eastAsia="仿宋_GB2312" w:cs="仿宋_GB2312"/>
          <w:b/>
          <w:sz w:val="36"/>
        </w:rPr>
        <w:br w:type="page"/>
      </w:r>
      <w:bookmarkStart w:id="23" w:name="_Toc7472"/>
      <w:r>
        <w:rPr>
          <w:rFonts w:hint="eastAsia" w:ascii="仿宋_GB2312" w:hAnsi="仿宋_GB2312" w:eastAsia="仿宋_GB2312" w:cs="仿宋_GB2312"/>
          <w:b/>
          <w:sz w:val="32"/>
          <w:szCs w:val="32"/>
        </w:rPr>
        <w:t>目 录</w:t>
      </w:r>
      <w:bookmarkEnd w:id="23"/>
    </w:p>
    <w:p>
      <w:pPr>
        <w:pStyle w:val="15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instrText xml:space="preserve">TOC \o "1-2" \h \u </w:instrText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separate"/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instrText xml:space="preserve"> HYPERLINK \l _Toc7472 </w:instrText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fldChar w:fldCharType="separate"/>
      </w:r>
      <w:r>
        <w:rPr>
          <w:rFonts w:hint="eastAsia" w:ascii="仿宋_GB2312" w:hAnsi="仿宋_GB2312" w:eastAsia="仿宋_GB2312" w:cs="仿宋_GB2312"/>
          <w:szCs w:val="32"/>
        </w:rPr>
        <w:t>目 录</w:t>
      </w:r>
      <w:r>
        <w:tab/>
      </w:r>
      <w:r>
        <w:fldChar w:fldCharType="begin"/>
      </w:r>
      <w:r>
        <w:instrText xml:space="preserve"> PAGEREF _Toc7472 \h </w:instrText>
      </w:r>
      <w:r>
        <w:fldChar w:fldCharType="separate"/>
      </w:r>
      <w:r>
        <w:t>ii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fldChar w:fldCharType="end"/>
      </w:r>
    </w:p>
    <w:p>
      <w:pPr>
        <w:pStyle w:val="15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_Toc27969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bCs/>
          <w:i w:val="0"/>
          <w:spacing w:val="-12"/>
          <w:szCs w:val="44"/>
        </w:rPr>
        <w:t xml:space="preserve">1. </w:t>
      </w:r>
      <w:r>
        <w:rPr>
          <w:rFonts w:hint="eastAsia" w:eastAsia="仿宋_GB2312" w:cs="仿宋_GB2312"/>
        </w:rPr>
        <w:t>总则</w:t>
      </w:r>
      <w:r>
        <w:tab/>
      </w:r>
      <w:r>
        <w:fldChar w:fldCharType="begin"/>
      </w:r>
      <w:r>
        <w:instrText xml:space="preserve"> PAGEREF _Toc27969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_Toc19233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1.1. </w:t>
      </w:r>
      <w:r>
        <w:rPr>
          <w:rFonts w:hint="eastAsia" w:cs="仿宋_GB2312"/>
        </w:rPr>
        <w:t>概述</w:t>
      </w:r>
      <w:r>
        <w:tab/>
      </w:r>
      <w:r>
        <w:fldChar w:fldCharType="begin"/>
      </w:r>
      <w:r>
        <w:instrText xml:space="preserve"> PAGEREF _Toc19233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_Toc18951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1.2. </w:t>
      </w:r>
      <w:r>
        <w:rPr>
          <w:rFonts w:hint="eastAsia" w:cs="仿宋_GB2312"/>
          <w:bCs/>
          <w:highlight w:val="none"/>
          <w:lang w:val="en-US" w:eastAsia="zh-CN"/>
        </w:rPr>
        <w:t>采购</w:t>
      </w:r>
      <w:r>
        <w:rPr>
          <w:rFonts w:hint="eastAsia" w:cs="仿宋_GB2312"/>
          <w:bCs/>
          <w:highlight w:val="none"/>
        </w:rPr>
        <w:t>范围</w:t>
      </w:r>
      <w:r>
        <w:tab/>
      </w:r>
      <w:r>
        <w:fldChar w:fldCharType="begin"/>
      </w:r>
      <w:r>
        <w:instrText xml:space="preserve"> PAGEREF _Toc18951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_Toc8663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1.3. </w:t>
      </w:r>
      <w:r>
        <w:rPr>
          <w:rFonts w:hint="eastAsia" w:cs="仿宋_GB2312"/>
          <w:lang w:val="en-US" w:eastAsia="zh-CN"/>
        </w:rPr>
        <w:t>项目</w:t>
      </w:r>
      <w:r>
        <w:rPr>
          <w:rFonts w:hint="eastAsia" w:cs="仿宋_GB2312"/>
        </w:rPr>
        <w:t>保证</w:t>
      </w:r>
      <w:r>
        <w:tab/>
      </w:r>
      <w:r>
        <w:fldChar w:fldCharType="begin"/>
      </w:r>
      <w:r>
        <w:instrText xml:space="preserve"> PAGEREF _Toc8663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_Toc26961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1.4. </w:t>
      </w:r>
      <w:r>
        <w:rPr>
          <w:rFonts w:hint="eastAsia" w:cs="仿宋_GB2312"/>
        </w:rPr>
        <w:t>依据标准及规范</w:t>
      </w:r>
      <w:r>
        <w:tab/>
      </w:r>
      <w:r>
        <w:fldChar w:fldCharType="begin"/>
      </w:r>
      <w:r>
        <w:instrText xml:space="preserve"> PAGEREF _Toc26961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_Toc4627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bCs/>
          <w:i w:val="0"/>
          <w:spacing w:val="-12"/>
          <w:szCs w:val="44"/>
        </w:rPr>
        <w:t xml:space="preserve">2. </w:t>
      </w:r>
      <w:r>
        <w:rPr>
          <w:rFonts w:hint="eastAsia" w:eastAsia="仿宋_GB2312" w:cs="仿宋_GB2312"/>
        </w:rPr>
        <w:t>项目内容</w:t>
      </w:r>
      <w:r>
        <w:tab/>
      </w:r>
      <w:r>
        <w:fldChar w:fldCharType="begin"/>
      </w:r>
      <w:r>
        <w:instrText xml:space="preserve"> PAGEREF _Toc4627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_Toc5739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2.1. </w:t>
      </w:r>
      <w:r>
        <w:rPr>
          <w:rFonts w:hint="eastAsia" w:cs="仿宋_GB2312"/>
        </w:rPr>
        <w:t>项目背景</w:t>
      </w:r>
      <w:r>
        <w:tab/>
      </w:r>
      <w:r>
        <w:fldChar w:fldCharType="begin"/>
      </w:r>
      <w:r>
        <w:instrText xml:space="preserve"> PAGEREF _Toc5739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  <w:rPr>
          <w:rFonts w:hint="eastAsia" w:eastAsiaTheme="minor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_Toc22782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2.2. </w:t>
      </w:r>
      <w:r>
        <w:rPr>
          <w:rFonts w:hint="eastAsia" w:cs="仿宋_GB2312"/>
          <w:lang w:val="en-US" w:eastAsia="zh-CN"/>
        </w:rPr>
        <w:t>资质</w:t>
      </w:r>
      <w:r>
        <w:rPr>
          <w:rFonts w:hint="eastAsia" w:cs="仿宋_GB2312"/>
        </w:rPr>
        <w:t>要求</w:t>
      </w:r>
      <w:r>
        <w:tab/>
      </w:r>
      <w:r>
        <w:rPr>
          <w:rFonts w:hint="eastAsia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_Toc32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2.3. </w:t>
      </w:r>
      <w:r>
        <w:rPr>
          <w:rFonts w:hint="eastAsia" w:cs="仿宋_GB2312"/>
          <w:lang w:val="en-US" w:eastAsia="zh-CN"/>
        </w:rPr>
        <w:t>技术要求</w:t>
      </w:r>
      <w:r>
        <w:tab/>
      </w:r>
      <w:r>
        <w:fldChar w:fldCharType="begin"/>
      </w:r>
      <w:r>
        <w:instrText xml:space="preserve"> PAGEREF _Toc32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_Toc25876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bCs/>
          <w:i w:val="0"/>
          <w:spacing w:val="-12"/>
          <w:szCs w:val="44"/>
        </w:rPr>
        <w:t xml:space="preserve">3. </w:t>
      </w:r>
      <w:r>
        <w:rPr>
          <w:rFonts w:hint="eastAsia" w:eastAsia="仿宋_GB2312" w:cs="仿宋_GB2312"/>
        </w:rPr>
        <w:t>质量及服务方式要求</w:t>
      </w:r>
      <w:r>
        <w:tab/>
      </w:r>
      <w:r>
        <w:fldChar w:fldCharType="begin"/>
      </w:r>
      <w:r>
        <w:instrText xml:space="preserve"> PAGEREF _Toc25876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_Toc29278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eastAsia"/>
          <w:lang w:val="en-US" w:eastAsia="zh-CN"/>
        </w:rPr>
        <w:t>3.1</w:t>
      </w:r>
      <w:r>
        <w:rPr>
          <w:rFonts w:hint="eastAsia"/>
        </w:rPr>
        <w:t>质量保证</w:t>
      </w:r>
      <w:r>
        <w:tab/>
      </w:r>
      <w:r>
        <w:fldChar w:fldCharType="begin"/>
      </w:r>
      <w:r>
        <w:instrText xml:space="preserve"> PAGEREF _Toc29278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6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_Toc29826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eastAsia"/>
          <w:lang w:val="en-US" w:eastAsia="zh-CN"/>
        </w:rPr>
        <w:t>3.2</w:t>
      </w:r>
      <w:r>
        <w:rPr>
          <w:rFonts w:hint="eastAsia"/>
        </w:rPr>
        <w:t>售后服务</w:t>
      </w:r>
      <w:r>
        <w:tab/>
      </w:r>
      <w:r>
        <w:fldChar w:fldCharType="begin"/>
      </w:r>
      <w:r>
        <w:instrText xml:space="preserve"> PAGEREF _Toc29826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_Toc5314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4. </w:t>
      </w:r>
      <w:r>
        <w:rPr>
          <w:rFonts w:hint="eastAsia" w:ascii="仿宋" w:hAnsi="仿宋" w:eastAsia="仿宋"/>
        </w:rPr>
        <w:t>安全保密要求</w:t>
      </w:r>
      <w:r>
        <w:tab/>
      </w:r>
      <w:r>
        <w:fldChar w:fldCharType="begin"/>
      </w:r>
      <w:r>
        <w:instrText xml:space="preserve"> PAGEREF _Toc5314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30"/>
        <w:tabs>
          <w:tab w:val="left" w:pos="420"/>
          <w:tab w:val="right" w:leader="dot" w:pos="8302"/>
        </w:tabs>
        <w:spacing w:line="360" w:lineRule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spacing w:line="360" w:lineRule="auto"/>
        <w:rPr>
          <w:rFonts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ascii="仿宋_GB2312" w:hAnsi="仿宋_GB2312" w:eastAsia="仿宋_GB2312" w:cs="仿宋_GB2312"/>
          <w:sz w:val="2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lowerRoman" w:start="1"/>
          <w:cols w:space="720" w:num="1"/>
          <w:docGrid w:type="lines" w:linePitch="312" w:charSpace="0"/>
        </w:sectPr>
      </w:pPr>
    </w:p>
    <w:p>
      <w:pPr>
        <w:pStyle w:val="4"/>
        <w:rPr>
          <w:rFonts w:eastAsia="仿宋_GB2312" w:cs="仿宋_GB2312"/>
        </w:rPr>
      </w:pPr>
      <w:bookmarkStart w:id="24" w:name="_Toc192340308"/>
      <w:bookmarkEnd w:id="24"/>
      <w:bookmarkStart w:id="25" w:name="_Toc192340307"/>
      <w:bookmarkEnd w:id="25"/>
      <w:bookmarkStart w:id="26" w:name="_Toc27969"/>
      <w:bookmarkStart w:id="27" w:name="_Toc4967"/>
      <w:bookmarkStart w:id="28" w:name="_Toc3246"/>
      <w:bookmarkStart w:id="29" w:name="_Toc198288426"/>
      <w:bookmarkStart w:id="30" w:name="_Toc10542"/>
      <w:bookmarkStart w:id="31" w:name="_Toc27374"/>
      <w:bookmarkStart w:id="32" w:name="_Toc17766"/>
      <w:bookmarkStart w:id="33" w:name="_Toc8192"/>
      <w:bookmarkStart w:id="34" w:name="_Toc27137"/>
      <w:bookmarkStart w:id="35" w:name="_Toc2861"/>
      <w:bookmarkStart w:id="36" w:name="_Toc147371417"/>
      <w:r>
        <w:rPr>
          <w:rFonts w:hint="eastAsia" w:eastAsia="仿宋_GB2312" w:cs="仿宋_GB2312"/>
        </w:rPr>
        <w:t>总则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>
      <w:pPr>
        <w:pStyle w:val="5"/>
        <w:rPr>
          <w:rFonts w:cs="仿宋_GB2312"/>
        </w:rPr>
      </w:pPr>
      <w:bookmarkStart w:id="37" w:name="_Toc5598"/>
      <w:bookmarkStart w:id="38" w:name="_Toc24317"/>
      <w:bookmarkStart w:id="39" w:name="_Toc25167"/>
      <w:bookmarkStart w:id="40" w:name="_Toc31589"/>
      <w:bookmarkStart w:id="41" w:name="_Toc18895"/>
      <w:bookmarkStart w:id="42" w:name="_Toc23290"/>
      <w:bookmarkStart w:id="43" w:name="_Toc270544309"/>
      <w:bookmarkStart w:id="44" w:name="_Toc28067"/>
      <w:bookmarkStart w:id="45" w:name="_Toc9898"/>
      <w:bookmarkStart w:id="46" w:name="_Toc296516184"/>
      <w:bookmarkStart w:id="47" w:name="_Toc19233"/>
      <w:r>
        <w:rPr>
          <w:rFonts w:hint="eastAsia" w:cs="仿宋_GB2312"/>
        </w:rPr>
        <w:t>概述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本文件适用于南方电网数字电网科技（广东）有限公司</w:t>
      </w:r>
      <w:r>
        <w:rPr>
          <w:rFonts w:ascii="宋体" w:hAnsi="宋体" w:cs="宋体"/>
          <w:szCs w:val="24"/>
        </w:rPr>
        <w:t> </w:t>
      </w:r>
      <w:r>
        <w:rPr>
          <w:rFonts w:hint="eastAsia" w:ascii="仿宋_GB2312" w:hAnsi="仿宋_GB2312" w:eastAsia="仿宋_GB2312" w:cs="仿宋_GB2312"/>
          <w:sz w:val="28"/>
          <w:szCs w:val="28"/>
        </w:rPr>
        <w:t>（以下简称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）数字电网科技公司2025年无线通信模组性能测试辅材零星采购项目，</w:t>
      </w:r>
      <w:r>
        <w:rPr>
          <w:rFonts w:hint="eastAsia" w:ascii="仿宋_GB2312" w:hAnsi="仿宋_GB2312" w:eastAsia="仿宋_GB2312" w:cs="仿宋_GB2312"/>
          <w:sz w:val="28"/>
          <w:szCs w:val="28"/>
        </w:rPr>
        <w:t>本文件的最终解释权归南方电网数字电网科技（广东）有限公司。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可以就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认为的遗漏项目提请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注意，并详细说明理由。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将就此进行澄清。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应保证所提供的所有资料真实、完整、准确无误，否则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将有权取消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资格，</w:t>
      </w:r>
      <w:r>
        <w:rPr>
          <w:rFonts w:hint="eastAsia" w:ascii="仿宋_GB2312" w:hAnsi="仿宋_GB2312" w:eastAsia="仿宋_GB2312" w:cs="仿宋_GB2312"/>
          <w:sz w:val="28"/>
          <w:szCs w:val="28"/>
        </w:rPr>
        <w:t>由此产生的一切后果由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承担。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在任何时候保留和拥有对本技术规范书的解释权。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未经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同意，不得以任何形式向第三方公开本技术规范书。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本技术规范书解释权属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所有。</w:t>
      </w:r>
    </w:p>
    <w:p>
      <w:pPr>
        <w:pStyle w:val="8"/>
        <w:numPr>
          <w:ilvl w:val="0"/>
          <w:numId w:val="3"/>
        </w:numPr>
        <w:tabs>
          <w:tab w:val="left" w:pos="900"/>
        </w:tabs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充分理解本项目的项目背景、项目目标等，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提供符合本技术规范书要求的模组材料，并完成出厂制造、装配、试验、运输、包装、保管。</w:t>
      </w:r>
    </w:p>
    <w:p>
      <w:pPr>
        <w:pStyle w:val="31"/>
        <w:numPr>
          <w:ilvl w:val="0"/>
          <w:numId w:val="0"/>
        </w:numPr>
        <w:spacing w:line="360" w:lineRule="auto"/>
        <w:ind w:left="480" w:leftChars="0"/>
        <w:rPr>
          <w:rFonts w:ascii="仿宋_GB2312" w:hAnsi="仿宋_GB2312" w:eastAsia="仿宋_GB2312" w:cs="仿宋_GB2312"/>
          <w:sz w:val="28"/>
          <w:szCs w:val="28"/>
        </w:rPr>
      </w:pPr>
    </w:p>
    <w:p>
      <w:pPr>
        <w:pStyle w:val="5"/>
        <w:rPr>
          <w:rFonts w:cs="仿宋_GB2312"/>
        </w:rPr>
      </w:pPr>
      <w:bookmarkStart w:id="48" w:name="_Toc18951"/>
      <w:bookmarkStart w:id="49" w:name="_Toc12937"/>
      <w:bookmarkStart w:id="50" w:name="_Toc296516186"/>
      <w:bookmarkStart w:id="51" w:name="_Toc285723380"/>
      <w:bookmarkStart w:id="52" w:name="_Toc30309"/>
      <w:bookmarkStart w:id="53" w:name="_Toc105396785"/>
      <w:bookmarkStart w:id="54" w:name="_Toc32685"/>
      <w:bookmarkStart w:id="55" w:name="_Toc17569"/>
      <w:bookmarkStart w:id="56" w:name="_Toc31046"/>
      <w:bookmarkStart w:id="57" w:name="_Toc10272"/>
      <w:bookmarkStart w:id="58" w:name="_Toc288466921"/>
      <w:bookmarkStart w:id="59" w:name="_Toc286929894"/>
      <w:bookmarkStart w:id="60" w:name="_Toc270544311"/>
      <w:bookmarkStart w:id="61" w:name="_Toc3933"/>
      <w:bookmarkStart w:id="62" w:name="_Toc113682936"/>
      <w:bookmarkStart w:id="63" w:name="_Toc956"/>
      <w:r>
        <w:rPr>
          <w:rFonts w:hint="eastAsia" w:cs="仿宋_GB2312"/>
          <w:b/>
          <w:bCs/>
          <w:highlight w:val="none"/>
          <w:lang w:val="en-US" w:eastAsia="zh-CN"/>
        </w:rPr>
        <w:t>采购</w:t>
      </w:r>
      <w:r>
        <w:rPr>
          <w:rFonts w:hint="eastAsia" w:cs="仿宋_GB2312"/>
          <w:b/>
          <w:bCs/>
          <w:highlight w:val="none"/>
        </w:rPr>
        <w:t>范围</w:t>
      </w:r>
      <w:bookmarkEnd w:id="48"/>
    </w:p>
    <w:p>
      <w:pPr>
        <w:pStyle w:val="29"/>
        <w:ind w:firstLine="56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64" w:name="TXT_964B32BB4C6549149317C7DF75C889F5_1"/>
      <w:r>
        <w:rPr>
          <w:rFonts w:hint="eastAsia" w:ascii="仿宋_GB2312" w:hAnsi="仿宋_GB2312" w:eastAsia="仿宋_GB2312" w:cs="仿宋_GB2312"/>
          <w:sz w:val="28"/>
          <w:szCs w:val="28"/>
        </w:rPr>
        <w:t>本规范规定了南方电网数字电网科技（广东）有限公司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模组辅材</w:t>
      </w:r>
      <w:r>
        <w:rPr>
          <w:rFonts w:hint="eastAsia" w:ascii="仿宋_GB2312" w:hAnsi="仿宋_GB2312" w:eastAsia="仿宋_GB2312" w:cs="仿宋_GB2312"/>
          <w:sz w:val="28"/>
          <w:szCs w:val="28"/>
        </w:rPr>
        <w:t>功能等技术要求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pStyle w:val="29"/>
        <w:ind w:firstLine="56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为满足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项目电鸿操作系统无线模组性能测试</w:t>
      </w:r>
      <w:r>
        <w:rPr>
          <w:rFonts w:hint="eastAsia" w:ascii="仿宋_GB2312" w:hAnsi="仿宋_GB2312" w:eastAsia="仿宋_GB2312" w:cs="仿宋_GB2312"/>
          <w:sz w:val="28"/>
          <w:szCs w:val="28"/>
        </w:rPr>
        <w:t>需求，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采购一批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模块以及组网测试中使用到的辅材。同时响应方需要提供响应的材料的系统调试技术支持服务。</w:t>
      </w:r>
    </w:p>
    <w:p>
      <w:pPr>
        <w:pStyle w:val="29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应按本规范书的要求提供全新的、合格的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模块</w:t>
      </w:r>
      <w:r>
        <w:rPr>
          <w:rFonts w:hint="eastAsia" w:ascii="仿宋_GB2312" w:hAnsi="仿宋_GB2312" w:eastAsia="仿宋_GB2312" w:cs="仿宋_GB2312"/>
          <w:sz w:val="28"/>
          <w:szCs w:val="28"/>
        </w:rPr>
        <w:t>材料。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方所提供的组件或附件如需向第三方外购时，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方应对质量向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方负责，并提供相应出厂和验收证明。</w:t>
      </w:r>
    </w:p>
    <w:p>
      <w:pPr>
        <w:pStyle w:val="29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范围</w:t>
      </w:r>
      <w:bookmarkStart w:id="65" w:name="_Toc283142589"/>
      <w:bookmarkStart w:id="66" w:name="_Toc283011667"/>
      <w:bookmarkStart w:id="67" w:name="_Toc282433715"/>
      <w:r>
        <w:rPr>
          <w:rFonts w:hint="eastAsia" w:ascii="仿宋_GB2312" w:hAnsi="仿宋_GB2312" w:eastAsia="仿宋_GB2312" w:cs="仿宋_GB2312"/>
          <w:sz w:val="28"/>
          <w:szCs w:val="28"/>
        </w:rPr>
        <w:t>一览表</w:t>
      </w:r>
      <w:bookmarkEnd w:id="65"/>
      <w:bookmarkEnd w:id="66"/>
      <w:bookmarkEnd w:id="67"/>
    </w:p>
    <w:p>
      <w:pPr>
        <w:pStyle w:val="29"/>
        <w:ind w:left="0" w:leftChars="0" w:firstLine="0" w:firstLineChars="0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Hans"/>
        </w:rPr>
        <w:t>采购范围一览表</w:t>
      </w:r>
    </w:p>
    <w:tbl>
      <w:tblPr>
        <w:tblStyle w:val="20"/>
        <w:tblW w:w="754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4159"/>
        <w:gridCol w:w="1158"/>
        <w:gridCol w:w="11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材料名称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星闪BS21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bookmarkStart w:id="68" w:name="_Toc8663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蓝牙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20口USB分线器/扩展坞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个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USB转typec线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条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USB转串口线(TTL340G)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条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USB延长线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条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星闪BS63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bookmarkEnd w:id="64"/>
    </w:tbl>
    <w:p>
      <w:pPr>
        <w:bidi w:val="0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>
      <w:pPr>
        <w:pStyle w:val="5"/>
        <w:rPr>
          <w:rFonts w:cs="仿宋_GB2312"/>
        </w:rPr>
      </w:pPr>
      <w:r>
        <w:rPr>
          <w:rFonts w:hint="eastAsia" w:cs="仿宋_GB2312"/>
          <w:lang w:val="en-US" w:eastAsia="zh-CN"/>
        </w:rPr>
        <w:t>项目</w:t>
      </w:r>
      <w:r>
        <w:rPr>
          <w:rFonts w:hint="eastAsia" w:cs="仿宋_GB2312"/>
        </w:rPr>
        <w:t>保证</w:t>
      </w:r>
      <w:bookmarkEnd w:id="68"/>
      <w:r>
        <w:rPr>
          <w:rFonts w:hint="eastAsia" w:cs="仿宋_GB2312"/>
        </w:rPr>
        <w:t xml:space="preserve"> </w:t>
      </w:r>
    </w:p>
    <w:p>
      <w:pPr>
        <w:pStyle w:val="29"/>
        <w:ind w:firstLine="562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）质量保证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>
      <w:pPr>
        <w:pStyle w:val="29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响应方必须保证所交付模组材料、传感器模块质量合格，外观无明显缺陷，零部件无异常、连接可靠，所有接口、功能正常可用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。 </w:t>
      </w:r>
    </w:p>
    <w:p>
      <w:pPr>
        <w:pStyle w:val="29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）进度保证 </w:t>
      </w:r>
    </w:p>
    <w:p>
      <w:pPr>
        <w:pStyle w:val="29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本项目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要求所采购材料最终交付日期不晚于4月30日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。 </w:t>
      </w:r>
    </w:p>
    <w:bookmarkEnd w:id="36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p>
      <w:pPr>
        <w:pStyle w:val="5"/>
        <w:rPr>
          <w:rFonts w:cs="仿宋_GB2312"/>
        </w:rPr>
      </w:pPr>
      <w:bookmarkStart w:id="69" w:name="_Toc26961"/>
      <w:r>
        <w:rPr>
          <w:rFonts w:hint="eastAsia" w:cs="仿宋_GB2312"/>
        </w:rPr>
        <w:t>依据标准及规范</w:t>
      </w:r>
      <w:bookmarkEnd w:id="69"/>
      <w:r>
        <w:rPr>
          <w:rFonts w:hint="eastAsia" w:cs="仿宋_GB2312"/>
        </w:rPr>
        <w:t xml:space="preserve"> </w:t>
      </w:r>
    </w:p>
    <w:p>
      <w:pPr>
        <w:pStyle w:val="29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方应严格依据国家或国际有关标准进行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材料生产、检测、包装、运输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>
      <w:pPr>
        <w:pStyle w:val="4"/>
        <w:rPr>
          <w:rFonts w:eastAsia="仿宋_GB2312" w:cs="仿宋_GB2312"/>
        </w:rPr>
      </w:pPr>
      <w:bookmarkStart w:id="70" w:name="_Toc12739"/>
      <w:bookmarkStart w:id="71" w:name="_Toc4627"/>
      <w:bookmarkStart w:id="72" w:name="_Toc25169"/>
      <w:bookmarkStart w:id="73" w:name="_Toc13986"/>
      <w:bookmarkStart w:id="74" w:name="_Toc31220"/>
      <w:bookmarkStart w:id="75" w:name="_Toc3512"/>
      <w:bookmarkStart w:id="76" w:name="_Toc23511"/>
      <w:bookmarkStart w:id="77" w:name="_Toc5747"/>
      <w:bookmarkStart w:id="78" w:name="_Toc16638"/>
      <w:r>
        <w:rPr>
          <w:rFonts w:hint="eastAsia" w:eastAsia="仿宋_GB2312" w:cs="仿宋_GB2312"/>
        </w:rPr>
        <w:t>项目内容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>
      <w:pPr>
        <w:pStyle w:val="5"/>
        <w:rPr>
          <w:rFonts w:cs="仿宋_GB2312"/>
        </w:rPr>
      </w:pPr>
      <w:bookmarkStart w:id="79" w:name="_Toc5739"/>
      <w:bookmarkStart w:id="80" w:name="_Toc12257"/>
      <w:bookmarkStart w:id="81" w:name="_Toc29634"/>
      <w:bookmarkStart w:id="82" w:name="_Toc17189"/>
      <w:bookmarkStart w:id="83" w:name="_Toc735"/>
      <w:bookmarkStart w:id="84" w:name="_Toc26011"/>
      <w:bookmarkStart w:id="85" w:name="_Toc26124"/>
      <w:bookmarkStart w:id="86" w:name="_Toc10714"/>
      <w:bookmarkStart w:id="87" w:name="_Toc32273"/>
      <w:r>
        <w:rPr>
          <w:rFonts w:hint="eastAsia" w:cs="仿宋_GB2312"/>
        </w:rPr>
        <w:t>项目背景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>
      <w:pPr>
        <w:pStyle w:val="29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为满足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项目电鸿操作系统无线模组性能测试</w:t>
      </w:r>
      <w:r>
        <w:rPr>
          <w:rFonts w:hint="eastAsia" w:ascii="仿宋_GB2312" w:hAnsi="仿宋_GB2312" w:eastAsia="仿宋_GB2312" w:cs="仿宋_GB2312"/>
          <w:sz w:val="28"/>
          <w:szCs w:val="28"/>
        </w:rPr>
        <w:t>需求，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采购一批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模块以及组网测试中使用到的辅材。</w:t>
      </w:r>
    </w:p>
    <w:p>
      <w:pPr>
        <w:pStyle w:val="5"/>
        <w:rPr>
          <w:rFonts w:cs="仿宋_GB2312"/>
        </w:rPr>
      </w:pPr>
      <w:bookmarkStart w:id="88" w:name="_Toc32"/>
      <w:bookmarkStart w:id="89" w:name="_Toc7017"/>
      <w:bookmarkStart w:id="90" w:name="_Toc26770"/>
      <w:bookmarkStart w:id="91" w:name="_Toc561"/>
      <w:bookmarkStart w:id="92" w:name="_Toc24477"/>
      <w:bookmarkStart w:id="93" w:name="_Toc17046"/>
      <w:bookmarkStart w:id="94" w:name="_Toc14303"/>
      <w:bookmarkStart w:id="95" w:name="_Toc3531"/>
      <w:bookmarkStart w:id="96" w:name="_Toc31437"/>
      <w:bookmarkStart w:id="97" w:name="_Toc30858"/>
      <w:bookmarkStart w:id="98" w:name="_Toc197719624"/>
      <w:bookmarkStart w:id="99" w:name="_Toc198288469"/>
      <w:r>
        <w:rPr>
          <w:rFonts w:hint="eastAsia" w:cs="仿宋_GB2312"/>
          <w:lang w:val="en-US" w:eastAsia="zh-CN"/>
        </w:rPr>
        <w:t>技术要求</w:t>
      </w:r>
      <w:bookmarkEnd w:id="88"/>
    </w:p>
    <w:p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材料硬件参数</w:t>
      </w:r>
    </w:p>
    <w:p>
      <w:pPr>
        <w:pStyle w:val="80"/>
        <w:spacing w:line="360" w:lineRule="auto"/>
      </w:pPr>
      <w:r>
        <w:t>详细功能特</w:t>
      </w:r>
      <w:r>
        <w:rPr>
          <w:rStyle w:val="81"/>
        </w:rPr>
        <w:t>性如</w:t>
      </w:r>
      <w:r>
        <w:rPr>
          <w:rStyle w:val="81"/>
        </w:rPr>
        <w:fldChar w:fldCharType="begin"/>
      </w:r>
      <w:r>
        <w:rPr>
          <w:rStyle w:val="81"/>
        </w:rPr>
        <w:instrText xml:space="preserve"> REF _Ref32824540 \h </w:instrText>
      </w:r>
      <w:r>
        <w:rPr>
          <w:rStyle w:val="81"/>
        </w:rPr>
        <w:fldChar w:fldCharType="separate"/>
      </w:r>
      <w:r>
        <w:rPr>
          <w:rFonts w:hint="eastAsia"/>
        </w:rPr>
        <w:t xml:space="preserve">表 </w:t>
      </w:r>
      <w:r>
        <w:t>1.1</w:t>
      </w:r>
      <w:r>
        <w:rPr>
          <w:rStyle w:val="81"/>
        </w:rPr>
        <w:fldChar w:fldCharType="end"/>
      </w:r>
      <w:r>
        <w:rPr>
          <w:rStyle w:val="81"/>
        </w:rPr>
        <w:t>所示。</w:t>
      </w:r>
    </w:p>
    <w:p>
      <w:pPr>
        <w:pStyle w:val="9"/>
        <w:spacing w:line="360" w:lineRule="auto"/>
        <w:rPr>
          <w:highlight w:val="none"/>
        </w:rPr>
      </w:pPr>
      <w:bookmarkStart w:id="100" w:name="_Ref32824540"/>
      <w:bookmarkStart w:id="101" w:name="_Ref32824536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STYLEREF 1 \s</w:instrText>
      </w:r>
      <w:r>
        <w:instrText xml:space="preserve"> </w:instrText>
      </w:r>
      <w:r>
        <w:fldChar w:fldCharType="separate"/>
      </w:r>
      <w:r>
        <w:t>1</w:t>
      </w:r>
      <w:r>
        <w:fldChar w:fldCharType="end"/>
      </w:r>
      <w:bookmarkEnd w:id="100"/>
      <w:r>
        <w:rPr>
          <w:rFonts w:hint="eastAsia"/>
          <w:lang w:val="en-US" w:eastAsia="zh-CN"/>
        </w:rPr>
        <w:t xml:space="preserve"> </w:t>
      </w:r>
      <w:r>
        <w:rPr>
          <w:rFonts w:hint="eastAsia"/>
          <w:highlight w:val="none"/>
          <w:lang w:val="en-US" w:eastAsia="zh-CN"/>
        </w:rPr>
        <w:t>星闪BS21模块</w:t>
      </w:r>
      <w:r>
        <w:rPr>
          <w:highlight w:val="none"/>
        </w:rPr>
        <w:t>功能参数</w:t>
      </w:r>
      <w:bookmarkEnd w:id="101"/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lang w:val="en-US" w:eastAsia="zh-CN"/>
              </w:rPr>
            </w:pPr>
            <w:r>
              <w:t>Flash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512KB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lang w:val="en-US" w:eastAsia="zh-CN"/>
              </w:rPr>
            </w:pPr>
            <w:r>
              <w:t>RAM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160KB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lang w:val="en-US" w:eastAsia="zh-CN"/>
              </w:rPr>
            </w:pPr>
            <w:r>
              <w:t>内核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RISC-V 32bit CPU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</w:pPr>
            <w:r>
              <w:t>BLE版本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BLE5.3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</w:pPr>
            <w:r>
              <w:rPr>
                <w:rFonts w:hint="eastAsia"/>
                <w:lang w:val="en-US" w:eastAsia="zh-CN"/>
              </w:rPr>
              <w:t>S</w:t>
            </w:r>
            <w:r>
              <w:t>LE版本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SLE1.0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</w:pPr>
            <w:r>
              <w:t>物理层射频传输速率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hint="eastAsia" w:ascii="TimesNewRomanPSMT" w:hAnsi="TimesNewRomanPSMT" w:eastAsia="宋体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BLE：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1Mbps，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2Mbps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，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500kbps 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和 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125kbps</w:t>
            </w:r>
          </w:p>
          <w:p>
            <w:pPr>
              <w:pStyle w:val="2"/>
              <w:ind w:left="0" w:leftChars="0" w:firstLine="0" w:firstLineChars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TimesNewRomanPSMT" w:hAnsi="TimesNewRomanPSMT" w:eastAsia="宋体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SLE：</w:t>
            </w:r>
            <w:r>
              <w:rPr>
                <w:rFonts w:ascii="ArialMT" w:hAnsi="ArialMT" w:eastAsia="ArialMT" w:cs="ArialMT"/>
                <w:b w:val="0"/>
                <w:bCs w:val="0"/>
                <w:color w:val="000000"/>
                <w:sz w:val="20"/>
                <w:szCs w:val="20"/>
              </w:rPr>
              <w:t>1M/2M/4M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lang w:val="en-US" w:eastAsia="zh-CN"/>
              </w:rPr>
            </w:pPr>
            <w:r>
              <w:t>发射功率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宋体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 xml:space="preserve">SLE: 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-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4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～+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6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</w:pPr>
          </w:p>
          <w:p>
            <w:pPr>
              <w:spacing w:line="300" w:lineRule="auto"/>
              <w:jc w:val="center"/>
            </w:pPr>
          </w:p>
          <w:p>
            <w:pPr>
              <w:spacing w:line="300" w:lineRule="auto"/>
              <w:jc w:val="center"/>
              <w:rPr>
                <w:lang w:val="en-US" w:eastAsia="zh-CN"/>
              </w:rPr>
            </w:pPr>
            <w:r>
              <w:rPr>
                <w:rFonts w:hint="eastAsia"/>
              </w:rPr>
              <w:t>功耗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DeepSleep(160K RAM Ret, 32k RC) 5.5μA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DeepSleep(32K RAM Ret, 32k XO) 2.2μA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BLE TX （全芯片）@0dBm 5.5mA</w:t>
            </w:r>
          </w:p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BLE RX （全芯片） 4.2mA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lang w:val="en-US" w:eastAsia="zh-CN"/>
              </w:rPr>
            </w:pPr>
            <w:r>
              <w:t>串行口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支持 3*UART，其中 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2 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个 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4 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线 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uart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，两路支持流控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</w:pPr>
            <w:r>
              <w:t>模拟接口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支持 8 通道 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12bit ADC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，最大采样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GPIO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ArialMT" w:hAnsi="ArialMT" w:eastAsia="ArialMT" w:cs="ArialMT"/>
                <w:b w:val="0"/>
                <w:bCs w:val="0"/>
                <w:color w:val="000000"/>
                <w:sz w:val="19"/>
                <w:szCs w:val="19"/>
              </w:rPr>
              <w:t xml:space="preserve">32 </w:t>
            </w:r>
            <w:r>
              <w:rPr>
                <w:rFonts w:ascii="MicrosoftYaHei" w:hAnsi="MicrosoftYaHei" w:eastAsia="MicrosoftYaHei" w:cs="MicrosoftYaHei"/>
                <w:b w:val="0"/>
                <w:bCs w:val="0"/>
                <w:color w:val="000000"/>
                <w:sz w:val="19"/>
                <w:szCs w:val="19"/>
              </w:rPr>
              <w:t xml:space="preserve">个 </w:t>
            </w:r>
            <w:r>
              <w:rPr>
                <w:rFonts w:hint="default" w:ascii="ArialMT" w:hAnsi="ArialMT" w:eastAsia="ArialMT" w:cs="ArialMT"/>
                <w:b w:val="0"/>
                <w:bCs w:val="0"/>
                <w:color w:val="000000"/>
                <w:sz w:val="19"/>
                <w:szCs w:val="19"/>
              </w:rPr>
              <w:t>GPIO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定时器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 xml:space="preserve">支持 1 </w:t>
            </w:r>
            <w:r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个 Timer 模块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</w:pPr>
            <w:r>
              <w:rPr>
                <w:rFonts w:hint="eastAsia"/>
              </w:rPr>
              <w:t>封装形式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QFN48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封装</w:t>
            </w:r>
            <w:r>
              <w:rPr>
                <w:rFonts w:hint="eastAsia"/>
                <w:lang w:val="en-US" w:eastAsia="zh-CN"/>
              </w:rPr>
              <w:t>大小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6mm*6mm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工作温度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-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40°C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～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85°C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电鸿物联操作系统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模组基于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H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i2</w:t>
            </w:r>
            <w:r>
              <w:rPr>
                <w:rFonts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8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</w:rPr>
              <w:t>2</w:t>
            </w: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1实现电鸿化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USB接口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支持micro USB接口通信、供电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三色LED灯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具备单色LED灯作为模块状态显示</w:t>
            </w:r>
          </w:p>
        </w:tc>
      </w:tr>
    </w:tbl>
    <w:p>
      <w:pPr>
        <w:pStyle w:val="9"/>
        <w:spacing w:line="360" w:lineRule="auto"/>
        <w:rPr>
          <w:highlight w:val="none"/>
        </w:rPr>
      </w:pPr>
      <w:r>
        <w:rPr>
          <w:rFonts w:hint="eastAsia"/>
          <w:highlight w:val="none"/>
        </w:rPr>
        <w:t xml:space="preserve">表 </w:t>
      </w:r>
      <w:r>
        <w:rPr>
          <w:rFonts w:hint="eastAsia"/>
          <w:highlight w:val="none"/>
          <w:lang w:val="en-US" w:eastAsia="zh-CN"/>
        </w:rPr>
        <w:t>2 星闪BS63模块</w:t>
      </w:r>
      <w:r>
        <w:rPr>
          <w:highlight w:val="none"/>
        </w:rPr>
        <w:t>功能参数</w:t>
      </w:r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Flash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606KB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RAM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300KB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内核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RISC-V 32bit CPU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BLE版本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BLE5.3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SLE版本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SLE1.0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WIFI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 xml:space="preserve">PHY支持 IEEE 802.11b/g/n/ax 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MAC 支持 IEEE 802.11d/e/i/k/v/w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物理层射频传输速率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SLE： 1MHz/2MHz/4MHz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BLE ：125Kbps、500Kbps、1Mbps、2Mbps 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发射功率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BLE ：-27~20dBm</w:t>
            </w:r>
          </w:p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SLE： 14~20dBm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功耗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关 机 时 功耗 （DVDD,AVDD33 及 AVDD18 均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在 位）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- 500 - uA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关 机 时 功 耗 （DVDD 掉 电 ,AVDD33 及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AVDD18 在位）</w:t>
            </w:r>
          </w:p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- 4.3 0 uA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串行口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3 个 UART 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模拟接口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6 路 ADC 输入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GPIO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19 个 GPIO 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PWM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8 路 PWM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封装形式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QFN40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封装大小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5mm*5mm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工作温度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-40°C～85°C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电鸿物联操作系统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模组基于Hi3863实现电鸿化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USB接口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支持tpye-c USB接口通信、供电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三色LED灯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spacing w:line="300" w:lineRule="auto"/>
              <w:rPr>
                <w:rFonts w:hint="default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</w:pPr>
            <w:r>
              <w:rPr>
                <w:rFonts w:hint="eastAsia" w:ascii="TimesNewRomanPSMT" w:hAnsi="TimesNewRomanPSMT" w:eastAsia="TimesNewRomanPSMT" w:cs="TimesNewRomanPSMT"/>
                <w:b w:val="0"/>
                <w:bCs w:val="0"/>
                <w:color w:val="000000"/>
                <w:sz w:val="19"/>
                <w:szCs w:val="19"/>
                <w:lang w:val="en-US" w:eastAsia="zh-CN"/>
              </w:rPr>
              <w:t>具备三色LED灯作为模块状态显示</w:t>
            </w:r>
          </w:p>
        </w:tc>
      </w:tr>
    </w:tbl>
    <w:p>
      <w:pPr>
        <w:pStyle w:val="29"/>
        <w:ind w:left="0" w:leftChars="0" w:firstLine="0" w:firstLineChars="0"/>
        <w:rPr>
          <w:rFonts w:hint="eastAsia" w:cs="仿宋_GB2312"/>
          <w:lang w:val="en-US" w:eastAsia="zh-CN"/>
        </w:rPr>
      </w:pPr>
    </w:p>
    <w:p>
      <w:pPr>
        <w:pStyle w:val="9"/>
        <w:spacing w:line="360" w:lineRule="auto"/>
        <w:rPr>
          <w:rFonts w:hint="eastAsia"/>
        </w:rPr>
      </w:pPr>
    </w:p>
    <w:p>
      <w:pPr>
        <w:pStyle w:val="9"/>
        <w:spacing w:line="360" w:lineRule="auto"/>
      </w:pPr>
      <w:r>
        <w:rPr>
          <w:rFonts w:hint="eastAsia"/>
        </w:rPr>
        <w:t xml:space="preserve">表 </w:t>
      </w:r>
      <w:r>
        <w:rPr>
          <w:rFonts w:hint="eastAsia"/>
          <w:lang w:val="en-US" w:eastAsia="zh-CN"/>
        </w:rPr>
        <w:t>3 蓝牙模块</w:t>
      </w:r>
      <w:r>
        <w:t>功能参数</w:t>
      </w:r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</w:pPr>
            <w: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</w:pPr>
            <w: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Flash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1M</w:t>
            </w:r>
            <w: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RAM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256</w:t>
            </w:r>
            <w:r>
              <w:t>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内核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6</w:t>
            </w:r>
            <w:r>
              <w:t>4MHz ARM</w:t>
            </w:r>
            <w:r>
              <w:rPr>
                <w:rFonts w:hint="eastAsia"/>
                <w:vertAlign w:val="superscript"/>
              </w:rPr>
              <w:t>®</w:t>
            </w:r>
            <w:r>
              <w:rPr>
                <w:rFonts w:hint="eastAsia"/>
              </w:rPr>
              <w:t>Cortex-M</w:t>
            </w:r>
            <w:r>
              <w:t>4F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BLE版本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兼容BLE</w:t>
            </w:r>
            <w:r>
              <w:t>4.0/4.1/4.2/5.1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工作频率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2</w:t>
            </w:r>
            <w:r>
              <w:t>402MHz</w:t>
            </w:r>
            <w:r>
              <w:rPr>
                <w:rFonts w:hint="eastAsia" w:ascii="宋体" w:hAnsi="宋体"/>
              </w:rPr>
              <w:t>～</w:t>
            </w:r>
            <w:r>
              <w:t>2480MHz(BLE)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</w:pPr>
          </w:p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物理层射频传输速率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2 Mbps, 1 Mbps, 500 kbps, and 125 kbps</w:t>
            </w:r>
            <w:r>
              <w:rPr>
                <w:rFonts w:hint="eastAsia"/>
              </w:rPr>
              <w:t xml:space="preserve"> </w:t>
            </w:r>
            <w:r>
              <w:t xml:space="preserve"> BLE模式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发射功率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-</w:t>
            </w:r>
            <w:r>
              <w:t>20</w:t>
            </w:r>
            <w:r>
              <w:rPr>
                <w:rFonts w:hint="eastAsia" w:ascii="宋体" w:hAnsi="宋体"/>
              </w:rPr>
              <w:t>～</w:t>
            </w:r>
            <w:r>
              <w:rPr>
                <w:rFonts w:hint="eastAsia"/>
              </w:rPr>
              <w:t>+5</w:t>
            </w:r>
            <w:r>
              <w:t>dBm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接收灵敏度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-</w:t>
            </w:r>
            <w:r>
              <w:t>9</w:t>
            </w:r>
            <w:r>
              <w:rPr>
                <w:rFonts w:hint="eastAsia"/>
              </w:rPr>
              <w:t>7</w:t>
            </w:r>
            <w:r>
              <w:t>dBm</w:t>
            </w:r>
            <w:r>
              <w:rPr>
                <w:rFonts w:hint="eastAsia"/>
              </w:rPr>
              <w:t>(1Mbps,PER&lt;</w:t>
            </w:r>
            <w:r>
              <w:t>30.8%</w:t>
            </w:r>
            <w:r>
              <w:rPr>
                <w:rFonts w:hint="eastAsia"/>
              </w:rPr>
              <w:t>)/</w:t>
            </w:r>
            <w:r>
              <w:rPr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103</w:t>
            </w:r>
            <w:r>
              <w:rPr>
                <w:color w:val="000000"/>
              </w:rPr>
              <w:t>dBm(</w:t>
            </w:r>
            <w:r>
              <w:rPr>
                <w:rFonts w:hint="eastAsia"/>
                <w:color w:val="000000"/>
              </w:rPr>
              <w:t>125K</w:t>
            </w:r>
            <w:r>
              <w:rPr>
                <w:color w:val="000000"/>
              </w:rPr>
              <w:t>bps</w:t>
            </w:r>
            <w:r>
              <w:rPr>
                <w:rFonts w:hint="eastAsia"/>
                <w:color w:val="000000"/>
              </w:rPr>
              <w:t>,</w:t>
            </w:r>
            <w:r>
              <w:rPr>
                <w:color w:val="000000"/>
              </w:rPr>
              <w:t>PER&lt;30.8%)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</w:pPr>
          </w:p>
          <w:p>
            <w:pPr>
              <w:pStyle w:val="83"/>
            </w:pPr>
          </w:p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功耗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</w:pPr>
            <w:r>
              <w:rPr>
                <w:rFonts w:hint="eastAsia"/>
              </w:rPr>
              <w:t>TX峰值电流：3.4</w:t>
            </w:r>
            <w:r>
              <w:t>mA（</w:t>
            </w:r>
            <w:r>
              <w:rPr>
                <w:rFonts w:hint="eastAsia"/>
              </w:rPr>
              <w:t>0dBm</w:t>
            </w:r>
            <w:r>
              <w:t>）</w:t>
            </w:r>
          </w:p>
          <w:p>
            <w:pPr>
              <w:pStyle w:val="83"/>
            </w:pPr>
            <w:r>
              <w:t>RX峰值电流：</w:t>
            </w:r>
            <w:r>
              <w:rPr>
                <w:rFonts w:hint="eastAsia"/>
              </w:rPr>
              <w:t>4.6</w:t>
            </w:r>
            <w:r>
              <w:t>mA</w:t>
            </w:r>
          </w:p>
          <w:p>
            <w:pPr>
              <w:pStyle w:val="83"/>
            </w:pPr>
            <w:r>
              <w:fldChar w:fldCharType="begin"/>
            </w:r>
            <w:r>
              <w:instrText xml:space="preserve"> HYPERLINK "mailto:0.3μA@3V" </w:instrText>
            </w:r>
            <w:r>
              <w:fldChar w:fldCharType="separate"/>
            </w:r>
            <w:r>
              <w:rPr>
                <w:rStyle w:val="26"/>
                <w:color w:val="000000"/>
                <w:u w:val="none"/>
              </w:rPr>
              <w:t>0.</w:t>
            </w:r>
            <w:r>
              <w:rPr>
                <w:rStyle w:val="26"/>
                <w:rFonts w:hint="eastAsia"/>
                <w:color w:val="000000"/>
                <w:u w:val="none"/>
              </w:rPr>
              <w:t>65</w:t>
            </w:r>
            <w:r>
              <w:rPr>
                <w:rStyle w:val="26"/>
                <w:color w:val="000000"/>
                <w:u w:val="none"/>
              </w:rPr>
              <w:t>μA</w:t>
            </w:r>
            <w:r>
              <w:rPr>
                <w:rStyle w:val="26"/>
                <w:color w:val="auto"/>
                <w:u w:val="none"/>
              </w:rPr>
              <w:t>@3</w:t>
            </w:r>
            <w:r>
              <w:rPr>
                <w:rStyle w:val="26"/>
                <w:rFonts w:hint="eastAsia"/>
                <w:color w:val="auto"/>
                <w:u w:val="none"/>
              </w:rPr>
              <w:t>.3</w:t>
            </w:r>
            <w:r>
              <w:rPr>
                <w:rStyle w:val="26"/>
                <w:color w:val="auto"/>
                <w:u w:val="none"/>
              </w:rPr>
              <w:t>V</w:t>
            </w:r>
            <w:r>
              <w:rPr>
                <w:rStyle w:val="26"/>
                <w:color w:val="auto"/>
                <w:u w:val="none"/>
              </w:rPr>
              <w:fldChar w:fldCharType="end"/>
            </w:r>
            <w:r>
              <w:t xml:space="preserve"> 深睡眠模式，</w:t>
            </w:r>
            <w:r>
              <w:rPr>
                <w:rFonts w:hint="eastAsia"/>
              </w:rPr>
              <w:t>内存数据</w:t>
            </w:r>
            <w:r>
              <w:t>不保存</w:t>
            </w:r>
          </w:p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"mailto:0.3μA@3V" </w:instrText>
            </w:r>
            <w:r>
              <w:fldChar w:fldCharType="separate"/>
            </w:r>
            <w:r>
              <w:rPr>
                <w:rFonts w:hint="eastAsia"/>
              </w:rPr>
              <w:t>1.3</w:t>
            </w:r>
            <w:r>
              <w:rPr>
                <w:rStyle w:val="26"/>
                <w:color w:val="auto"/>
                <w:u w:val="none"/>
              </w:rPr>
              <w:t>μA@3</w:t>
            </w:r>
            <w:r>
              <w:rPr>
                <w:rStyle w:val="26"/>
                <w:rFonts w:hint="eastAsia"/>
                <w:color w:val="auto"/>
                <w:u w:val="none"/>
              </w:rPr>
              <w:t>.3</w:t>
            </w:r>
            <w:r>
              <w:rPr>
                <w:rStyle w:val="26"/>
                <w:color w:val="auto"/>
                <w:u w:val="none"/>
              </w:rPr>
              <w:t>V</w:t>
            </w:r>
            <w:r>
              <w:rPr>
                <w:rStyle w:val="26"/>
                <w:color w:val="auto"/>
                <w:u w:val="none"/>
              </w:rPr>
              <w:fldChar w:fldCharType="end"/>
            </w:r>
            <w:r>
              <w:t xml:space="preserve"> </w:t>
            </w:r>
            <w:r>
              <w:rPr>
                <w:rFonts w:hint="eastAsia"/>
              </w:rPr>
              <w:t>睡眠</w:t>
            </w:r>
            <w:r>
              <w:t>模式，</w:t>
            </w:r>
            <w:r>
              <w:rPr>
                <w:rFonts w:hint="eastAsia"/>
              </w:rPr>
              <w:t>内存数据</w:t>
            </w:r>
            <w:r>
              <w:t>保存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串行口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1路SPI/</w:t>
            </w:r>
            <w:r>
              <w:t>2路I2C/</w:t>
            </w:r>
            <w:r>
              <w:rPr>
                <w:rFonts w:hint="eastAsia"/>
              </w:rPr>
              <w:t>2</w:t>
            </w:r>
            <w:r>
              <w:t>路UART</w:t>
            </w:r>
            <w:r>
              <w:rPr>
                <w:rFonts w:hint="eastAsia"/>
              </w:rPr>
              <w:t>/6路PWM/1路I2S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模拟接口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13位</w:t>
            </w:r>
            <w:r>
              <w:t>ADC</w:t>
            </w:r>
            <w:r>
              <w:rPr>
                <w:rFonts w:hint="eastAsia"/>
              </w:rPr>
              <w:t>（4通道）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t>定时器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4路3</w:t>
            </w:r>
            <w:r>
              <w:t>2位TIMER</w:t>
            </w:r>
            <w:r>
              <w:rPr>
                <w:rFonts w:hint="eastAsia"/>
              </w:rPr>
              <w:t>/1</w:t>
            </w:r>
            <w:r>
              <w:t>路RTC/1路独立时钟WDT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G</w:t>
            </w:r>
            <w:r>
              <w:t>PIO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20</w:t>
            </w:r>
            <w:r>
              <w:t>个I</w:t>
            </w:r>
            <w:r>
              <w:rPr>
                <w:rFonts w:hint="eastAsia"/>
              </w:rPr>
              <w:t>/</w:t>
            </w:r>
            <w: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工作温度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-</w:t>
            </w:r>
            <w:r>
              <w:t>40°C</w:t>
            </w:r>
            <w:r>
              <w:rPr>
                <w:rFonts w:hint="eastAsia" w:ascii="宋体" w:hAnsi="宋体"/>
              </w:rPr>
              <w:t>～</w:t>
            </w:r>
            <w:r>
              <w:t>85°C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封装形式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SMD（33</w:t>
            </w:r>
            <w:r>
              <w:t>个引脚</w:t>
            </w:r>
            <w:r>
              <w:rPr>
                <w:rFonts w:hint="eastAsia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封装大小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3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</w:rPr>
              <w:t>15</w:t>
            </w:r>
            <w:r>
              <w:t>.5mm</w:t>
            </w:r>
            <w:r>
              <w:rPr>
                <w:rFonts w:hint="eastAsia"/>
              </w:rPr>
              <w:t>*21</w:t>
            </w:r>
            <w:r>
              <w:t>mm</w:t>
            </w:r>
            <w:r>
              <w:rPr>
                <w:rFonts w:hint="eastAsia"/>
              </w:rPr>
              <w:t>*</w:t>
            </w:r>
            <w:r>
              <w:t>2.1mm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电鸿物联操作系统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模组基于RG5515IGND_QFN56_MCU实现电鸿化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USB接口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支持USB接口通信、供电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三色LED灯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具备三色LED灯作为模块状态显示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调试口</w:t>
            </w:r>
          </w:p>
        </w:tc>
        <w:tc>
          <w:tcPr>
            <w:tcW w:w="0" w:type="auto"/>
            <w:shd w:val="clear" w:color="auto" w:fill="auto"/>
            <w:vAlign w:val="top"/>
          </w:tcPr>
          <w:p>
            <w:pPr>
              <w:pStyle w:val="83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预留调试口</w:t>
            </w:r>
          </w:p>
        </w:tc>
      </w:tr>
    </w:tbl>
    <w:p>
      <w:pPr>
        <w:pStyle w:val="9"/>
        <w:spacing w:line="360" w:lineRule="auto"/>
        <w:rPr>
          <w:rFonts w:hint="eastAsia"/>
          <w:lang w:val="en-US" w:eastAsia="zh-CN"/>
        </w:rPr>
      </w:pPr>
    </w:p>
    <w:p>
      <w:pPr>
        <w:pStyle w:val="6"/>
        <w:bidi w:val="0"/>
        <w:rPr>
          <w:rFonts w:hint="eastAsia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val="en-US" w:eastAsia="zh-CN"/>
        </w:rPr>
        <w:t>USB分线器规格要求</w:t>
      </w:r>
    </w:p>
    <w:p>
      <w:pPr>
        <w:pStyle w:val="9"/>
        <w:spacing w:line="360" w:lineRule="auto"/>
        <w:rPr>
          <w:highlight w:val="none"/>
        </w:rPr>
      </w:pPr>
      <w:r>
        <w:rPr>
          <w:rFonts w:hint="eastAsia"/>
          <w:highlight w:val="none"/>
        </w:rPr>
        <w:t xml:space="preserve">表 </w:t>
      </w:r>
      <w:r>
        <w:rPr>
          <w:rFonts w:hint="eastAsia"/>
          <w:highlight w:val="none"/>
          <w:lang w:val="en-US" w:eastAsia="zh-CN"/>
        </w:rPr>
        <w:t>4 USB分线器</w:t>
      </w:r>
      <w:r>
        <w:rPr>
          <w:highlight w:val="none"/>
        </w:rPr>
        <w:t>功能参数</w:t>
      </w:r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供电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12V/7.5A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端口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20口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USB类型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USB2.0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功率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90W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p>
      <w:pPr>
        <w:pStyle w:val="6"/>
        <w:bidi w:val="0"/>
        <w:rPr>
          <w:rFonts w:hint="default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val="en-US" w:eastAsia="zh-CN"/>
        </w:rPr>
        <w:t xml:space="preserve"> USB转typec线规格要求</w:t>
      </w:r>
    </w:p>
    <w:p>
      <w:pPr>
        <w:pStyle w:val="9"/>
        <w:spacing w:line="360" w:lineRule="auto"/>
        <w:rPr>
          <w:highlight w:val="none"/>
        </w:rPr>
      </w:pPr>
      <w:r>
        <w:rPr>
          <w:rFonts w:hint="eastAsia"/>
          <w:highlight w:val="none"/>
        </w:rPr>
        <w:t xml:space="preserve">表 </w:t>
      </w:r>
      <w:r>
        <w:rPr>
          <w:rFonts w:hint="eastAsia"/>
          <w:highlight w:val="none"/>
          <w:lang w:val="en-US" w:eastAsia="zh-CN"/>
        </w:rPr>
        <w:t>5 USB转typc</w:t>
      </w:r>
      <w:r>
        <w:rPr>
          <w:highlight w:val="none"/>
        </w:rPr>
        <w:t>功能参数</w:t>
      </w:r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电流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2.1-3A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接口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A to Type-C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USB类型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USB3.0</w:t>
            </w:r>
          </w:p>
        </w:tc>
      </w:tr>
    </w:tbl>
    <w:p>
      <w:pPr>
        <w:rPr>
          <w:rFonts w:hint="default"/>
          <w:highlight w:val="none"/>
          <w:lang w:val="en-US" w:eastAsia="zh-CN"/>
        </w:rPr>
      </w:pPr>
    </w:p>
    <w:p>
      <w:pPr>
        <w:pStyle w:val="6"/>
        <w:bidi w:val="0"/>
        <w:rPr>
          <w:rFonts w:hint="eastAsia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val="en-US" w:eastAsia="zh-CN"/>
        </w:rPr>
        <w:t>USB转串口线规格要求</w:t>
      </w:r>
    </w:p>
    <w:p>
      <w:pPr>
        <w:pStyle w:val="9"/>
        <w:spacing w:line="360" w:lineRule="auto"/>
        <w:rPr>
          <w:highlight w:val="none"/>
        </w:rPr>
      </w:pPr>
      <w:r>
        <w:rPr>
          <w:rFonts w:hint="eastAsia"/>
          <w:highlight w:val="none"/>
        </w:rPr>
        <w:t xml:space="preserve">表 </w:t>
      </w:r>
      <w:r>
        <w:rPr>
          <w:rFonts w:hint="eastAsia"/>
          <w:highlight w:val="none"/>
          <w:lang w:val="en-US" w:eastAsia="zh-CN"/>
        </w:rPr>
        <w:t>5 USB转串口</w:t>
      </w:r>
      <w:r>
        <w:rPr>
          <w:highlight w:val="none"/>
        </w:rPr>
        <w:t>功能参数</w:t>
      </w:r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工作方式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异步全双工通讯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接口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TX RXGND VCC5V RTSCTS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通讯速率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300bps~3Mbps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TTL电平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5V/3.3V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支持系统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Windows10等、Linux2.4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电压范围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工作电流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小于40mA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p>
      <w:pPr>
        <w:pStyle w:val="1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highlight w:val="none"/>
        </w:rPr>
      </w:pPr>
    </w:p>
    <w:p>
      <w:pPr>
        <w:pStyle w:val="6"/>
        <w:bidi w:val="0"/>
        <w:rPr>
          <w:rFonts w:hint="default" w:cs="Times New Roman"/>
          <w:highlight w:val="none"/>
          <w:lang w:val="en-US" w:eastAsia="zh-CN"/>
        </w:rPr>
      </w:pPr>
      <w:r>
        <w:rPr>
          <w:rFonts w:hint="default" w:cs="Times New Roman"/>
          <w:highlight w:val="none"/>
          <w:lang w:val="en-US" w:eastAsia="zh-CN"/>
        </w:rPr>
        <w:t>USB延长线</w:t>
      </w:r>
      <w:r>
        <w:rPr>
          <w:rFonts w:hint="eastAsia" w:cs="Times New Roman"/>
          <w:highlight w:val="none"/>
          <w:lang w:val="en-US" w:eastAsia="zh-CN"/>
        </w:rPr>
        <w:t>规格要求</w:t>
      </w:r>
    </w:p>
    <w:p>
      <w:pPr>
        <w:pStyle w:val="9"/>
        <w:spacing w:line="360" w:lineRule="auto"/>
        <w:rPr>
          <w:highlight w:val="none"/>
        </w:rPr>
      </w:pPr>
      <w:r>
        <w:rPr>
          <w:rFonts w:hint="eastAsia"/>
          <w:highlight w:val="none"/>
        </w:rPr>
        <w:t xml:space="preserve">表 </w:t>
      </w:r>
      <w:r>
        <w:rPr>
          <w:rFonts w:hint="eastAsia"/>
          <w:highlight w:val="none"/>
          <w:lang w:val="en-US" w:eastAsia="zh-CN"/>
        </w:rPr>
        <w:t>6 USB延长线</w:t>
      </w:r>
      <w:r>
        <w:rPr>
          <w:highlight w:val="none"/>
        </w:rPr>
        <w:t>功能参数</w:t>
      </w:r>
    </w:p>
    <w:tbl>
      <w:tblPr>
        <w:tblStyle w:val="20"/>
        <w:tblW w:w="7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5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功能</w:t>
            </w:r>
          </w:p>
        </w:tc>
        <w:tc>
          <w:tcPr>
            <w:tcW w:w="5269" w:type="dxa"/>
            <w:shd w:val="clear" w:color="auto" w:fill="auto"/>
            <w:noWrap w:val="0"/>
            <w:vAlign w:val="top"/>
          </w:tcPr>
          <w:p>
            <w:pPr>
              <w:pStyle w:val="82"/>
              <w:widowControl w:val="0"/>
              <w:rPr>
                <w:highlight w:val="none"/>
              </w:rPr>
            </w:pPr>
            <w:r>
              <w:rPr>
                <w:highlight w:val="none"/>
              </w:rPr>
              <w:t>详细参数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USB类型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USB3.0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传输带宽</w:t>
            </w:r>
          </w:p>
        </w:tc>
        <w:tc>
          <w:tcPr>
            <w:tcW w:w="5269" w:type="dxa"/>
            <w:shd w:val="clear" w:color="auto" w:fill="auto"/>
            <w:noWrap w:val="0"/>
            <w:vAlign w:val="center"/>
          </w:tcPr>
          <w:p>
            <w:pPr>
              <w:spacing w:line="300" w:lineRule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5Gbps</w:t>
            </w:r>
          </w:p>
        </w:tc>
      </w:tr>
    </w:tbl>
    <w:p>
      <w:pPr>
        <w:rPr>
          <w:rFonts w:hint="default"/>
          <w:lang w:val="en-US" w:eastAsia="zh-CN"/>
        </w:rPr>
      </w:pPr>
    </w:p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p>
      <w:pPr>
        <w:pStyle w:val="4"/>
        <w:rPr>
          <w:rFonts w:eastAsia="仿宋_GB2312" w:cs="仿宋_GB2312"/>
        </w:rPr>
      </w:pPr>
      <w:bookmarkStart w:id="102" w:name="_Toc8518"/>
      <w:bookmarkStart w:id="103" w:name="_Toc25665"/>
      <w:bookmarkStart w:id="104" w:name="_Toc20909"/>
      <w:bookmarkStart w:id="105" w:name="_Toc25876"/>
      <w:bookmarkStart w:id="106" w:name="_Toc16164"/>
      <w:bookmarkStart w:id="107" w:name="_Toc31205"/>
      <w:bookmarkStart w:id="108" w:name="_Toc4336"/>
      <w:bookmarkStart w:id="109" w:name="_Toc26683"/>
      <w:bookmarkStart w:id="110" w:name="_Toc27846"/>
      <w:bookmarkStart w:id="111" w:name="_Toc13048"/>
      <w:r>
        <w:rPr>
          <w:rFonts w:hint="eastAsia" w:eastAsia="仿宋_GB2312" w:cs="仿宋_GB2312"/>
        </w:rPr>
        <w:t>质量及服务方式要求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>
        <w:rPr>
          <w:rFonts w:hint="eastAsia" w:eastAsia="仿宋_GB2312" w:cs="仿宋_GB2312"/>
        </w:rPr>
        <w:t>　　</w:t>
      </w:r>
    </w:p>
    <w:bookmarkEnd w:id="111"/>
    <w:p>
      <w:pPr>
        <w:pStyle w:val="5"/>
        <w:numPr>
          <w:ilvl w:val="0"/>
          <w:numId w:val="0"/>
        </w:numPr>
        <w:tabs>
          <w:tab w:val="left" w:pos="1276"/>
          <w:tab w:val="clear" w:pos="425"/>
        </w:tabs>
        <w:spacing w:before="120" w:after="120"/>
        <w:ind w:leftChars="0"/>
        <w:rPr>
          <w:rFonts w:hint="eastAsia"/>
        </w:rPr>
      </w:pPr>
      <w:bookmarkStart w:id="112" w:name="_Toc5517"/>
      <w:bookmarkStart w:id="113" w:name="_Toc27754"/>
      <w:bookmarkStart w:id="114" w:name="_Toc384341038"/>
      <w:bookmarkStart w:id="115" w:name="_Toc29278"/>
      <w:bookmarkStart w:id="116" w:name="_Toc4099"/>
      <w:bookmarkStart w:id="117" w:name="_Toc14114"/>
      <w:bookmarkStart w:id="118" w:name="_Toc17591"/>
      <w:bookmarkStart w:id="119" w:name="_Toc282993367"/>
      <w:bookmarkStart w:id="120" w:name="_Toc1305108599"/>
      <w:bookmarkStart w:id="121" w:name="_Toc300391308"/>
      <w:bookmarkStart w:id="122" w:name="_Toc282433763"/>
      <w:bookmarkStart w:id="123" w:name="_Toc8632"/>
      <w:bookmarkStart w:id="124" w:name="_Toc14542"/>
      <w:bookmarkStart w:id="125" w:name="_Toc19595"/>
      <w:bookmarkStart w:id="126" w:name="_Toc9734"/>
      <w:bookmarkStart w:id="127" w:name="_Toc26678"/>
      <w:bookmarkStart w:id="128" w:name="_Toc28612"/>
      <w:bookmarkStart w:id="129" w:name="_Toc15816"/>
      <w:bookmarkStart w:id="130" w:name="_Toc9600"/>
      <w:r>
        <w:rPr>
          <w:rFonts w:hint="eastAsia"/>
          <w:lang w:val="en-US" w:eastAsia="zh-CN"/>
        </w:rPr>
        <w:t>3.1</w:t>
      </w:r>
      <w:r>
        <w:rPr>
          <w:rFonts w:hint="eastAsia"/>
        </w:rPr>
        <w:t>质量保证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（1）全部材料必须是全新的，持久耐用的。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响应方应对其整组设备在到货后提供不少于1年的“三包”质量保证。质保期之后如发生产品质量原因导致的损坏，响应方应免费更换或检修；如发生非产品质量原因导致的损坏，响应方应及时提供维修部件，并按最近的投标价提供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（3）响应方应保证制造过程中的所有工艺、材料试验等（包括响应方的外购件在内）均应符合本规范的规定。若需根据运行经验指定响应方提供某种外购零部件，响应方应积极配合。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（4）附属及配套设备必须满足有关行业标准的要求，并提供试验报告和产品合格证。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（5）响应方应有遵守本标准中各条款和工作项目的ISO9000-GB/T19000质量保证体系， 该质量保证体系已经通过国家认证并在正常运转。</w:t>
      </w:r>
    </w:p>
    <w:p>
      <w:pPr>
        <w:pStyle w:val="5"/>
        <w:numPr>
          <w:ilvl w:val="0"/>
          <w:numId w:val="0"/>
        </w:numPr>
        <w:tabs>
          <w:tab w:val="left" w:pos="1276"/>
          <w:tab w:val="clear" w:pos="425"/>
        </w:tabs>
        <w:spacing w:before="120" w:after="120"/>
        <w:ind w:leftChars="0"/>
        <w:rPr>
          <w:rFonts w:hint="eastAsia"/>
        </w:rPr>
      </w:pPr>
      <w:bookmarkStart w:id="131" w:name="_Toc17156"/>
      <w:bookmarkStart w:id="132" w:name="_Toc29826"/>
      <w:bookmarkStart w:id="133" w:name="_Toc562252935"/>
      <w:bookmarkStart w:id="134" w:name="_Toc11843"/>
      <w:bookmarkStart w:id="135" w:name="_Toc18534"/>
      <w:bookmarkStart w:id="136" w:name="_Toc2090143106"/>
      <w:bookmarkStart w:id="137" w:name="_Toc25845"/>
      <w:bookmarkStart w:id="138" w:name="_Toc4229"/>
      <w:r>
        <w:rPr>
          <w:rFonts w:hint="eastAsia"/>
          <w:lang w:val="en-US" w:eastAsia="zh-CN"/>
        </w:rPr>
        <w:t>3.2</w:t>
      </w:r>
      <w:r>
        <w:rPr>
          <w:rFonts w:hint="eastAsia"/>
        </w:rPr>
        <w:t>售后服务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39" w:name="_Hlk43711768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（1）材料的质保期不低于1年，质保期内供货商免费更换所有配件、耗材，并承担维护及通信费用，确保其产品能正常运行，质保期内更换的所有配件应重新计算质保期（不低于1年）</w:t>
      </w:r>
      <w:bookmarkEnd w:id="139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（2）响应方对售后服务的需求必须在24小时答复。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0" w:name="_Hlk43711657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（3）响应方长期为采购方提供备件采购和供应服务。</w:t>
      </w:r>
    </w:p>
    <w:bookmarkEnd w:id="140"/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（4）响应方应保证所提供的所有材料都是全新的，未使用过的，且应按最佳方式进行设计和制造。采用的是优质材料和先进工艺，并在各方面符合合同规定的质量、规格和性能要求。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响应方应保证所供设备经过正确安装、正常操作和保养，在其寿命期内运行良好。</w:t>
      </w:r>
    </w:p>
    <w:p>
      <w:pPr>
        <w:pStyle w:val="4"/>
        <w:rPr>
          <w:rFonts w:ascii="仿宋" w:hAnsi="仿宋" w:eastAsia="仿宋"/>
        </w:rPr>
      </w:pPr>
      <w:bookmarkStart w:id="141" w:name="_Toc5314"/>
      <w:r>
        <w:rPr>
          <w:rFonts w:hint="eastAsia" w:ascii="仿宋" w:hAnsi="仿宋" w:eastAsia="仿宋"/>
        </w:rPr>
        <w:t>安全保密要求</w:t>
      </w:r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41"/>
    </w:p>
    <w:p>
      <w:pPr>
        <w:pStyle w:val="35"/>
        <w:numPr>
          <w:ilvl w:val="0"/>
          <w:numId w:val="0"/>
        </w:numPr>
        <w:ind w:left="420" w:leftChars="0" w:hanging="42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（1）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服务期间，负有保护南方电网数字电网科技（广东）有限公司的网络安全、信息安全和系统数据安全的义务和责任；负有保护所持有、接触的属于或涉及南方电网数字电网科技（广东）有限公司商业秘密的信息安全的义务和责任。</w:t>
      </w:r>
    </w:p>
    <w:p>
      <w:pPr>
        <w:pStyle w:val="35"/>
        <w:numPr>
          <w:ilvl w:val="0"/>
          <w:numId w:val="0"/>
        </w:numPr>
        <w:ind w:left="420" w:leftChars="0" w:hanging="42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（2）</w:t>
      </w:r>
      <w:r>
        <w:rPr>
          <w:rFonts w:hint="eastAsia" w:ascii="仿宋_GB2312" w:hAnsi="仿宋_GB2312" w:eastAsia="仿宋_GB2312" w:cs="仿宋_GB2312"/>
          <w:sz w:val="28"/>
          <w:szCs w:val="28"/>
        </w:rPr>
        <w:t>除非有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的书面许可，或该信息已被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认为不再是商业秘密，或已在社会上公开，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不得将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经营信息及商业秘密（包括生产管理的方式方法与资料、产品技术资料、客户名单、销售渠道企业战略及其他被认为是商业秘密的信息）对外透露。</w:t>
      </w:r>
    </w:p>
    <w:p>
      <w:pPr>
        <w:pStyle w:val="35"/>
        <w:numPr>
          <w:ilvl w:val="0"/>
          <w:numId w:val="0"/>
        </w:numPr>
        <w:ind w:left="420" w:leftChars="0" w:hanging="420" w:firstLineChars="0"/>
        <w:rPr>
          <w:highlight w:val="yellow"/>
        </w:rPr>
      </w:pPr>
      <w:r>
        <w:rPr>
          <w:rFonts w:hint="default" w:ascii="Calibri" w:hAnsi="Calibri" w:eastAsia="宋体" w:cs="Times New Roman"/>
          <w:kern w:val="0"/>
          <w:sz w:val="24"/>
          <w:szCs w:val="24"/>
          <w:lang w:val="en-US" w:eastAsia="zh-CN" w:bidi="ar-SA"/>
        </w:rPr>
        <w:t>（</w:t>
      </w:r>
      <w:r>
        <w:rPr>
          <w:rFonts w:hint="eastAsia" w:cs="Times New Roman"/>
          <w:kern w:val="0"/>
          <w:sz w:val="24"/>
          <w:szCs w:val="24"/>
          <w:lang w:val="en-US" w:eastAsia="zh-CN" w:bidi="ar-SA"/>
        </w:rPr>
        <w:t>3</w:t>
      </w:r>
      <w:r>
        <w:rPr>
          <w:rFonts w:hint="default" w:ascii="Calibri" w:hAnsi="Calibri" w:eastAsia="宋体" w:cs="Times New Roman"/>
          <w:kern w:val="0"/>
          <w:sz w:val="24"/>
          <w:szCs w:val="24"/>
          <w:lang w:val="en-US" w:eastAsia="zh-CN" w:bidi="ar-SA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无论何种原因导致合同解除或终止，本项目约定下的保密条款、保密内容及相关的违约责任的约定仍然生效。保密期限为签订合同之后至永久，保密范围为项目所涉及的任</w:t>
      </w:r>
      <w:bookmarkEnd w:id="98"/>
      <w:bookmarkEnd w:id="99"/>
    </w:p>
    <w:sectPr>
      <w:footerReference r:id="rId4" w:type="default"/>
      <w:pgSz w:w="11906" w:h="16838"/>
      <w:pgMar w:top="1440" w:right="179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YaHe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center"/>
    </w:pPr>
    <w:r>
      <w:rPr>
        <w:rStyle w:val="24"/>
        <w:rFonts w:hint="eastAsia"/>
      </w:rPr>
      <w:t xml:space="preserve">－ </w:t>
    </w:r>
    <w:r>
      <w:fldChar w:fldCharType="begin"/>
    </w:r>
    <w:r>
      <w:rPr>
        <w:rStyle w:val="24"/>
      </w:rPr>
      <w:instrText xml:space="preserve"> PAGE </w:instrText>
    </w:r>
    <w:r>
      <w:fldChar w:fldCharType="separate"/>
    </w:r>
    <w:r>
      <w:rPr>
        <w:rStyle w:val="24"/>
      </w:rPr>
      <w:t>ii</w:t>
    </w:r>
    <w:r>
      <w:fldChar w:fldCharType="end"/>
    </w:r>
    <w:r>
      <w:rPr>
        <w:rStyle w:val="24"/>
        <w:rFonts w:hint="eastAsia"/>
      </w:rPr>
      <w:t xml:space="preserve"> 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12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697EBD"/>
    <w:multiLevelType w:val="multilevel"/>
    <w:tmpl w:val="16697EBD"/>
    <w:lvl w:ilvl="0" w:tentative="0">
      <w:start w:val="1"/>
      <w:numFmt w:val="bullet"/>
      <w:pStyle w:val="38"/>
      <w:lvlText w:val=""/>
      <w:lvlJc w:val="left"/>
      <w:pPr>
        <w:tabs>
          <w:tab w:val="left" w:pos="1100"/>
        </w:tabs>
        <w:ind w:left="11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520"/>
        </w:tabs>
        <w:ind w:left="15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940"/>
        </w:tabs>
        <w:ind w:left="19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360"/>
        </w:tabs>
        <w:ind w:left="23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780"/>
        </w:tabs>
        <w:ind w:left="27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200"/>
        </w:tabs>
        <w:ind w:left="32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620"/>
        </w:tabs>
        <w:ind w:left="36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040"/>
        </w:tabs>
        <w:ind w:left="40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460"/>
        </w:tabs>
        <w:ind w:left="4460" w:hanging="420"/>
      </w:pPr>
      <w:rPr>
        <w:rFonts w:hint="default" w:ascii="Wingdings" w:hAnsi="Wingdings"/>
      </w:rPr>
    </w:lvl>
  </w:abstractNum>
  <w:abstractNum w:abstractNumId="1">
    <w:nsid w:val="660923B1"/>
    <w:multiLevelType w:val="multilevel"/>
    <w:tmpl w:val="660923B1"/>
    <w:lvl w:ilvl="0" w:tentative="0">
      <w:start w:val="1"/>
      <w:numFmt w:val="decimal"/>
      <w:lvlText w:val="%1）"/>
      <w:lvlJc w:val="left"/>
      <w:pPr>
        <w:ind w:left="900" w:hanging="420"/>
      </w:pPr>
      <w:rPr>
        <w:rFonts w:ascii="Times New Roman" w:hAnsi="Times New Roman" w:eastAsia="宋体" w:cs="Times New Roman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756D29A0"/>
    <w:multiLevelType w:val="multilevel"/>
    <w:tmpl w:val="756D29A0"/>
    <w:lvl w:ilvl="0" w:tentative="0">
      <w:start w:val="1"/>
      <w:numFmt w:val="decimal"/>
      <w:pStyle w:val="4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5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6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BmZTg5MDM4MzIyZDUxYzU3Yzg3YmVjNzk0N2NkY2EifQ=="/>
  </w:docVars>
  <w:rsids>
    <w:rsidRoot w:val="456D62B9"/>
    <w:rsid w:val="00005A8A"/>
    <w:rsid w:val="000123AE"/>
    <w:rsid w:val="00033ABD"/>
    <w:rsid w:val="00055C21"/>
    <w:rsid w:val="00072C5B"/>
    <w:rsid w:val="000735C7"/>
    <w:rsid w:val="00094E44"/>
    <w:rsid w:val="000961C1"/>
    <w:rsid w:val="000B14FC"/>
    <w:rsid w:val="000C31EC"/>
    <w:rsid w:val="000D4458"/>
    <w:rsid w:val="000D47C1"/>
    <w:rsid w:val="000E2739"/>
    <w:rsid w:val="00106663"/>
    <w:rsid w:val="00130683"/>
    <w:rsid w:val="00133252"/>
    <w:rsid w:val="00164BD1"/>
    <w:rsid w:val="00173000"/>
    <w:rsid w:val="0019446B"/>
    <w:rsid w:val="001949BE"/>
    <w:rsid w:val="001A5A53"/>
    <w:rsid w:val="001D4D93"/>
    <w:rsid w:val="001E4DFB"/>
    <w:rsid w:val="001F7FBC"/>
    <w:rsid w:val="00204E4C"/>
    <w:rsid w:val="002061F2"/>
    <w:rsid w:val="002067F0"/>
    <w:rsid w:val="00216FE3"/>
    <w:rsid w:val="00223B3C"/>
    <w:rsid w:val="00225676"/>
    <w:rsid w:val="0024421E"/>
    <w:rsid w:val="00244CF8"/>
    <w:rsid w:val="0029664E"/>
    <w:rsid w:val="002A4980"/>
    <w:rsid w:val="002C7323"/>
    <w:rsid w:val="002E15F6"/>
    <w:rsid w:val="002E1BA3"/>
    <w:rsid w:val="002E78EE"/>
    <w:rsid w:val="00310712"/>
    <w:rsid w:val="0032512B"/>
    <w:rsid w:val="00352260"/>
    <w:rsid w:val="00366030"/>
    <w:rsid w:val="00385A09"/>
    <w:rsid w:val="00390D97"/>
    <w:rsid w:val="003A13EA"/>
    <w:rsid w:val="003C0801"/>
    <w:rsid w:val="003E44B6"/>
    <w:rsid w:val="00400914"/>
    <w:rsid w:val="0040796C"/>
    <w:rsid w:val="00414D66"/>
    <w:rsid w:val="00420C51"/>
    <w:rsid w:val="00422E4C"/>
    <w:rsid w:val="00452F1B"/>
    <w:rsid w:val="004541E8"/>
    <w:rsid w:val="004541FD"/>
    <w:rsid w:val="0047664C"/>
    <w:rsid w:val="004A1628"/>
    <w:rsid w:val="005036D7"/>
    <w:rsid w:val="005133BD"/>
    <w:rsid w:val="00516580"/>
    <w:rsid w:val="00541BF4"/>
    <w:rsid w:val="00541EB5"/>
    <w:rsid w:val="00544F80"/>
    <w:rsid w:val="00584528"/>
    <w:rsid w:val="00594805"/>
    <w:rsid w:val="00597976"/>
    <w:rsid w:val="005B21BF"/>
    <w:rsid w:val="005B5C79"/>
    <w:rsid w:val="005D1DB1"/>
    <w:rsid w:val="005F5E6C"/>
    <w:rsid w:val="006038B8"/>
    <w:rsid w:val="0061607E"/>
    <w:rsid w:val="0061653C"/>
    <w:rsid w:val="0061793A"/>
    <w:rsid w:val="00630921"/>
    <w:rsid w:val="00665CBA"/>
    <w:rsid w:val="00667464"/>
    <w:rsid w:val="00693139"/>
    <w:rsid w:val="006A0156"/>
    <w:rsid w:val="006D57E1"/>
    <w:rsid w:val="006F6029"/>
    <w:rsid w:val="0070062A"/>
    <w:rsid w:val="00701F2C"/>
    <w:rsid w:val="007372DD"/>
    <w:rsid w:val="00737A1D"/>
    <w:rsid w:val="007421EB"/>
    <w:rsid w:val="00754AF8"/>
    <w:rsid w:val="0077764E"/>
    <w:rsid w:val="00782BEB"/>
    <w:rsid w:val="007953D8"/>
    <w:rsid w:val="007B2E38"/>
    <w:rsid w:val="007B38A9"/>
    <w:rsid w:val="007B7CD8"/>
    <w:rsid w:val="007E652C"/>
    <w:rsid w:val="007F58BE"/>
    <w:rsid w:val="007F7619"/>
    <w:rsid w:val="00816591"/>
    <w:rsid w:val="00831371"/>
    <w:rsid w:val="00835F2F"/>
    <w:rsid w:val="0083616C"/>
    <w:rsid w:val="00836315"/>
    <w:rsid w:val="00844703"/>
    <w:rsid w:val="00853A08"/>
    <w:rsid w:val="008767C4"/>
    <w:rsid w:val="00890557"/>
    <w:rsid w:val="008912E3"/>
    <w:rsid w:val="008923E0"/>
    <w:rsid w:val="008A3217"/>
    <w:rsid w:val="008B7EC7"/>
    <w:rsid w:val="008C6FD8"/>
    <w:rsid w:val="008E537D"/>
    <w:rsid w:val="008E798D"/>
    <w:rsid w:val="00916D73"/>
    <w:rsid w:val="00942C42"/>
    <w:rsid w:val="009548BE"/>
    <w:rsid w:val="00972AEA"/>
    <w:rsid w:val="0097524E"/>
    <w:rsid w:val="00983FF9"/>
    <w:rsid w:val="00996B29"/>
    <w:rsid w:val="00996FC2"/>
    <w:rsid w:val="009A41A3"/>
    <w:rsid w:val="009E494A"/>
    <w:rsid w:val="009F46B0"/>
    <w:rsid w:val="009F6BAE"/>
    <w:rsid w:val="00A0352B"/>
    <w:rsid w:val="00A037E9"/>
    <w:rsid w:val="00A36A31"/>
    <w:rsid w:val="00A53633"/>
    <w:rsid w:val="00A72B98"/>
    <w:rsid w:val="00A73397"/>
    <w:rsid w:val="00AA38A0"/>
    <w:rsid w:val="00AC48ED"/>
    <w:rsid w:val="00AD25CE"/>
    <w:rsid w:val="00AE350D"/>
    <w:rsid w:val="00B05428"/>
    <w:rsid w:val="00B05A67"/>
    <w:rsid w:val="00B10480"/>
    <w:rsid w:val="00B3710E"/>
    <w:rsid w:val="00B37CCF"/>
    <w:rsid w:val="00B502BD"/>
    <w:rsid w:val="00B50F0E"/>
    <w:rsid w:val="00B5699D"/>
    <w:rsid w:val="00B70B16"/>
    <w:rsid w:val="00BE5668"/>
    <w:rsid w:val="00BE6DA4"/>
    <w:rsid w:val="00C01068"/>
    <w:rsid w:val="00C038DD"/>
    <w:rsid w:val="00C12671"/>
    <w:rsid w:val="00C15B98"/>
    <w:rsid w:val="00C15DAC"/>
    <w:rsid w:val="00C34C80"/>
    <w:rsid w:val="00C5147A"/>
    <w:rsid w:val="00C52A0B"/>
    <w:rsid w:val="00C54230"/>
    <w:rsid w:val="00C7020D"/>
    <w:rsid w:val="00C82EE5"/>
    <w:rsid w:val="00C9407C"/>
    <w:rsid w:val="00C97CDA"/>
    <w:rsid w:val="00CA294E"/>
    <w:rsid w:val="00CC4C2C"/>
    <w:rsid w:val="00CC7761"/>
    <w:rsid w:val="00D21C58"/>
    <w:rsid w:val="00D26936"/>
    <w:rsid w:val="00D3536A"/>
    <w:rsid w:val="00D36AA6"/>
    <w:rsid w:val="00D42EC8"/>
    <w:rsid w:val="00D52D7C"/>
    <w:rsid w:val="00D55BBB"/>
    <w:rsid w:val="00D9501F"/>
    <w:rsid w:val="00DA1C52"/>
    <w:rsid w:val="00DA2912"/>
    <w:rsid w:val="00DA754A"/>
    <w:rsid w:val="00DE4905"/>
    <w:rsid w:val="00E21278"/>
    <w:rsid w:val="00E24C4F"/>
    <w:rsid w:val="00E56475"/>
    <w:rsid w:val="00E711F3"/>
    <w:rsid w:val="00E7560B"/>
    <w:rsid w:val="00E968B5"/>
    <w:rsid w:val="00EB1AF1"/>
    <w:rsid w:val="00F1361E"/>
    <w:rsid w:val="00F1389C"/>
    <w:rsid w:val="00F173F7"/>
    <w:rsid w:val="00F451D8"/>
    <w:rsid w:val="00F5410D"/>
    <w:rsid w:val="00F57C18"/>
    <w:rsid w:val="00F86E72"/>
    <w:rsid w:val="00FA027D"/>
    <w:rsid w:val="00FA4D75"/>
    <w:rsid w:val="00FC4544"/>
    <w:rsid w:val="00FF2D9C"/>
    <w:rsid w:val="010772F7"/>
    <w:rsid w:val="02B8008B"/>
    <w:rsid w:val="0354310B"/>
    <w:rsid w:val="042A3E5C"/>
    <w:rsid w:val="04BD1B14"/>
    <w:rsid w:val="04E124AB"/>
    <w:rsid w:val="06F21498"/>
    <w:rsid w:val="082751D4"/>
    <w:rsid w:val="087C3598"/>
    <w:rsid w:val="08B01A1D"/>
    <w:rsid w:val="0958443C"/>
    <w:rsid w:val="096C7D03"/>
    <w:rsid w:val="09BB5848"/>
    <w:rsid w:val="0A0B6138"/>
    <w:rsid w:val="0A9A26C8"/>
    <w:rsid w:val="0C6658D0"/>
    <w:rsid w:val="0D125AE7"/>
    <w:rsid w:val="0D4A5670"/>
    <w:rsid w:val="0D6B18C2"/>
    <w:rsid w:val="0D74306F"/>
    <w:rsid w:val="0DB64159"/>
    <w:rsid w:val="0DC34C5E"/>
    <w:rsid w:val="0DF72A95"/>
    <w:rsid w:val="0EA27125"/>
    <w:rsid w:val="0ED158DD"/>
    <w:rsid w:val="0F1409D8"/>
    <w:rsid w:val="0F1E5E95"/>
    <w:rsid w:val="0F427271"/>
    <w:rsid w:val="100449D5"/>
    <w:rsid w:val="10BE758F"/>
    <w:rsid w:val="10C92951"/>
    <w:rsid w:val="110C1E59"/>
    <w:rsid w:val="12ED5CBA"/>
    <w:rsid w:val="13BF7CAB"/>
    <w:rsid w:val="14237DFD"/>
    <w:rsid w:val="14CA1FE3"/>
    <w:rsid w:val="14CB6B69"/>
    <w:rsid w:val="1521478B"/>
    <w:rsid w:val="152570C3"/>
    <w:rsid w:val="158567D3"/>
    <w:rsid w:val="158F03A1"/>
    <w:rsid w:val="15D16CB3"/>
    <w:rsid w:val="162931E1"/>
    <w:rsid w:val="164041C8"/>
    <w:rsid w:val="172805BA"/>
    <w:rsid w:val="174E034E"/>
    <w:rsid w:val="17AF3275"/>
    <w:rsid w:val="18581279"/>
    <w:rsid w:val="188A30D0"/>
    <w:rsid w:val="191A24AF"/>
    <w:rsid w:val="19BE1623"/>
    <w:rsid w:val="1A24629B"/>
    <w:rsid w:val="1AEE4DCF"/>
    <w:rsid w:val="1B522B5E"/>
    <w:rsid w:val="1B921DDF"/>
    <w:rsid w:val="1C1510C3"/>
    <w:rsid w:val="1C8200A2"/>
    <w:rsid w:val="1E943D94"/>
    <w:rsid w:val="1FE35702"/>
    <w:rsid w:val="1FF74F8E"/>
    <w:rsid w:val="20230F6D"/>
    <w:rsid w:val="20A17B17"/>
    <w:rsid w:val="226B0733"/>
    <w:rsid w:val="22C75BE0"/>
    <w:rsid w:val="23533577"/>
    <w:rsid w:val="23BA6527"/>
    <w:rsid w:val="24870F7D"/>
    <w:rsid w:val="24A216A6"/>
    <w:rsid w:val="24D64800"/>
    <w:rsid w:val="252D146A"/>
    <w:rsid w:val="26680D73"/>
    <w:rsid w:val="26D71DA6"/>
    <w:rsid w:val="26FD2D1E"/>
    <w:rsid w:val="28162ADB"/>
    <w:rsid w:val="28255771"/>
    <w:rsid w:val="291122AA"/>
    <w:rsid w:val="298C64C9"/>
    <w:rsid w:val="2A565492"/>
    <w:rsid w:val="2A595CD0"/>
    <w:rsid w:val="2ADC7059"/>
    <w:rsid w:val="2B0943D0"/>
    <w:rsid w:val="2BCC3368"/>
    <w:rsid w:val="2CFD6DB2"/>
    <w:rsid w:val="2D734AAD"/>
    <w:rsid w:val="2D835999"/>
    <w:rsid w:val="2DAA19AE"/>
    <w:rsid w:val="2DC526CA"/>
    <w:rsid w:val="2DD47592"/>
    <w:rsid w:val="2DFE6E2A"/>
    <w:rsid w:val="2E2A33BD"/>
    <w:rsid w:val="2EA0524B"/>
    <w:rsid w:val="2F63179E"/>
    <w:rsid w:val="309E3B2D"/>
    <w:rsid w:val="31EA60C2"/>
    <w:rsid w:val="320428E3"/>
    <w:rsid w:val="32BB562C"/>
    <w:rsid w:val="32F045B9"/>
    <w:rsid w:val="33442501"/>
    <w:rsid w:val="343D577E"/>
    <w:rsid w:val="346D303A"/>
    <w:rsid w:val="34924364"/>
    <w:rsid w:val="34D95509"/>
    <w:rsid w:val="351F6FD2"/>
    <w:rsid w:val="35657300"/>
    <w:rsid w:val="356A38DC"/>
    <w:rsid w:val="3574562E"/>
    <w:rsid w:val="36794FEB"/>
    <w:rsid w:val="36B978CE"/>
    <w:rsid w:val="377073F0"/>
    <w:rsid w:val="379D0908"/>
    <w:rsid w:val="37D01583"/>
    <w:rsid w:val="38731CBB"/>
    <w:rsid w:val="38D1447C"/>
    <w:rsid w:val="38E07A8A"/>
    <w:rsid w:val="390F49AC"/>
    <w:rsid w:val="39D76559"/>
    <w:rsid w:val="39D82007"/>
    <w:rsid w:val="3A426F31"/>
    <w:rsid w:val="3A8A44E7"/>
    <w:rsid w:val="3AA500BA"/>
    <w:rsid w:val="3C2361E5"/>
    <w:rsid w:val="3D5D6B10"/>
    <w:rsid w:val="3D7572F7"/>
    <w:rsid w:val="3D76438A"/>
    <w:rsid w:val="3D8A3D56"/>
    <w:rsid w:val="3F980E7B"/>
    <w:rsid w:val="41AF2209"/>
    <w:rsid w:val="4249761C"/>
    <w:rsid w:val="42C6203C"/>
    <w:rsid w:val="42CB4E20"/>
    <w:rsid w:val="442C49D8"/>
    <w:rsid w:val="44435EE1"/>
    <w:rsid w:val="44B51143"/>
    <w:rsid w:val="44ED5522"/>
    <w:rsid w:val="456D62B9"/>
    <w:rsid w:val="45F42696"/>
    <w:rsid w:val="46E16A5F"/>
    <w:rsid w:val="474D5189"/>
    <w:rsid w:val="47D1799B"/>
    <w:rsid w:val="47D84D6D"/>
    <w:rsid w:val="484B6BDE"/>
    <w:rsid w:val="48E334ED"/>
    <w:rsid w:val="48F23F69"/>
    <w:rsid w:val="48F25AD5"/>
    <w:rsid w:val="49F21C2A"/>
    <w:rsid w:val="4A1878A4"/>
    <w:rsid w:val="4B046389"/>
    <w:rsid w:val="4CC476A2"/>
    <w:rsid w:val="4E56172D"/>
    <w:rsid w:val="4E885416"/>
    <w:rsid w:val="50165DB1"/>
    <w:rsid w:val="50E41142"/>
    <w:rsid w:val="51671B48"/>
    <w:rsid w:val="51C5229D"/>
    <w:rsid w:val="52727FF2"/>
    <w:rsid w:val="52A30966"/>
    <w:rsid w:val="53166F93"/>
    <w:rsid w:val="5335540B"/>
    <w:rsid w:val="53626C1B"/>
    <w:rsid w:val="53722A3B"/>
    <w:rsid w:val="547A1194"/>
    <w:rsid w:val="54CF47EF"/>
    <w:rsid w:val="55356B71"/>
    <w:rsid w:val="55410DBD"/>
    <w:rsid w:val="557C0232"/>
    <w:rsid w:val="56DB7DAA"/>
    <w:rsid w:val="5762751C"/>
    <w:rsid w:val="581A7EC5"/>
    <w:rsid w:val="58403763"/>
    <w:rsid w:val="58BD2E7F"/>
    <w:rsid w:val="58CC22D2"/>
    <w:rsid w:val="59B70513"/>
    <w:rsid w:val="59D10B16"/>
    <w:rsid w:val="59FA6402"/>
    <w:rsid w:val="5A180529"/>
    <w:rsid w:val="5A5A0BD4"/>
    <w:rsid w:val="5B254768"/>
    <w:rsid w:val="5B921C31"/>
    <w:rsid w:val="5B940ED8"/>
    <w:rsid w:val="5BBB41A2"/>
    <w:rsid w:val="5C0D5892"/>
    <w:rsid w:val="5C8265BF"/>
    <w:rsid w:val="5CDC6150"/>
    <w:rsid w:val="5D42520B"/>
    <w:rsid w:val="5DEB784E"/>
    <w:rsid w:val="5E15676A"/>
    <w:rsid w:val="5E5B674D"/>
    <w:rsid w:val="5EC81B1E"/>
    <w:rsid w:val="5F0C485E"/>
    <w:rsid w:val="602C4AE6"/>
    <w:rsid w:val="60D111EA"/>
    <w:rsid w:val="60D27197"/>
    <w:rsid w:val="613B7E7B"/>
    <w:rsid w:val="61783CF3"/>
    <w:rsid w:val="62F403F2"/>
    <w:rsid w:val="63251B06"/>
    <w:rsid w:val="637202DD"/>
    <w:rsid w:val="637879A9"/>
    <w:rsid w:val="63827325"/>
    <w:rsid w:val="63C52215"/>
    <w:rsid w:val="640C53CD"/>
    <w:rsid w:val="643340F4"/>
    <w:rsid w:val="647311B7"/>
    <w:rsid w:val="64AC0143"/>
    <w:rsid w:val="64E70B07"/>
    <w:rsid w:val="652A557F"/>
    <w:rsid w:val="66C157CB"/>
    <w:rsid w:val="66D72ADD"/>
    <w:rsid w:val="67D143D7"/>
    <w:rsid w:val="68630D54"/>
    <w:rsid w:val="68891926"/>
    <w:rsid w:val="688B5A21"/>
    <w:rsid w:val="69054339"/>
    <w:rsid w:val="692A10E8"/>
    <w:rsid w:val="69C77840"/>
    <w:rsid w:val="6A4D41E9"/>
    <w:rsid w:val="6A89136D"/>
    <w:rsid w:val="6B1B763B"/>
    <w:rsid w:val="6C520910"/>
    <w:rsid w:val="6CF43042"/>
    <w:rsid w:val="6CF531B5"/>
    <w:rsid w:val="6D8C078C"/>
    <w:rsid w:val="6DC5678C"/>
    <w:rsid w:val="6EA95FE7"/>
    <w:rsid w:val="6EFF1435"/>
    <w:rsid w:val="6F6A3DB6"/>
    <w:rsid w:val="6FD068F0"/>
    <w:rsid w:val="70330C01"/>
    <w:rsid w:val="70671E2E"/>
    <w:rsid w:val="708E5C9B"/>
    <w:rsid w:val="70C475F5"/>
    <w:rsid w:val="70E30E24"/>
    <w:rsid w:val="70EB579D"/>
    <w:rsid w:val="716825B6"/>
    <w:rsid w:val="71793919"/>
    <w:rsid w:val="722B37CE"/>
    <w:rsid w:val="724C7047"/>
    <w:rsid w:val="72BD3ED6"/>
    <w:rsid w:val="7372099F"/>
    <w:rsid w:val="737B2D9A"/>
    <w:rsid w:val="74791999"/>
    <w:rsid w:val="75170442"/>
    <w:rsid w:val="75295853"/>
    <w:rsid w:val="758D723A"/>
    <w:rsid w:val="76746552"/>
    <w:rsid w:val="769B34C2"/>
    <w:rsid w:val="76AB6FB1"/>
    <w:rsid w:val="76E75929"/>
    <w:rsid w:val="773526DE"/>
    <w:rsid w:val="775545EE"/>
    <w:rsid w:val="77B70EF4"/>
    <w:rsid w:val="77C55092"/>
    <w:rsid w:val="794E7636"/>
    <w:rsid w:val="79780A9A"/>
    <w:rsid w:val="79AE4579"/>
    <w:rsid w:val="79B643EB"/>
    <w:rsid w:val="7B7E6F57"/>
    <w:rsid w:val="7CD52A5E"/>
    <w:rsid w:val="7D5B41D7"/>
    <w:rsid w:val="7FA2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567"/>
      </w:tabs>
      <w:spacing w:before="240" w:after="240" w:line="360" w:lineRule="auto"/>
      <w:outlineLvl w:val="0"/>
    </w:pPr>
    <w:rPr>
      <w:rFonts w:ascii="仿宋_GB2312" w:hAnsi="仿宋_GB2312" w:eastAsia="黑体"/>
      <w:kern w:val="44"/>
      <w:sz w:val="32"/>
      <w:szCs w:val="28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hAnsi="仿宋_GB2312" w:eastAsia="仿宋_GB2312"/>
      <w:b/>
      <w:bCs/>
      <w:sz w:val="32"/>
      <w:szCs w:val="28"/>
    </w:rPr>
  </w:style>
  <w:style w:type="paragraph" w:styleId="6">
    <w:name w:val="heading 3"/>
    <w:basedOn w:val="1"/>
    <w:next w:val="1"/>
    <w:link w:val="36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32"/>
      <w:szCs w:val="32"/>
    </w:rPr>
  </w:style>
  <w:style w:type="paragraph" w:styleId="7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46"/>
    <w:qFormat/>
    <w:uiPriority w:val="99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9">
    <w:name w:val="caption"/>
    <w:basedOn w:val="1"/>
    <w:next w:val="1"/>
    <w:qFormat/>
    <w:uiPriority w:val="0"/>
    <w:pPr>
      <w:widowControl w:val="0"/>
      <w:spacing w:before="152" w:after="160"/>
      <w:jc w:val="center"/>
    </w:pPr>
    <w:rPr>
      <w:rFonts w:ascii="Arial" w:hAnsi="Arial" w:eastAsia="黑体" w:cs="Arial"/>
      <w:kern w:val="2"/>
      <w:sz w:val="18"/>
      <w:szCs w:val="18"/>
      <w:lang w:val="en-US" w:eastAsia="zh-CN" w:bidi="ar-SA"/>
    </w:rPr>
  </w:style>
  <w:style w:type="paragraph" w:styleId="10">
    <w:name w:val="annotation text"/>
    <w:basedOn w:val="1"/>
    <w:link w:val="42"/>
    <w:qFormat/>
    <w:uiPriority w:val="0"/>
    <w:pPr>
      <w:jc w:val="left"/>
    </w:pPr>
  </w:style>
  <w:style w:type="paragraph" w:styleId="11">
    <w:name w:val="Plain Text"/>
    <w:basedOn w:val="1"/>
    <w:link w:val="45"/>
    <w:qFormat/>
    <w:uiPriority w:val="0"/>
    <w:pPr>
      <w:ind w:firstLine="200" w:firstLineChars="200"/>
    </w:pPr>
    <w:rPr>
      <w:rFonts w:ascii="宋体" w:hAnsi="Courier New"/>
      <w:sz w:val="24"/>
    </w:rPr>
  </w:style>
  <w:style w:type="paragraph" w:styleId="12">
    <w:name w:val="Balloon Text"/>
    <w:basedOn w:val="1"/>
    <w:link w:val="44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</w:style>
  <w:style w:type="paragraph" w:styleId="16">
    <w:name w:val="toc 2"/>
    <w:basedOn w:val="1"/>
    <w:next w:val="1"/>
    <w:qFormat/>
    <w:uiPriority w:val="39"/>
    <w:pPr>
      <w:ind w:left="420" w:leftChars="200"/>
    </w:p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10"/>
    <w:next w:val="10"/>
    <w:link w:val="43"/>
    <w:qFormat/>
    <w:uiPriority w:val="0"/>
    <w:rPr>
      <w:b/>
      <w:bCs/>
    </w:rPr>
  </w:style>
  <w:style w:type="paragraph" w:styleId="19">
    <w:name w:val="Body Text First Indent"/>
    <w:basedOn w:val="2"/>
    <w:qFormat/>
    <w:uiPriority w:val="0"/>
    <w:pPr>
      <w:adjustRightInd w:val="0"/>
      <w:spacing w:line="312" w:lineRule="atLeast"/>
      <w:ind w:firstLine="420" w:firstLineChars="100"/>
      <w:textAlignment w:val="baseline"/>
    </w:pPr>
    <w:rPr>
      <w:kern w:val="0"/>
      <w:sz w:val="21"/>
    </w:rPr>
  </w:style>
  <w:style w:type="table" w:styleId="21">
    <w:name w:val="Table Grid"/>
    <w:basedOn w:val="20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Strong"/>
    <w:basedOn w:val="22"/>
    <w:qFormat/>
    <w:uiPriority w:val="0"/>
    <w:rPr>
      <w:b/>
    </w:rPr>
  </w:style>
  <w:style w:type="character" w:styleId="24">
    <w:name w:val="page number"/>
    <w:basedOn w:val="22"/>
    <w:qFormat/>
    <w:uiPriority w:val="0"/>
  </w:style>
  <w:style w:type="character" w:styleId="25">
    <w:name w:val="FollowedHyperlink"/>
    <w:basedOn w:val="22"/>
    <w:unhideWhenUsed/>
    <w:qFormat/>
    <w:uiPriority w:val="99"/>
    <w:rPr>
      <w:color w:val="954F72"/>
      <w:u w:val="single"/>
    </w:rPr>
  </w:style>
  <w:style w:type="character" w:styleId="26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2"/>
    <w:qFormat/>
    <w:uiPriority w:val="0"/>
    <w:rPr>
      <w:sz w:val="21"/>
      <w:szCs w:val="21"/>
    </w:rPr>
  </w:style>
  <w:style w:type="paragraph" w:customStyle="1" w:styleId="2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29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30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31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3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33">
    <w:name w:val="GEDI正文(无编号)"/>
    <w:basedOn w:val="1"/>
    <w:qFormat/>
    <w:uiPriority w:val="0"/>
    <w:pPr>
      <w:adjustRightInd w:val="0"/>
      <w:snapToGrid w:val="0"/>
      <w:ind w:left="420"/>
    </w:pPr>
    <w:rPr>
      <w:rFonts w:hAnsi="宋体"/>
      <w:szCs w:val="20"/>
    </w:rPr>
  </w:style>
  <w:style w:type="paragraph" w:styleId="34">
    <w:name w:val="List Paragraph"/>
    <w:basedOn w:val="1"/>
    <w:link w:val="37"/>
    <w:qFormat/>
    <w:uiPriority w:val="34"/>
    <w:pPr>
      <w:ind w:firstLine="420" w:firstLineChars="200"/>
    </w:pPr>
  </w:style>
  <w:style w:type="paragraph" w:customStyle="1" w:styleId="35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character" w:customStyle="1" w:styleId="36">
    <w:name w:val="标题 3 字符"/>
    <w:basedOn w:val="22"/>
    <w:link w:val="6"/>
    <w:qFormat/>
    <w:uiPriority w:val="0"/>
    <w:rPr>
      <w:rFonts w:ascii="仿宋" w:hAnsi="仿宋" w:eastAsia="仿宋_GB2312"/>
      <w:b/>
      <w:bCs/>
      <w:kern w:val="2"/>
      <w:sz w:val="32"/>
      <w:szCs w:val="32"/>
    </w:rPr>
  </w:style>
  <w:style w:type="character" w:customStyle="1" w:styleId="37">
    <w:name w:val="列表段落 字符"/>
    <w:link w:val="34"/>
    <w:qFormat/>
    <w:uiPriority w:val="34"/>
    <w:rPr>
      <w:kern w:val="2"/>
      <w:sz w:val="21"/>
      <w:szCs w:val="24"/>
    </w:rPr>
  </w:style>
  <w:style w:type="paragraph" w:customStyle="1" w:styleId="38">
    <w:name w:val="列表符号项目级别1"/>
    <w:basedOn w:val="1"/>
    <w:link w:val="39"/>
    <w:qFormat/>
    <w:uiPriority w:val="0"/>
    <w:pPr>
      <w:widowControl/>
      <w:numPr>
        <w:ilvl w:val="0"/>
        <w:numId w:val="2"/>
      </w:numPr>
      <w:spacing w:line="360" w:lineRule="auto"/>
    </w:pPr>
    <w:rPr>
      <w:rFonts w:ascii="Arial" w:hAnsi="Arial"/>
      <w:kern w:val="0"/>
      <w:sz w:val="24"/>
    </w:rPr>
  </w:style>
  <w:style w:type="character" w:customStyle="1" w:styleId="39">
    <w:name w:val="列表符号项目级别1 Char"/>
    <w:basedOn w:val="22"/>
    <w:link w:val="38"/>
    <w:qFormat/>
    <w:uiPriority w:val="0"/>
    <w:rPr>
      <w:rFonts w:ascii="Arial" w:hAnsi="Arial"/>
      <w:sz w:val="24"/>
      <w:szCs w:val="24"/>
    </w:rPr>
  </w:style>
  <w:style w:type="paragraph" w:customStyle="1" w:styleId="40">
    <w:name w:val="样式 正文缩进 + 首行缩进:  2 字符"/>
    <w:basedOn w:val="1"/>
    <w:link w:val="41"/>
    <w:qFormat/>
    <w:uiPriority w:val="0"/>
    <w:pPr>
      <w:widowControl/>
      <w:spacing w:line="360" w:lineRule="auto"/>
      <w:ind w:firstLine="200" w:firstLineChars="200"/>
    </w:pPr>
    <w:rPr>
      <w:rFonts w:ascii="Arial" w:hAnsi="Arial" w:cs="宋体"/>
      <w:kern w:val="0"/>
      <w:sz w:val="24"/>
      <w:szCs w:val="20"/>
    </w:rPr>
  </w:style>
  <w:style w:type="character" w:customStyle="1" w:styleId="41">
    <w:name w:val="样式 正文缩进 + 首行缩进:  2 字符 Char"/>
    <w:basedOn w:val="22"/>
    <w:link w:val="40"/>
    <w:qFormat/>
    <w:uiPriority w:val="0"/>
    <w:rPr>
      <w:rFonts w:ascii="Arial" w:hAnsi="Arial" w:cs="宋体"/>
      <w:sz w:val="24"/>
    </w:rPr>
  </w:style>
  <w:style w:type="character" w:customStyle="1" w:styleId="42">
    <w:name w:val="批注文字 字符"/>
    <w:basedOn w:val="22"/>
    <w:link w:val="10"/>
    <w:qFormat/>
    <w:uiPriority w:val="0"/>
    <w:rPr>
      <w:kern w:val="2"/>
      <w:sz w:val="21"/>
      <w:szCs w:val="24"/>
    </w:rPr>
  </w:style>
  <w:style w:type="character" w:customStyle="1" w:styleId="43">
    <w:name w:val="批注主题 字符"/>
    <w:basedOn w:val="42"/>
    <w:link w:val="18"/>
    <w:qFormat/>
    <w:uiPriority w:val="0"/>
    <w:rPr>
      <w:b/>
      <w:bCs/>
      <w:kern w:val="2"/>
      <w:sz w:val="21"/>
      <w:szCs w:val="24"/>
    </w:rPr>
  </w:style>
  <w:style w:type="character" w:customStyle="1" w:styleId="44">
    <w:name w:val="批注框文本 字符"/>
    <w:basedOn w:val="22"/>
    <w:link w:val="12"/>
    <w:qFormat/>
    <w:uiPriority w:val="0"/>
    <w:rPr>
      <w:kern w:val="2"/>
      <w:sz w:val="18"/>
      <w:szCs w:val="18"/>
    </w:rPr>
  </w:style>
  <w:style w:type="character" w:customStyle="1" w:styleId="45">
    <w:name w:val="纯文本 字符"/>
    <w:basedOn w:val="22"/>
    <w:link w:val="11"/>
    <w:qFormat/>
    <w:uiPriority w:val="0"/>
    <w:rPr>
      <w:rFonts w:ascii="宋体" w:hAnsi="Courier New"/>
      <w:kern w:val="2"/>
      <w:sz w:val="24"/>
      <w:szCs w:val="24"/>
    </w:rPr>
  </w:style>
  <w:style w:type="character" w:customStyle="1" w:styleId="46">
    <w:name w:val="正文文本 字符"/>
    <w:basedOn w:val="22"/>
    <w:link w:val="2"/>
    <w:qFormat/>
    <w:uiPriority w:val="99"/>
    <w:rPr>
      <w:kern w:val="2"/>
      <w:sz w:val="24"/>
      <w:szCs w:val="24"/>
    </w:rPr>
  </w:style>
  <w:style w:type="paragraph" w:customStyle="1" w:styleId="47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49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color w:val="000000"/>
      <w:kern w:val="0"/>
      <w:szCs w:val="21"/>
    </w:rPr>
  </w:style>
  <w:style w:type="paragraph" w:customStyle="1" w:styleId="50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1">
    <w:name w:val="xl6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3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6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7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8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59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0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1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2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3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4">
    <w:name w:val="xl79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5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6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7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9">
    <w:name w:val="xl8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0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1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3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32"/>
      <w:szCs w:val="32"/>
    </w:rPr>
  </w:style>
  <w:style w:type="paragraph" w:customStyle="1" w:styleId="75">
    <w:name w:val="xl90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6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7">
    <w:name w:val="xl9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8">
    <w:name w:val="xl93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9">
    <w:name w:val="xl94"/>
    <w:basedOn w:val="1"/>
    <w:qFormat/>
    <w:uiPriority w:val="0"/>
    <w:pPr>
      <w:widowControl/>
      <w:pBdr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80">
    <w:name w:val="正文首行缩进 21"/>
    <w:basedOn w:val="1"/>
    <w:qFormat/>
    <w:uiPriority w:val="0"/>
    <w:pPr>
      <w:spacing w:before="62" w:after="62"/>
      <w:ind w:firstLine="420"/>
    </w:pPr>
  </w:style>
  <w:style w:type="character" w:customStyle="1" w:styleId="81">
    <w:name w:val="time"/>
    <w:qFormat/>
    <w:uiPriority w:val="0"/>
  </w:style>
  <w:style w:type="paragraph" w:customStyle="1" w:styleId="82">
    <w:name w:val="表头"/>
    <w:qFormat/>
    <w:uiPriority w:val="0"/>
    <w:pPr>
      <w:jc w:val="center"/>
    </w:pPr>
    <w:rPr>
      <w:rFonts w:ascii="Arial" w:hAnsi="Arial" w:eastAsia="黑体" w:cs="Arial"/>
      <w:kern w:val="2"/>
      <w:sz w:val="18"/>
      <w:szCs w:val="18"/>
      <w:lang w:val="en-US" w:eastAsia="zh-CN" w:bidi="ar-SA"/>
    </w:rPr>
  </w:style>
  <w:style w:type="paragraph" w:customStyle="1" w:styleId="83">
    <w:name w:val="表文字"/>
    <w:qFormat/>
    <w:uiPriority w:val="0"/>
    <w:pPr>
      <w:widowControl w:val="0"/>
      <w:jc w:val="center"/>
    </w:pPr>
    <w:rPr>
      <w:rFonts w:ascii="Times New Roman" w:hAnsi="Times New Roman" w:eastAsia="宋体" w:cs="Times New Roman"/>
      <w:sz w:val="18"/>
      <w:szCs w:val="18"/>
      <w:lang w:val="en-US" w:eastAsia="zh-CN" w:bidi="ar-SA"/>
    </w:rPr>
  </w:style>
  <w:style w:type="paragraph" w:customStyle="1" w:styleId="84">
    <w:name w:val="注"/>
    <w:qFormat/>
    <w:uiPriority w:val="0"/>
    <w:pPr>
      <w:ind w:firstLine="420"/>
    </w:pPr>
    <w:rPr>
      <w:rFonts w:ascii="Times New Roman" w:hAnsi="Times New Roman" w:eastAsia="楷体_GB2312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1161</Words>
  <Characters>1460</Characters>
  <Lines>86</Lines>
  <Paragraphs>24</Paragraphs>
  <TotalTime>0</TotalTime>
  <ScaleCrop>false</ScaleCrop>
  <LinksUpToDate>false</LinksUpToDate>
  <CharactersWithSpaces>1541</CharactersWithSpaces>
  <Application>WPS Office_12.8.2.15091_F1E327BC-269C-435d-A152-05C5408002CA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2023-03-07T21:48:00Z</dcterms:created>
  <dc:creator>七月</dc:creator>
  <cp:lastModifiedBy>ykp</cp:lastModifiedBy>
  <dcterms:modified xsi:type="dcterms:W3CDTF">2025-03-24T02:03:05Z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2052-12.8.2.15091</vt:lpwstr>
  </property>
  <property fmtid="{D5CDD505-2E9C-101B-9397-08002B2CF9AE}" pid="3" name="ICV">
    <vt:lpwstr>099774EE0F5542C2A939927BBE4625E1_13</vt:lpwstr>
  </property>
  <property fmtid="{D5CDD505-2E9C-101B-9397-08002B2CF9AE}" pid="4" name="KSOTemplateDocerSaveRecord">
    <vt:lpwstr>eyJoZGlkIjoiYzFhZGY0ZTViYWQyN2I0ZGJhNDk0OThkMjNkNmQ2MDYiLCJ1c2VySWQiOiIzODI2MDU5NjAifQ==</vt:lpwstr>
  </property>
</Properties>
</file>