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47E39" w:rsidRDefault="00000000">
      <w:pPr>
        <w:spacing w:line="360" w:lineRule="auto"/>
        <w:rPr>
          <w:sz w:val="24"/>
        </w:rPr>
      </w:pPr>
      <w:bookmarkStart w:id="0" w:name="_Toc192340307"/>
      <w:bookmarkStart w:id="1" w:name="_Toc192340308"/>
      <w:bookmarkStart w:id="2" w:name="_Toc28437"/>
      <w:bookmarkStart w:id="3" w:name="_Toc198288426"/>
      <w:bookmarkStart w:id="4" w:name="_Toc147371417"/>
      <w:bookmarkEnd w:id="0"/>
      <w:bookmarkEnd w:id="1"/>
      <w:r>
        <w:rPr>
          <w:noProof/>
        </w:rPr>
        <w:drawing>
          <wp:anchor distT="0" distB="0" distL="114300" distR="114300" simplePos="0" relativeHeight="251669504" behindDoc="0" locked="0" layoutInCell="1" allowOverlap="1">
            <wp:simplePos x="0" y="0"/>
            <wp:positionH relativeFrom="column">
              <wp:posOffset>-1600200</wp:posOffset>
            </wp:positionH>
            <wp:positionV relativeFrom="paragraph">
              <wp:posOffset>-990600</wp:posOffset>
            </wp:positionV>
            <wp:extent cx="8915400" cy="2593340"/>
            <wp:effectExtent l="0" t="0" r="0" b="10160"/>
            <wp:wrapNone/>
            <wp:docPr id="41282" name="图片 867"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82" name="图片 867" descr="模板-3"/>
                    <pic:cNvPicPr>
                      <a:picLocks noChangeAspect="1"/>
                    </pic:cNvPicPr>
                  </pic:nvPicPr>
                  <pic:blipFill>
                    <a:blip r:embed="rId11"/>
                    <a:stretch>
                      <a:fillRect/>
                    </a:stretch>
                  </pic:blipFill>
                  <pic:spPr>
                    <a:xfrm>
                      <a:off x="0" y="0"/>
                      <a:ext cx="8915400" cy="2593340"/>
                    </a:xfrm>
                    <a:prstGeom prst="rect">
                      <a:avLst/>
                    </a:prstGeom>
                    <a:noFill/>
                    <a:ln>
                      <a:noFill/>
                    </a:ln>
                  </pic:spPr>
                </pic:pic>
              </a:graphicData>
            </a:graphic>
          </wp:anchor>
        </w:drawing>
      </w:r>
    </w:p>
    <w:p w:rsidR="00047E39" w:rsidRDefault="00047E39">
      <w:pPr>
        <w:spacing w:line="360" w:lineRule="auto"/>
        <w:rPr>
          <w:sz w:val="24"/>
        </w:rPr>
      </w:pPr>
    </w:p>
    <w:p w:rsidR="00047E39" w:rsidRDefault="00047E39">
      <w:pPr>
        <w:spacing w:line="360" w:lineRule="auto"/>
        <w:rPr>
          <w:sz w:val="24"/>
        </w:rPr>
      </w:pPr>
    </w:p>
    <w:p w:rsidR="00047E39" w:rsidRDefault="00047E39">
      <w:pPr>
        <w:spacing w:line="360" w:lineRule="auto"/>
        <w:rPr>
          <w:sz w:val="24"/>
        </w:rPr>
      </w:pPr>
    </w:p>
    <w:p w:rsidR="00047E39" w:rsidRDefault="00047E39">
      <w:pPr>
        <w:spacing w:line="360" w:lineRule="auto"/>
        <w:rPr>
          <w:sz w:val="24"/>
        </w:rPr>
      </w:pPr>
    </w:p>
    <w:p w:rsidR="00047E39" w:rsidRDefault="00047E39">
      <w:pPr>
        <w:spacing w:line="360" w:lineRule="auto"/>
        <w:rPr>
          <w:sz w:val="24"/>
        </w:rPr>
      </w:pPr>
    </w:p>
    <w:p w:rsidR="00047E39" w:rsidRDefault="00047E39">
      <w:pPr>
        <w:spacing w:line="360" w:lineRule="auto"/>
        <w:rPr>
          <w:b/>
          <w:sz w:val="24"/>
        </w:rPr>
      </w:pPr>
    </w:p>
    <w:p w:rsidR="00047E39" w:rsidRDefault="00000000">
      <w:pPr>
        <w:spacing w:line="360" w:lineRule="auto"/>
        <w:jc w:val="center"/>
        <w:rPr>
          <w:rFonts w:ascii="宋体" w:hAnsi="宋体" w:hint="eastAsia"/>
          <w:b/>
          <w:sz w:val="48"/>
          <w:szCs w:val="48"/>
          <w:u w:val="single"/>
        </w:rPr>
      </w:pPr>
      <w:r>
        <w:rPr>
          <w:rFonts w:ascii="宋体" w:hAnsi="宋体" w:hint="eastAsia"/>
          <w:b/>
          <w:sz w:val="48"/>
          <w:szCs w:val="48"/>
          <w:u w:val="single"/>
        </w:rPr>
        <w:t>2025年电力现货市场运营感知系统和出清结果可行性评估系统第三方并网安全测评服务</w:t>
      </w:r>
    </w:p>
    <w:p w:rsidR="00047E39" w:rsidRDefault="00000000">
      <w:pPr>
        <w:spacing w:line="360" w:lineRule="auto"/>
        <w:jc w:val="center"/>
        <w:rPr>
          <w:b/>
          <w:sz w:val="72"/>
          <w:szCs w:val="72"/>
        </w:rPr>
      </w:pPr>
      <w:r>
        <w:rPr>
          <w:b/>
          <w:sz w:val="72"/>
          <w:szCs w:val="72"/>
        </w:rPr>
        <w:t>技术规范书</w:t>
      </w:r>
    </w:p>
    <w:p w:rsidR="00047E39" w:rsidRDefault="00047E39">
      <w:pPr>
        <w:spacing w:line="360" w:lineRule="auto"/>
        <w:jc w:val="center"/>
        <w:rPr>
          <w:b/>
          <w:bCs/>
          <w:sz w:val="36"/>
          <w:szCs w:val="36"/>
        </w:rPr>
      </w:pPr>
    </w:p>
    <w:p w:rsidR="00047E39" w:rsidRDefault="00047E39">
      <w:pPr>
        <w:spacing w:line="360" w:lineRule="auto"/>
        <w:jc w:val="center"/>
        <w:rPr>
          <w:b/>
          <w:bCs/>
          <w:sz w:val="28"/>
          <w:szCs w:val="28"/>
        </w:rPr>
      </w:pPr>
    </w:p>
    <w:p w:rsidR="00047E39" w:rsidRDefault="00047E39">
      <w:pPr>
        <w:pStyle w:val="af3"/>
        <w:adjustRightInd w:val="0"/>
        <w:snapToGrid w:val="0"/>
        <w:spacing w:line="360" w:lineRule="auto"/>
        <w:ind w:firstLineChars="0" w:firstLine="0"/>
      </w:pPr>
    </w:p>
    <w:p w:rsidR="00047E39" w:rsidRDefault="00047E39">
      <w:pPr>
        <w:pStyle w:val="af3"/>
        <w:adjustRightInd w:val="0"/>
        <w:snapToGrid w:val="0"/>
        <w:spacing w:line="360" w:lineRule="auto"/>
        <w:ind w:firstLineChars="0" w:firstLine="0"/>
      </w:pPr>
    </w:p>
    <w:p w:rsidR="00047E39" w:rsidRDefault="00047E39">
      <w:pPr>
        <w:pStyle w:val="af3"/>
        <w:adjustRightInd w:val="0"/>
        <w:snapToGrid w:val="0"/>
        <w:spacing w:line="360" w:lineRule="auto"/>
        <w:ind w:firstLineChars="0" w:firstLine="0"/>
      </w:pPr>
    </w:p>
    <w:p w:rsidR="00047E39" w:rsidRDefault="00047E39">
      <w:pPr>
        <w:pStyle w:val="af3"/>
        <w:adjustRightInd w:val="0"/>
        <w:snapToGrid w:val="0"/>
        <w:spacing w:line="360" w:lineRule="auto"/>
        <w:ind w:firstLineChars="0" w:firstLine="0"/>
      </w:pPr>
    </w:p>
    <w:p w:rsidR="00047E39" w:rsidRDefault="00047E39">
      <w:pPr>
        <w:pStyle w:val="af3"/>
        <w:adjustRightInd w:val="0"/>
        <w:snapToGrid w:val="0"/>
        <w:spacing w:line="360" w:lineRule="auto"/>
        <w:ind w:firstLineChars="0" w:firstLine="0"/>
      </w:pPr>
    </w:p>
    <w:p w:rsidR="00047E39" w:rsidRDefault="00047E39">
      <w:pPr>
        <w:pStyle w:val="af3"/>
        <w:adjustRightInd w:val="0"/>
        <w:snapToGrid w:val="0"/>
        <w:spacing w:line="360" w:lineRule="auto"/>
        <w:ind w:firstLineChars="0" w:firstLine="0"/>
      </w:pPr>
    </w:p>
    <w:p w:rsidR="00047E39" w:rsidRDefault="00047E39">
      <w:pPr>
        <w:spacing w:line="360" w:lineRule="auto"/>
        <w:ind w:right="32"/>
        <w:jc w:val="center"/>
        <w:rPr>
          <w:b/>
          <w:bCs/>
          <w:sz w:val="30"/>
          <w:szCs w:val="30"/>
        </w:rPr>
      </w:pPr>
    </w:p>
    <w:p w:rsidR="00047E39" w:rsidRDefault="00000000">
      <w:pPr>
        <w:spacing w:line="360" w:lineRule="auto"/>
        <w:ind w:right="32"/>
        <w:jc w:val="center"/>
        <w:rPr>
          <w:b/>
          <w:bCs/>
          <w:sz w:val="30"/>
          <w:szCs w:val="30"/>
        </w:rPr>
      </w:pPr>
      <w:r>
        <w:rPr>
          <w:rFonts w:hint="eastAsia"/>
          <w:b/>
          <w:bCs/>
          <w:sz w:val="30"/>
          <w:szCs w:val="30"/>
        </w:rPr>
        <w:t>南方电网人工智能科技有限公司</w:t>
      </w:r>
    </w:p>
    <w:p w:rsidR="00047E39" w:rsidRDefault="00000000">
      <w:pPr>
        <w:tabs>
          <w:tab w:val="left" w:pos="8280"/>
        </w:tabs>
        <w:spacing w:line="360" w:lineRule="auto"/>
        <w:ind w:right="32"/>
        <w:jc w:val="center"/>
        <w:rPr>
          <w:b/>
          <w:sz w:val="30"/>
          <w:szCs w:val="30"/>
        </w:rPr>
      </w:pPr>
      <w:r>
        <w:rPr>
          <w:rFonts w:hint="eastAsia"/>
          <w:b/>
          <w:sz w:val="30"/>
          <w:szCs w:val="30"/>
        </w:rPr>
        <w:t>二〇</w:t>
      </w:r>
      <w:r>
        <w:rPr>
          <w:b/>
          <w:sz w:val="30"/>
          <w:szCs w:val="30"/>
        </w:rPr>
        <w:t>二</w:t>
      </w:r>
      <w:r>
        <w:rPr>
          <w:rFonts w:hint="eastAsia"/>
          <w:b/>
          <w:sz w:val="30"/>
          <w:szCs w:val="30"/>
        </w:rPr>
        <w:t>五</w:t>
      </w:r>
      <w:r>
        <w:rPr>
          <w:b/>
          <w:sz w:val="30"/>
          <w:szCs w:val="30"/>
        </w:rPr>
        <w:t>年</w:t>
      </w:r>
      <w:r>
        <w:rPr>
          <w:rFonts w:hint="eastAsia"/>
          <w:b/>
          <w:sz w:val="30"/>
          <w:szCs w:val="30"/>
        </w:rPr>
        <w:t>三</w:t>
      </w:r>
      <w:r>
        <w:rPr>
          <w:b/>
          <w:sz w:val="30"/>
          <w:szCs w:val="30"/>
        </w:rPr>
        <w:t>月</w:t>
      </w:r>
    </w:p>
    <w:p w:rsidR="00047E39" w:rsidRDefault="00047E39">
      <w:pPr>
        <w:pStyle w:val="1"/>
        <w:sectPr w:rsidR="00047E39">
          <w:headerReference w:type="default" r:id="rId12"/>
          <w:footerReference w:type="default" r:id="rId13"/>
          <w:headerReference w:type="first" r:id="rId14"/>
          <w:footerReference w:type="first" r:id="rId15"/>
          <w:pgSz w:w="11906" w:h="16838"/>
          <w:pgMar w:top="1440" w:right="1797" w:bottom="1440" w:left="1797" w:header="851" w:footer="992" w:gutter="0"/>
          <w:pgNumType w:start="1"/>
          <w:cols w:space="720"/>
          <w:docGrid w:type="lines" w:linePitch="312"/>
        </w:sectPr>
      </w:pPr>
    </w:p>
    <w:p w:rsidR="00047E39" w:rsidRDefault="00000000">
      <w:pPr>
        <w:pStyle w:val="1"/>
      </w:pPr>
      <w:r>
        <w:rPr>
          <w:rFonts w:hint="eastAsia"/>
        </w:rPr>
        <w:lastRenderedPageBreak/>
        <w:t>总则</w:t>
      </w:r>
      <w:bookmarkEnd w:id="2"/>
      <w:bookmarkEnd w:id="3"/>
    </w:p>
    <w:p w:rsidR="00047E39" w:rsidRDefault="00000000">
      <w:pPr>
        <w:pStyle w:val="2"/>
      </w:pPr>
      <w:bookmarkStart w:id="5" w:name="_Toc418582797"/>
      <w:r>
        <w:rPr>
          <w:rFonts w:hint="eastAsia"/>
        </w:rPr>
        <w:t>概述</w:t>
      </w:r>
      <w:bookmarkEnd w:id="5"/>
    </w:p>
    <w:p w:rsidR="00047E39" w:rsidRDefault="00000000">
      <w:pPr>
        <w:pStyle w:val="a4"/>
        <w:numPr>
          <w:ilvl w:val="0"/>
          <w:numId w:val="3"/>
        </w:numPr>
        <w:tabs>
          <w:tab w:val="left" w:pos="900"/>
        </w:tabs>
        <w:spacing w:line="360" w:lineRule="auto"/>
        <w:rPr>
          <w:rFonts w:ascii="仿宋" w:eastAsia="仿宋" w:hAnsi="仿宋" w:hint="eastAsia"/>
          <w:sz w:val="28"/>
          <w:szCs w:val="28"/>
        </w:rPr>
      </w:pPr>
      <w:r>
        <w:rPr>
          <w:rFonts w:ascii="仿宋" w:eastAsia="仿宋" w:hAnsi="仿宋" w:hint="eastAsia"/>
          <w:sz w:val="28"/>
          <w:szCs w:val="28"/>
        </w:rPr>
        <w:t>本文件适用于南方电网人工智能科技有限公司（以下简称招标人）</w:t>
      </w:r>
      <w:r>
        <w:rPr>
          <w:rFonts w:ascii="仿宋" w:eastAsia="仿宋" w:hAnsi="仿宋"/>
          <w:bCs/>
          <w:sz w:val="28"/>
          <w:szCs w:val="28"/>
          <w:u w:val="single"/>
        </w:rPr>
        <w:t xml:space="preserve"> </w:t>
      </w:r>
      <w:r>
        <w:rPr>
          <w:rFonts w:ascii="仿宋" w:eastAsia="仿宋" w:hAnsi="仿宋" w:hint="eastAsia"/>
          <w:bCs/>
          <w:sz w:val="28"/>
          <w:szCs w:val="28"/>
          <w:u w:val="single"/>
        </w:rPr>
        <w:t>2025年电力现货市场运营感知系统和出清结果可行性评估系统第三方并网安全测评服务</w:t>
      </w:r>
      <w:r>
        <w:rPr>
          <w:rFonts w:ascii="仿宋" w:eastAsia="仿宋" w:hAnsi="仿宋"/>
          <w:bCs/>
          <w:sz w:val="28"/>
          <w:szCs w:val="28"/>
          <w:u w:val="single"/>
        </w:rPr>
        <w:t xml:space="preserve"> </w:t>
      </w:r>
      <w:r>
        <w:rPr>
          <w:rFonts w:ascii="仿宋" w:eastAsia="仿宋" w:hAnsi="仿宋" w:hint="eastAsia"/>
          <w:bCs/>
          <w:sz w:val="28"/>
          <w:szCs w:val="28"/>
        </w:rPr>
        <w:t>项目采购</w:t>
      </w:r>
      <w:r>
        <w:rPr>
          <w:rFonts w:ascii="仿宋" w:eastAsia="仿宋" w:hAnsi="仿宋" w:hint="eastAsia"/>
          <w:sz w:val="28"/>
          <w:szCs w:val="28"/>
        </w:rPr>
        <w:t>，本文件的最终解释权归南方电网人工智能科技有限公司。</w:t>
      </w:r>
    </w:p>
    <w:p w:rsidR="00047E39" w:rsidRDefault="00000000">
      <w:pPr>
        <w:pStyle w:val="a4"/>
        <w:numPr>
          <w:ilvl w:val="0"/>
          <w:numId w:val="3"/>
        </w:numPr>
        <w:tabs>
          <w:tab w:val="left" w:pos="900"/>
        </w:tabs>
        <w:spacing w:line="360" w:lineRule="auto"/>
        <w:rPr>
          <w:rFonts w:ascii="仿宋" w:eastAsia="仿宋" w:hAnsi="仿宋" w:hint="eastAsia"/>
          <w:sz w:val="28"/>
          <w:szCs w:val="28"/>
        </w:rPr>
      </w:pPr>
      <w:r>
        <w:rPr>
          <w:rFonts w:ascii="仿宋" w:eastAsia="仿宋" w:hAnsi="仿宋" w:hint="eastAsia"/>
          <w:sz w:val="28"/>
          <w:szCs w:val="28"/>
        </w:rPr>
        <w:t>所有招标人认为是本文件范围所要求而被遗漏的项目，都被认为是包含在本次招标范围内，投标人的投标被视为包含此遗漏项目的投标。投标人可以就招标人认为的遗漏项目提请招标人注意，并详细说明理由。招标人将就此进行澄清。</w:t>
      </w:r>
    </w:p>
    <w:p w:rsidR="00047E39" w:rsidRDefault="00000000">
      <w:pPr>
        <w:pStyle w:val="a4"/>
        <w:numPr>
          <w:ilvl w:val="0"/>
          <w:numId w:val="3"/>
        </w:numPr>
        <w:tabs>
          <w:tab w:val="left" w:pos="900"/>
        </w:tabs>
        <w:spacing w:line="360" w:lineRule="auto"/>
        <w:rPr>
          <w:rFonts w:ascii="仿宋" w:eastAsia="仿宋" w:hAnsi="仿宋" w:hint="eastAsia"/>
          <w:sz w:val="28"/>
          <w:szCs w:val="28"/>
        </w:rPr>
      </w:pPr>
      <w:r>
        <w:rPr>
          <w:rFonts w:ascii="仿宋" w:eastAsia="仿宋" w:hAnsi="仿宋" w:hint="eastAsia"/>
          <w:sz w:val="28"/>
          <w:szCs w:val="28"/>
        </w:rPr>
        <w:t>投标人应保证所提供的所有资料真实、完整、准确无误，否则招标人将有权取消投标人的投标资格，由此产生的一切后果由投标人承担。</w:t>
      </w:r>
    </w:p>
    <w:p w:rsidR="00047E39" w:rsidRDefault="00000000">
      <w:pPr>
        <w:pStyle w:val="a4"/>
        <w:numPr>
          <w:ilvl w:val="0"/>
          <w:numId w:val="3"/>
        </w:numPr>
        <w:tabs>
          <w:tab w:val="left" w:pos="900"/>
        </w:tabs>
        <w:spacing w:line="360" w:lineRule="auto"/>
        <w:rPr>
          <w:rFonts w:ascii="仿宋" w:eastAsia="仿宋" w:hAnsi="仿宋" w:hint="eastAsia"/>
          <w:sz w:val="28"/>
          <w:szCs w:val="28"/>
        </w:rPr>
      </w:pPr>
      <w:r>
        <w:rPr>
          <w:rFonts w:ascii="仿宋" w:eastAsia="仿宋" w:hAnsi="仿宋" w:hint="eastAsia"/>
          <w:sz w:val="28"/>
          <w:szCs w:val="28"/>
        </w:rPr>
        <w:t>招标人在任何时候保留和拥有对本技术规范书的解释权。招标人有权在签订合同前，根据需要修改和补充本技术规范书，修改补充后的最终技术规范书将作为合同的附件。</w:t>
      </w:r>
    </w:p>
    <w:p w:rsidR="00047E39" w:rsidRDefault="00000000">
      <w:pPr>
        <w:pStyle w:val="2"/>
      </w:pPr>
      <w:bookmarkStart w:id="6" w:name="_Toc418582798"/>
      <w:r>
        <w:rPr>
          <w:rFonts w:hint="eastAsia"/>
        </w:rPr>
        <w:t>定义</w:t>
      </w:r>
      <w:bookmarkEnd w:id="6"/>
    </w:p>
    <w:p w:rsidR="00047E39" w:rsidRDefault="00000000">
      <w:pPr>
        <w:pStyle w:val="a4"/>
        <w:numPr>
          <w:ilvl w:val="0"/>
          <w:numId w:val="4"/>
        </w:numPr>
        <w:spacing w:line="360" w:lineRule="auto"/>
        <w:rPr>
          <w:rFonts w:ascii="仿宋" w:eastAsia="仿宋" w:hAnsi="仿宋" w:hint="eastAsia"/>
          <w:sz w:val="28"/>
          <w:szCs w:val="28"/>
        </w:rPr>
      </w:pPr>
      <w:r>
        <w:rPr>
          <w:rFonts w:ascii="仿宋" w:eastAsia="仿宋" w:hAnsi="仿宋" w:hint="eastAsia"/>
          <w:sz w:val="28"/>
          <w:szCs w:val="28"/>
        </w:rPr>
        <w:t xml:space="preserve">招标人：南方电网人工智能科技有限公司。 </w:t>
      </w:r>
    </w:p>
    <w:p w:rsidR="00047E39" w:rsidRDefault="00000000">
      <w:pPr>
        <w:pStyle w:val="a4"/>
        <w:numPr>
          <w:ilvl w:val="0"/>
          <w:numId w:val="4"/>
        </w:numPr>
        <w:spacing w:line="360" w:lineRule="auto"/>
        <w:rPr>
          <w:rFonts w:ascii="仿宋" w:eastAsia="仿宋" w:hAnsi="仿宋" w:hint="eastAsia"/>
          <w:sz w:val="28"/>
          <w:szCs w:val="28"/>
        </w:rPr>
      </w:pPr>
      <w:r>
        <w:rPr>
          <w:rFonts w:ascii="仿宋" w:eastAsia="仿宋" w:hAnsi="仿宋" w:hint="eastAsia"/>
          <w:sz w:val="28"/>
          <w:szCs w:val="28"/>
        </w:rPr>
        <w:t>投标人：参加本次投标竞争，向招标人提交投标文件的供货商/服务商</w:t>
      </w:r>
      <w:r>
        <w:rPr>
          <w:rFonts w:ascii="仿宋" w:eastAsia="仿宋" w:hAnsi="仿宋"/>
          <w:sz w:val="28"/>
          <w:szCs w:val="28"/>
        </w:rPr>
        <w:t>/</w:t>
      </w:r>
      <w:r>
        <w:rPr>
          <w:rFonts w:ascii="仿宋" w:eastAsia="仿宋" w:hAnsi="仿宋" w:hint="eastAsia"/>
          <w:sz w:val="28"/>
          <w:szCs w:val="28"/>
        </w:rPr>
        <w:t xml:space="preserve">承包商。 </w:t>
      </w:r>
    </w:p>
    <w:p w:rsidR="00047E39" w:rsidRDefault="00000000">
      <w:pPr>
        <w:pStyle w:val="a4"/>
        <w:numPr>
          <w:ilvl w:val="0"/>
          <w:numId w:val="4"/>
        </w:numPr>
        <w:spacing w:line="360" w:lineRule="auto"/>
        <w:rPr>
          <w:rFonts w:ascii="仿宋" w:eastAsia="仿宋" w:hAnsi="仿宋" w:hint="eastAsia"/>
          <w:sz w:val="28"/>
          <w:szCs w:val="28"/>
        </w:rPr>
      </w:pPr>
      <w:r>
        <w:rPr>
          <w:rFonts w:ascii="仿宋" w:eastAsia="仿宋" w:hAnsi="仿宋" w:hint="eastAsia"/>
          <w:sz w:val="28"/>
          <w:szCs w:val="28"/>
        </w:rPr>
        <w:t xml:space="preserve">中标人：最终被授予合同的投标人。 </w:t>
      </w:r>
    </w:p>
    <w:p w:rsidR="00047E39" w:rsidRDefault="00000000">
      <w:pPr>
        <w:pStyle w:val="a4"/>
        <w:numPr>
          <w:ilvl w:val="0"/>
          <w:numId w:val="4"/>
        </w:numPr>
        <w:spacing w:line="360" w:lineRule="auto"/>
        <w:rPr>
          <w:rFonts w:ascii="仿宋" w:eastAsia="仿宋" w:hAnsi="仿宋" w:hint="eastAsia"/>
          <w:sz w:val="28"/>
          <w:szCs w:val="28"/>
        </w:rPr>
      </w:pPr>
      <w:r>
        <w:rPr>
          <w:rFonts w:ascii="仿宋" w:eastAsia="仿宋" w:hAnsi="仿宋" w:hint="eastAsia"/>
          <w:sz w:val="28"/>
          <w:szCs w:val="28"/>
        </w:rPr>
        <w:t>投标文件有效期：投标</w:t>
      </w:r>
      <w:r>
        <w:rPr>
          <w:rFonts w:ascii="仿宋" w:eastAsia="仿宋" w:hAnsi="仿宋"/>
          <w:sz w:val="28"/>
          <w:szCs w:val="28"/>
        </w:rPr>
        <w:t>截止日期</w:t>
      </w:r>
      <w:r>
        <w:rPr>
          <w:rFonts w:ascii="仿宋" w:eastAsia="仿宋" w:hAnsi="仿宋" w:hint="eastAsia"/>
          <w:sz w:val="28"/>
          <w:szCs w:val="28"/>
        </w:rPr>
        <w:t>后120天内，经双方协商可以</w:t>
      </w:r>
      <w:r>
        <w:rPr>
          <w:rFonts w:ascii="仿宋" w:eastAsia="仿宋" w:hAnsi="仿宋" w:hint="eastAsia"/>
          <w:sz w:val="28"/>
          <w:szCs w:val="28"/>
        </w:rPr>
        <w:lastRenderedPageBreak/>
        <w:t>延期。</w:t>
      </w:r>
    </w:p>
    <w:p w:rsidR="00047E39" w:rsidRDefault="00000000">
      <w:pPr>
        <w:pStyle w:val="2"/>
      </w:pPr>
      <w:bookmarkStart w:id="7" w:name="_Toc23306"/>
      <w:r>
        <w:rPr>
          <w:rFonts w:hint="eastAsia"/>
        </w:rPr>
        <w:t>项目成果/交付物的技术指标要求</w:t>
      </w:r>
      <w:bookmarkEnd w:id="7"/>
    </w:p>
    <w:p w:rsidR="00047E39" w:rsidRDefault="00000000">
      <w:pPr>
        <w:spacing w:line="360" w:lineRule="auto"/>
        <w:ind w:left="567"/>
        <w:rPr>
          <w:rFonts w:ascii="仿宋" w:eastAsia="仿宋" w:hAnsi="仿宋" w:hint="eastAsia"/>
          <w:sz w:val="28"/>
          <w:szCs w:val="28"/>
        </w:rPr>
      </w:pPr>
      <w:r>
        <w:rPr>
          <w:rFonts w:ascii="仿宋" w:eastAsia="仿宋" w:hAnsi="仿宋" w:hint="eastAsia"/>
          <w:sz w:val="28"/>
          <w:szCs w:val="28"/>
        </w:rPr>
        <w:t>具体如下</w:t>
      </w:r>
      <w:r>
        <w:rPr>
          <w:rFonts w:ascii="仿宋" w:eastAsia="仿宋" w:hAnsi="仿宋"/>
          <w:sz w:val="28"/>
          <w:szCs w:val="28"/>
        </w:rPr>
        <w:t>：</w:t>
      </w:r>
    </w:p>
    <w:p w:rsidR="00047E39" w:rsidRDefault="00000000">
      <w:pPr>
        <w:pStyle w:val="af4"/>
        <w:numPr>
          <w:ilvl w:val="0"/>
          <w:numId w:val="5"/>
        </w:numPr>
        <w:spacing w:line="360" w:lineRule="auto"/>
        <w:ind w:firstLineChars="0"/>
        <w:rPr>
          <w:rFonts w:ascii="仿宋" w:eastAsia="仿宋" w:hAnsi="仿宋" w:hint="eastAsia"/>
          <w:sz w:val="28"/>
          <w:szCs w:val="28"/>
        </w:rPr>
      </w:pPr>
      <w:r>
        <w:rPr>
          <w:rFonts w:ascii="仿宋" w:eastAsia="仿宋" w:hAnsi="仿宋" w:hint="eastAsia"/>
          <w:sz w:val="28"/>
          <w:szCs w:val="28"/>
        </w:rPr>
        <w:t>先进性</w:t>
      </w:r>
    </w:p>
    <w:p w:rsidR="00047E39" w:rsidRDefault="00000000">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运用国际国内先进技术手段、方法及工具开展测评工作，提供整改建议、指导整改。</w:t>
      </w:r>
    </w:p>
    <w:p w:rsidR="00047E39" w:rsidRDefault="00000000">
      <w:pPr>
        <w:pStyle w:val="af4"/>
        <w:numPr>
          <w:ilvl w:val="0"/>
          <w:numId w:val="5"/>
        </w:numPr>
        <w:spacing w:line="360" w:lineRule="auto"/>
        <w:ind w:firstLineChars="0"/>
        <w:rPr>
          <w:rFonts w:ascii="仿宋" w:eastAsia="仿宋" w:hAnsi="仿宋" w:hint="eastAsia"/>
          <w:sz w:val="28"/>
          <w:szCs w:val="28"/>
        </w:rPr>
      </w:pPr>
      <w:r>
        <w:rPr>
          <w:rFonts w:ascii="仿宋" w:eastAsia="仿宋" w:hAnsi="仿宋" w:hint="eastAsia"/>
          <w:sz w:val="28"/>
          <w:szCs w:val="28"/>
        </w:rPr>
        <w:t>安全性</w:t>
      </w:r>
    </w:p>
    <w:p w:rsidR="00047E39" w:rsidRDefault="00000000">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遵循国际和国内有关信息安全行业标准或规范，规范操作，充分考虑实施时对正式环境的影响，避免不必要的风险。</w:t>
      </w:r>
    </w:p>
    <w:p w:rsidR="00047E39" w:rsidRDefault="00000000">
      <w:pPr>
        <w:pStyle w:val="af4"/>
        <w:numPr>
          <w:ilvl w:val="0"/>
          <w:numId w:val="5"/>
        </w:numPr>
        <w:spacing w:line="360" w:lineRule="auto"/>
        <w:ind w:firstLineChars="0"/>
        <w:rPr>
          <w:rFonts w:ascii="仿宋" w:eastAsia="仿宋" w:hAnsi="仿宋" w:hint="eastAsia"/>
          <w:sz w:val="28"/>
          <w:szCs w:val="28"/>
        </w:rPr>
      </w:pPr>
      <w:r>
        <w:rPr>
          <w:rFonts w:ascii="仿宋" w:eastAsia="仿宋" w:hAnsi="仿宋" w:hint="eastAsia"/>
          <w:sz w:val="28"/>
          <w:szCs w:val="28"/>
        </w:rPr>
        <w:t>可靠性</w:t>
      </w:r>
    </w:p>
    <w:p w:rsidR="00047E39" w:rsidRDefault="00000000">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实施所采用的方式方法应经过充分验证测试，运用最优可靠的解决途径，保证电力监控系统的正常运行。</w:t>
      </w:r>
    </w:p>
    <w:p w:rsidR="00047E39" w:rsidRDefault="00000000">
      <w:pPr>
        <w:pStyle w:val="af4"/>
        <w:numPr>
          <w:ilvl w:val="0"/>
          <w:numId w:val="5"/>
        </w:numPr>
        <w:spacing w:line="360" w:lineRule="auto"/>
        <w:ind w:firstLineChars="0"/>
        <w:rPr>
          <w:rFonts w:ascii="仿宋" w:eastAsia="仿宋" w:hAnsi="仿宋" w:hint="eastAsia"/>
          <w:sz w:val="28"/>
          <w:szCs w:val="28"/>
        </w:rPr>
      </w:pPr>
      <w:r>
        <w:rPr>
          <w:rFonts w:ascii="仿宋" w:eastAsia="仿宋" w:hAnsi="仿宋" w:hint="eastAsia"/>
          <w:sz w:val="28"/>
          <w:szCs w:val="28"/>
        </w:rPr>
        <w:t>稳定性</w:t>
      </w:r>
    </w:p>
    <w:p w:rsidR="00047E39" w:rsidRDefault="00000000">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采用稳定性高、可用性好的软硬件产品，保证电力监控系统最低故障率，确保系统稳定运行。</w:t>
      </w:r>
    </w:p>
    <w:p w:rsidR="00047E39" w:rsidRDefault="00000000">
      <w:pPr>
        <w:pStyle w:val="1"/>
      </w:pPr>
      <w:bookmarkStart w:id="8" w:name="_Toc21655"/>
      <w:r>
        <w:rPr>
          <w:rFonts w:hint="eastAsia"/>
        </w:rPr>
        <w:t>总体描述</w:t>
      </w:r>
      <w:bookmarkEnd w:id="8"/>
    </w:p>
    <w:p w:rsidR="00047E39" w:rsidRDefault="00000000">
      <w:pPr>
        <w:pStyle w:val="2"/>
      </w:pPr>
      <w:bookmarkStart w:id="9" w:name="_Toc4498"/>
      <w:r>
        <w:rPr>
          <w:rFonts w:hint="eastAsia"/>
        </w:rPr>
        <w:t>项目背景</w:t>
      </w:r>
      <w:bookmarkEnd w:id="9"/>
    </w:p>
    <w:p w:rsidR="00047E39" w:rsidRDefault="00000000">
      <w:pPr>
        <w:adjustRightInd w:val="0"/>
        <w:snapToGrid w:val="0"/>
        <w:spacing w:line="360" w:lineRule="auto"/>
        <w:ind w:firstLineChars="200" w:firstLine="560"/>
        <w:rPr>
          <w:rFonts w:ascii="仿宋" w:eastAsia="仿宋" w:hAnsi="仿宋" w:cs="仿宋" w:hint="eastAsia"/>
          <w:kern w:val="0"/>
          <w:sz w:val="28"/>
          <w:szCs w:val="28"/>
        </w:rPr>
      </w:pPr>
      <w:bookmarkStart w:id="10" w:name="_Toc25852"/>
      <w:r>
        <w:rPr>
          <w:rFonts w:ascii="仿宋" w:eastAsia="仿宋" w:hAnsi="仿宋" w:cs="仿宋" w:hint="eastAsia"/>
          <w:kern w:val="0"/>
          <w:sz w:val="28"/>
          <w:szCs w:val="28"/>
        </w:rPr>
        <w:t>根据网络安全等级保护相关要求、《国家能源局关于印发电力监控系统安全防护总体方案等安全防护方案和评估规范的通知》(国能安全[2015]36号)、《中国南方电网有限责任公司电力监控系统网络安全管理办法》、《南方电网公司网络安全技术管控工作指引》等要求，电力现货市场运营感知系统和现货市场出清结果可行性评估系统</w:t>
      </w:r>
      <w:r>
        <w:rPr>
          <w:rFonts w:ascii="仿宋" w:eastAsia="仿宋" w:hAnsi="仿宋" w:cs="仿宋" w:hint="eastAsia"/>
          <w:kern w:val="0"/>
          <w:sz w:val="28"/>
          <w:szCs w:val="28"/>
        </w:rPr>
        <w:lastRenderedPageBreak/>
        <w:t>上线运行前，应开展并网安全测评（评估）工作，并出具相应报告，上线系统相关高、中风险安全隐患经复核落实整改后方可投入运行。</w:t>
      </w:r>
    </w:p>
    <w:p w:rsidR="00047E39" w:rsidRDefault="00000000">
      <w:pPr>
        <w:pStyle w:val="2"/>
        <w:rPr>
          <w:rFonts w:ascii="仿宋" w:eastAsia="仿宋" w:hAnsi="仿宋" w:cs="仿宋" w:hint="eastAsia"/>
        </w:rPr>
      </w:pPr>
      <w:r>
        <w:rPr>
          <w:rFonts w:ascii="仿宋" w:eastAsia="仿宋" w:hAnsi="仿宋" w:cs="仿宋" w:hint="eastAsia"/>
        </w:rPr>
        <w:t>项目内容</w:t>
      </w:r>
      <w:bookmarkEnd w:id="10"/>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eastAsia="仿宋_GB2312"/>
          <w:kern w:val="0"/>
          <w:sz w:val="28"/>
          <w:szCs w:val="28"/>
        </w:rPr>
        <w:t>按照《信息安全技术</w:t>
      </w:r>
      <w:r>
        <w:rPr>
          <w:rFonts w:eastAsia="仿宋_GB2312"/>
          <w:kern w:val="0"/>
          <w:sz w:val="28"/>
          <w:szCs w:val="28"/>
        </w:rPr>
        <w:t xml:space="preserve"> </w:t>
      </w:r>
      <w:r>
        <w:rPr>
          <w:rFonts w:eastAsia="仿宋_GB2312"/>
          <w:kern w:val="0"/>
          <w:sz w:val="28"/>
          <w:szCs w:val="28"/>
        </w:rPr>
        <w:t>网络安全等级保护基本要求》（</w:t>
      </w:r>
      <w:r>
        <w:rPr>
          <w:rFonts w:eastAsia="仿宋_GB2312"/>
          <w:kern w:val="0"/>
          <w:sz w:val="28"/>
          <w:szCs w:val="28"/>
        </w:rPr>
        <w:t>GB/T 22239-2019</w:t>
      </w:r>
      <w:r>
        <w:rPr>
          <w:rFonts w:eastAsia="仿宋_GB2312"/>
          <w:kern w:val="0"/>
          <w:sz w:val="28"/>
          <w:szCs w:val="28"/>
        </w:rPr>
        <w:t>）</w:t>
      </w:r>
      <w:r>
        <w:rPr>
          <w:rFonts w:eastAsia="仿宋_GB2312" w:hint="eastAsia"/>
          <w:kern w:val="0"/>
          <w:sz w:val="28"/>
          <w:szCs w:val="28"/>
        </w:rPr>
        <w:t>、</w:t>
      </w:r>
      <w:r>
        <w:rPr>
          <w:rFonts w:eastAsia="仿宋_GB2312"/>
          <w:kern w:val="0"/>
          <w:sz w:val="28"/>
          <w:szCs w:val="28"/>
        </w:rPr>
        <w:t>《信息安全技术</w:t>
      </w:r>
      <w:r>
        <w:rPr>
          <w:rFonts w:eastAsia="仿宋_GB2312"/>
          <w:kern w:val="0"/>
          <w:sz w:val="28"/>
          <w:szCs w:val="28"/>
        </w:rPr>
        <w:t xml:space="preserve"> </w:t>
      </w:r>
      <w:r>
        <w:rPr>
          <w:rFonts w:eastAsia="仿宋_GB2312"/>
          <w:kern w:val="0"/>
          <w:sz w:val="28"/>
          <w:szCs w:val="28"/>
        </w:rPr>
        <w:t>网络安全等级保护测评要求》（</w:t>
      </w:r>
      <w:r>
        <w:rPr>
          <w:rFonts w:eastAsia="仿宋_GB2312"/>
          <w:kern w:val="0"/>
          <w:sz w:val="28"/>
          <w:szCs w:val="28"/>
        </w:rPr>
        <w:t>GB/T 28448-2019</w:t>
      </w:r>
      <w:r>
        <w:rPr>
          <w:rFonts w:eastAsia="仿宋_GB2312"/>
          <w:kern w:val="0"/>
          <w:sz w:val="28"/>
          <w:szCs w:val="28"/>
        </w:rPr>
        <w:t>）</w:t>
      </w:r>
      <w:r>
        <w:rPr>
          <w:rFonts w:eastAsia="仿宋_GB2312" w:hint="eastAsia"/>
          <w:kern w:val="0"/>
          <w:sz w:val="28"/>
          <w:szCs w:val="28"/>
        </w:rPr>
        <w:t>、《国家能源局关于印发电力监控系统安全防护总体方案等安全防护方案和评估规范的通知》</w:t>
      </w:r>
      <w:r>
        <w:rPr>
          <w:rFonts w:eastAsia="仿宋_GB2312" w:hint="eastAsia"/>
          <w:kern w:val="0"/>
          <w:sz w:val="28"/>
          <w:szCs w:val="28"/>
        </w:rPr>
        <w:t>(</w:t>
      </w:r>
      <w:r>
        <w:rPr>
          <w:rFonts w:eastAsia="仿宋_GB2312" w:hint="eastAsia"/>
          <w:kern w:val="0"/>
          <w:sz w:val="28"/>
          <w:szCs w:val="28"/>
        </w:rPr>
        <w:t>国能安全</w:t>
      </w:r>
      <w:r>
        <w:rPr>
          <w:rFonts w:eastAsia="仿宋_GB2312" w:hint="eastAsia"/>
          <w:kern w:val="0"/>
          <w:sz w:val="28"/>
          <w:szCs w:val="28"/>
        </w:rPr>
        <w:t>[2015]36</w:t>
      </w:r>
      <w:r>
        <w:rPr>
          <w:rFonts w:eastAsia="仿宋_GB2312" w:hint="eastAsia"/>
          <w:kern w:val="0"/>
          <w:sz w:val="28"/>
          <w:szCs w:val="28"/>
        </w:rPr>
        <w:t>号</w:t>
      </w:r>
      <w:r>
        <w:rPr>
          <w:rFonts w:eastAsia="仿宋_GB2312" w:hint="eastAsia"/>
          <w:kern w:val="0"/>
          <w:sz w:val="28"/>
          <w:szCs w:val="28"/>
        </w:rPr>
        <w:t>)</w:t>
      </w:r>
      <w:r>
        <w:rPr>
          <w:rFonts w:eastAsia="仿宋_GB2312" w:hint="eastAsia"/>
          <w:kern w:val="0"/>
          <w:sz w:val="28"/>
          <w:szCs w:val="28"/>
        </w:rPr>
        <w:t>》、《中国南方电网有限责任公司电力监控系统网络安全管理办法》</w:t>
      </w:r>
      <w:r>
        <w:rPr>
          <w:rFonts w:eastAsia="仿宋_GB2312"/>
          <w:kern w:val="0"/>
          <w:sz w:val="28"/>
          <w:szCs w:val="28"/>
        </w:rPr>
        <w:t>等</w:t>
      </w:r>
      <w:r>
        <w:rPr>
          <w:rFonts w:eastAsia="仿宋_GB2312" w:hint="eastAsia"/>
          <w:kern w:val="0"/>
          <w:sz w:val="28"/>
          <w:szCs w:val="28"/>
        </w:rPr>
        <w:t>相关</w:t>
      </w:r>
      <w:r>
        <w:rPr>
          <w:rFonts w:eastAsia="仿宋_GB2312"/>
          <w:kern w:val="0"/>
          <w:sz w:val="28"/>
          <w:szCs w:val="28"/>
        </w:rPr>
        <w:t>要求</w:t>
      </w:r>
      <w:r>
        <w:rPr>
          <w:rFonts w:ascii="仿宋_GB2312" w:eastAsia="仿宋_GB2312" w:hAnsi="宋体" w:hint="eastAsia"/>
          <w:kern w:val="0"/>
          <w:sz w:val="28"/>
          <w:szCs w:val="28"/>
        </w:rPr>
        <w:t>，对电力现货市场运营感知系统和现货市场出清结果可行性评估系统在</w:t>
      </w:r>
      <w:r>
        <w:rPr>
          <w:rFonts w:eastAsia="仿宋_GB2312" w:hint="eastAsia"/>
          <w:kern w:val="0"/>
          <w:sz w:val="28"/>
          <w:szCs w:val="28"/>
        </w:rPr>
        <w:t>上线试运行阶段（上线调试）和验收阶段（正式投运前）分别开展</w:t>
      </w:r>
      <w:r>
        <w:rPr>
          <w:rFonts w:ascii="仿宋_GB2312" w:eastAsia="仿宋_GB2312" w:hAnsi="宋体" w:hint="eastAsia"/>
          <w:kern w:val="0"/>
          <w:sz w:val="28"/>
          <w:szCs w:val="28"/>
        </w:rPr>
        <w:t>并网安全测评，并对发现存在的安全隐患进行整改指导。</w:t>
      </w:r>
    </w:p>
    <w:p w:rsidR="00047E39" w:rsidRDefault="00000000">
      <w:pPr>
        <w:numPr>
          <w:ilvl w:val="0"/>
          <w:numId w:val="6"/>
        </w:num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测评内容应包括对系统的并网安全测评（评估）合规性检测、漏洞扫描、渗透测试、病毒检测等。</w:t>
      </w:r>
    </w:p>
    <w:p w:rsidR="00047E39" w:rsidRDefault="00000000">
      <w:pPr>
        <w:numPr>
          <w:ilvl w:val="0"/>
          <w:numId w:val="6"/>
        </w:num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系统按测评发现问题开展整改后，应按招标方要求及时开展复测，并输出</w:t>
      </w:r>
      <w:r>
        <w:rPr>
          <w:rFonts w:eastAsia="仿宋_GB2312" w:hint="eastAsia"/>
          <w:kern w:val="0"/>
          <w:sz w:val="28"/>
          <w:szCs w:val="28"/>
        </w:rPr>
        <w:t>出具相应的测评报告（复测后的报告），测评报告应经招标方核实确认</w:t>
      </w:r>
      <w:r>
        <w:rPr>
          <w:rFonts w:ascii="仿宋_GB2312" w:eastAsia="仿宋_GB2312" w:hAnsi="宋体" w:hint="eastAsia"/>
          <w:kern w:val="0"/>
          <w:sz w:val="28"/>
          <w:szCs w:val="28"/>
        </w:rPr>
        <w:t>。</w:t>
      </w:r>
    </w:p>
    <w:p w:rsidR="00047E39" w:rsidRDefault="00000000">
      <w:pPr>
        <w:numPr>
          <w:ilvl w:val="0"/>
          <w:numId w:val="6"/>
        </w:num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中标方应在收到招标方通知10个工作日内完成对相应单个系统的测评/复测；测评报告应在完成复测后15个工作日提交招标方审核，在招标方确认后3个工作日内提交正式盖章版的报告</w:t>
      </w:r>
      <w:r>
        <w:rPr>
          <w:rFonts w:ascii="仿宋" w:eastAsia="仿宋" w:hAnsi="仿宋" w:hint="eastAsia"/>
          <w:sz w:val="28"/>
          <w:szCs w:val="28"/>
        </w:rPr>
        <w:t>。</w:t>
      </w:r>
    </w:p>
    <w:p w:rsidR="00047E39" w:rsidRDefault="00000000">
      <w:pPr>
        <w:pStyle w:val="2"/>
      </w:pPr>
      <w:r>
        <w:rPr>
          <w:rFonts w:hint="eastAsia"/>
        </w:rPr>
        <w:t>项目应遵循的标准</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 xml:space="preserve">标准的内容有矛盾时，应按照最高标准的条款执行或按双方协商同意的标准或条款执行。应遵循包括但不限于以下相关标准、规划： </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 xml:space="preserve">(1)《中华人民共和国网络安全法》 </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 xml:space="preserve">(2)《中华人民共和国计算机信息系统安全保护条例》（中华人民共和国国务院令 147号） </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lastRenderedPageBreak/>
        <w:t xml:space="preserve">(3)《电力监控系统安全防护规定》（国家发展和改革委员会令 2014年第14号） </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 xml:space="preserve">(4)《电力监控系统安全防护总体方案》（国能安全[2015]36号） </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 xml:space="preserve">(5)《电力监控系统安全防护评估规范》（国能安全[2015]36号） </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 xml:space="preserve">(6)《电力行业信息安全等级保护管理办法》（国能安全[2014]318号） </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 xml:space="preserve">(7)《电力行业网络与信息安全管理办法》（国能安全[2014]317号） </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 xml:space="preserve">(8)《电力行业信息系统安全等级保护基本要求》（电监信息[2012]62号） </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 xml:space="preserve">(9)《电力监控系统安全防护技术规范》（Q/CSG1204009-2015） </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(10)《中国南方电网电力调度管理规程》（Q/CS212045-2011）</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(11)《GB/T22239-2019 信息安全技术 网络安全等级保护基本要求》</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(12)《GB/T28448-2019 信息安全技术 网络安全等级保护测评要求》</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(13)《QCSG1204060-2019 电力监控系统并网安全评估规范》</w:t>
      </w:r>
    </w:p>
    <w:p w:rsidR="00047E39" w:rsidRDefault="00000000">
      <w:pPr>
        <w:pStyle w:val="2"/>
      </w:pPr>
      <w:bookmarkStart w:id="11" w:name="_Toc21278"/>
      <w:r>
        <w:rPr>
          <w:rFonts w:hint="eastAsia"/>
        </w:rPr>
        <w:t>项目采购范围</w:t>
      </w:r>
      <w:bookmarkEnd w:id="4"/>
      <w:bookmarkEnd w:id="11"/>
    </w:p>
    <w:p w:rsidR="00047E39" w:rsidRDefault="00000000">
      <w:pPr>
        <w:pStyle w:val="a4"/>
        <w:numPr>
          <w:ilvl w:val="0"/>
          <w:numId w:val="7"/>
        </w:numPr>
        <w:spacing w:line="360" w:lineRule="auto"/>
        <w:ind w:firstLine="0"/>
        <w:rPr>
          <w:rFonts w:ascii="仿宋" w:eastAsia="仿宋" w:hAnsi="仿宋" w:hint="eastAsia"/>
          <w:sz w:val="28"/>
          <w:szCs w:val="28"/>
        </w:rPr>
      </w:pPr>
      <w:bookmarkStart w:id="12" w:name="_Toc198288469"/>
      <w:bookmarkStart w:id="13" w:name="_Toc197719624"/>
      <w:r>
        <w:rPr>
          <w:rFonts w:ascii="仿宋" w:eastAsia="仿宋" w:hAnsi="仿宋" w:hint="eastAsia"/>
          <w:sz w:val="28"/>
          <w:szCs w:val="28"/>
        </w:rPr>
        <w:t>本项目招标包括以下范围：</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按照</w:t>
      </w:r>
      <w:r>
        <w:rPr>
          <w:rFonts w:eastAsia="仿宋_GB2312"/>
          <w:kern w:val="0"/>
          <w:sz w:val="28"/>
          <w:szCs w:val="28"/>
        </w:rPr>
        <w:t>《信息安全技术</w:t>
      </w:r>
      <w:r>
        <w:rPr>
          <w:rFonts w:eastAsia="仿宋_GB2312"/>
          <w:kern w:val="0"/>
          <w:sz w:val="28"/>
          <w:szCs w:val="28"/>
        </w:rPr>
        <w:t xml:space="preserve"> </w:t>
      </w:r>
      <w:r>
        <w:rPr>
          <w:rFonts w:eastAsia="仿宋_GB2312"/>
          <w:kern w:val="0"/>
          <w:sz w:val="28"/>
          <w:szCs w:val="28"/>
        </w:rPr>
        <w:t>网络安全等级保护基本要求》（</w:t>
      </w:r>
      <w:r>
        <w:rPr>
          <w:rFonts w:eastAsia="仿宋_GB2312"/>
          <w:kern w:val="0"/>
          <w:sz w:val="28"/>
          <w:szCs w:val="28"/>
        </w:rPr>
        <w:t>GB/T 22239-2019</w:t>
      </w:r>
      <w:r>
        <w:rPr>
          <w:rFonts w:eastAsia="仿宋_GB2312"/>
          <w:kern w:val="0"/>
          <w:sz w:val="28"/>
          <w:szCs w:val="28"/>
        </w:rPr>
        <w:t>）</w:t>
      </w:r>
      <w:r>
        <w:rPr>
          <w:rFonts w:eastAsia="仿宋_GB2312" w:hint="eastAsia"/>
          <w:kern w:val="0"/>
          <w:sz w:val="28"/>
          <w:szCs w:val="28"/>
        </w:rPr>
        <w:t>、</w:t>
      </w:r>
      <w:r>
        <w:rPr>
          <w:rFonts w:eastAsia="仿宋_GB2312"/>
          <w:kern w:val="0"/>
          <w:sz w:val="28"/>
          <w:szCs w:val="28"/>
        </w:rPr>
        <w:t>《信息安全技术</w:t>
      </w:r>
      <w:r>
        <w:rPr>
          <w:rFonts w:eastAsia="仿宋_GB2312"/>
          <w:kern w:val="0"/>
          <w:sz w:val="28"/>
          <w:szCs w:val="28"/>
        </w:rPr>
        <w:t xml:space="preserve"> </w:t>
      </w:r>
      <w:r>
        <w:rPr>
          <w:rFonts w:eastAsia="仿宋_GB2312"/>
          <w:kern w:val="0"/>
          <w:sz w:val="28"/>
          <w:szCs w:val="28"/>
        </w:rPr>
        <w:t>网络安全等级保护测评要求》（</w:t>
      </w:r>
      <w:r>
        <w:rPr>
          <w:rFonts w:eastAsia="仿宋_GB2312"/>
          <w:kern w:val="0"/>
          <w:sz w:val="28"/>
          <w:szCs w:val="28"/>
        </w:rPr>
        <w:t>GB/T 28448-2019</w:t>
      </w:r>
      <w:r>
        <w:rPr>
          <w:rFonts w:eastAsia="仿宋_GB2312"/>
          <w:kern w:val="0"/>
          <w:sz w:val="28"/>
          <w:szCs w:val="28"/>
        </w:rPr>
        <w:t>）</w:t>
      </w:r>
      <w:r>
        <w:rPr>
          <w:rFonts w:eastAsia="仿宋_GB2312" w:hint="eastAsia"/>
          <w:kern w:val="0"/>
          <w:sz w:val="28"/>
          <w:szCs w:val="28"/>
        </w:rPr>
        <w:t>、《国家能源局关于印发电力监控系统安全防护总体方案等安全防护方案和评估规范的通知》</w:t>
      </w:r>
      <w:r>
        <w:rPr>
          <w:rFonts w:eastAsia="仿宋_GB2312" w:hint="eastAsia"/>
          <w:kern w:val="0"/>
          <w:sz w:val="28"/>
          <w:szCs w:val="28"/>
        </w:rPr>
        <w:t>(</w:t>
      </w:r>
      <w:r>
        <w:rPr>
          <w:rFonts w:eastAsia="仿宋_GB2312" w:hint="eastAsia"/>
          <w:kern w:val="0"/>
          <w:sz w:val="28"/>
          <w:szCs w:val="28"/>
        </w:rPr>
        <w:t>国能安全</w:t>
      </w:r>
      <w:r>
        <w:rPr>
          <w:rFonts w:eastAsia="仿宋_GB2312" w:hint="eastAsia"/>
          <w:kern w:val="0"/>
          <w:sz w:val="28"/>
          <w:szCs w:val="28"/>
        </w:rPr>
        <w:t>[2015]36</w:t>
      </w:r>
      <w:r>
        <w:rPr>
          <w:rFonts w:eastAsia="仿宋_GB2312" w:hint="eastAsia"/>
          <w:kern w:val="0"/>
          <w:sz w:val="28"/>
          <w:szCs w:val="28"/>
        </w:rPr>
        <w:t>号</w:t>
      </w:r>
      <w:r>
        <w:rPr>
          <w:rFonts w:eastAsia="仿宋_GB2312" w:hint="eastAsia"/>
          <w:kern w:val="0"/>
          <w:sz w:val="28"/>
          <w:szCs w:val="28"/>
        </w:rPr>
        <w:t>)</w:t>
      </w:r>
      <w:r>
        <w:rPr>
          <w:rFonts w:eastAsia="仿宋_GB2312" w:hint="eastAsia"/>
          <w:kern w:val="0"/>
          <w:sz w:val="28"/>
          <w:szCs w:val="28"/>
        </w:rPr>
        <w:t>》、《中国南方电网有限责任公司电力监控系统网络安全管理办法》、《</w:t>
      </w:r>
      <w:r>
        <w:rPr>
          <w:rFonts w:eastAsia="仿宋_GB2312" w:hint="eastAsia"/>
          <w:kern w:val="0"/>
          <w:sz w:val="28"/>
          <w:szCs w:val="28"/>
        </w:rPr>
        <w:t xml:space="preserve">QCSG1204060-2019 </w:t>
      </w:r>
      <w:r>
        <w:rPr>
          <w:rFonts w:eastAsia="仿宋_GB2312" w:hint="eastAsia"/>
          <w:kern w:val="0"/>
          <w:sz w:val="28"/>
          <w:szCs w:val="28"/>
        </w:rPr>
        <w:t>电力监控系统并网安全评估规范》</w:t>
      </w:r>
      <w:r>
        <w:rPr>
          <w:rFonts w:ascii="仿宋_GB2312" w:eastAsia="仿宋_GB2312" w:hAnsi="宋体" w:hint="eastAsia"/>
          <w:kern w:val="0"/>
          <w:sz w:val="28"/>
          <w:szCs w:val="28"/>
        </w:rPr>
        <w:t>等相关要求</w:t>
      </w:r>
      <w:r>
        <w:rPr>
          <w:rFonts w:ascii="仿宋_GB2312" w:eastAsia="仿宋_GB2312" w:hAnsi="宋体" w:hint="eastAsia"/>
          <w:kern w:val="0"/>
          <w:sz w:val="28"/>
          <w:szCs w:val="28"/>
        </w:rPr>
        <w:lastRenderedPageBreak/>
        <w:t>完成电力现货市场运营感知系统和现货市场出清结果可行性评估系统的并网安全测评。</w:t>
      </w:r>
    </w:p>
    <w:p w:rsidR="00047E39" w:rsidRDefault="00000000">
      <w:pPr>
        <w:adjustRightInd w:val="0"/>
        <w:snapToGrid w:val="0"/>
        <w:spacing w:line="360" w:lineRule="auto"/>
        <w:rPr>
          <w:rFonts w:ascii="仿宋" w:eastAsia="仿宋" w:hAnsi="仿宋" w:hint="eastAsia"/>
          <w:kern w:val="0"/>
          <w:sz w:val="28"/>
          <w:szCs w:val="28"/>
        </w:rPr>
      </w:pPr>
      <w:r>
        <w:rPr>
          <w:rFonts w:ascii="仿宋" w:eastAsia="仿宋" w:hAnsi="仿宋" w:hint="eastAsia"/>
          <w:kern w:val="0"/>
          <w:sz w:val="28"/>
          <w:szCs w:val="28"/>
        </w:rPr>
        <w:t>（二）交付成果：</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bookmarkStart w:id="14" w:name="_Toc198702472"/>
      <w:bookmarkStart w:id="15" w:name="_Toc293308322"/>
      <w:bookmarkStart w:id="16" w:name="_Toc296516208"/>
      <w:r>
        <w:rPr>
          <w:rFonts w:ascii="仿宋_GB2312" w:eastAsia="仿宋_GB2312" w:hAnsi="宋体" w:hint="eastAsia"/>
          <w:kern w:val="0"/>
          <w:sz w:val="28"/>
          <w:szCs w:val="28"/>
        </w:rPr>
        <w:t>系统按测评发现问题开展整改后，应按招标方要求及时开展复测，并输出</w:t>
      </w:r>
      <w:r>
        <w:rPr>
          <w:rFonts w:eastAsia="仿宋_GB2312" w:hint="eastAsia"/>
          <w:kern w:val="0"/>
          <w:sz w:val="28"/>
          <w:szCs w:val="28"/>
        </w:rPr>
        <w:t>出具相</w:t>
      </w:r>
      <w:r>
        <w:rPr>
          <w:rFonts w:ascii="仿宋_GB2312" w:eastAsia="仿宋_GB2312" w:hAnsi="宋体" w:hint="eastAsia"/>
          <w:kern w:val="0"/>
          <w:sz w:val="28"/>
          <w:szCs w:val="28"/>
        </w:rPr>
        <w:t>应的测评报告（复测后的报告），测评报告应经招标方核实确认。</w:t>
      </w:r>
    </w:p>
    <w:p w:rsidR="00047E39" w:rsidRDefault="00000000">
      <w:pPr>
        <w:pStyle w:val="2"/>
      </w:pPr>
      <w:r>
        <w:rPr>
          <w:rFonts w:hint="eastAsia"/>
        </w:rPr>
        <w:t>项目时间要求</w:t>
      </w:r>
    </w:p>
    <w:p w:rsidR="00047E39" w:rsidRDefault="00000000">
      <w:pPr>
        <w:adjustRightInd w:val="0"/>
        <w:snapToGrid w:val="0"/>
        <w:spacing w:line="360" w:lineRule="auto"/>
        <w:ind w:firstLineChars="200" w:firstLine="560"/>
        <w:rPr>
          <w:rFonts w:ascii="仿宋_GB2312" w:eastAsia="仿宋_GB2312" w:hAnsi="宋体" w:hint="eastAsia"/>
          <w:kern w:val="0"/>
          <w:sz w:val="28"/>
          <w:szCs w:val="28"/>
        </w:rPr>
      </w:pPr>
      <w:r>
        <w:rPr>
          <w:rFonts w:ascii="仿宋_GB2312" w:eastAsia="仿宋_GB2312" w:hAnsi="宋体" w:hint="eastAsia"/>
          <w:kern w:val="0"/>
          <w:sz w:val="28"/>
          <w:szCs w:val="28"/>
        </w:rPr>
        <w:t>系统整体测评工作要求在2025年8月30日前完成</w:t>
      </w:r>
      <w:r w:rsidR="005A0E75">
        <w:rPr>
          <w:rFonts w:ascii="仿宋_GB2312" w:eastAsia="仿宋_GB2312" w:hAnsi="宋体" w:hint="eastAsia"/>
          <w:kern w:val="0"/>
          <w:sz w:val="28"/>
          <w:szCs w:val="28"/>
        </w:rPr>
        <w:t>2套系统</w:t>
      </w:r>
      <w:r>
        <w:rPr>
          <w:rFonts w:ascii="仿宋_GB2312" w:eastAsia="仿宋_GB2312" w:hAnsi="宋体" w:hint="eastAsia"/>
          <w:kern w:val="0"/>
          <w:sz w:val="28"/>
          <w:szCs w:val="28"/>
        </w:rPr>
        <w:t>测评及测评报告（复测后的报告）输出。</w:t>
      </w:r>
    </w:p>
    <w:p w:rsidR="00047E39" w:rsidRDefault="00000000">
      <w:pPr>
        <w:pStyle w:val="2"/>
      </w:pPr>
      <w:r>
        <w:rPr>
          <w:rFonts w:hint="eastAsia"/>
        </w:rPr>
        <w:t>项目并网安评技术要求</w:t>
      </w:r>
    </w:p>
    <w:p w:rsidR="00047E39" w:rsidRDefault="00000000">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根据系统测试需求范围，从主机安全、数据库安全、中间件安全、应用安全、数据安全各个层面或方面检查系统的每个组件应该满足的安全要求，并针对应用系统开展渗透测试。具体测试内容根据系统需求确定。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2204"/>
        <w:gridCol w:w="5430"/>
      </w:tblGrid>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b/>
                <w:sz w:val="28"/>
                <w:szCs w:val="28"/>
              </w:rPr>
            </w:pPr>
            <w:r>
              <w:rPr>
                <w:rFonts w:ascii="仿宋_GB2312" w:eastAsia="仿宋_GB2312" w:hAnsi="仿宋_GB2312" w:cs="仿宋_GB2312" w:hint="eastAsia"/>
                <w:b/>
                <w:sz w:val="28"/>
                <w:szCs w:val="28"/>
              </w:rPr>
              <w:t>序号</w:t>
            </w:r>
          </w:p>
        </w:tc>
        <w:tc>
          <w:tcPr>
            <w:tcW w:w="2268" w:type="dxa"/>
            <w:shd w:val="clear" w:color="auto" w:fill="auto"/>
            <w:vAlign w:val="center"/>
          </w:tcPr>
          <w:p w:rsidR="00047E39" w:rsidRDefault="00000000">
            <w:pPr>
              <w:pStyle w:val="a9"/>
              <w:jc w:val="center"/>
              <w:rPr>
                <w:rFonts w:ascii="仿宋_GB2312" w:eastAsia="仿宋_GB2312" w:hAnsi="仿宋_GB2312" w:cs="仿宋_GB2312" w:hint="eastAsia"/>
                <w:b/>
                <w:sz w:val="28"/>
                <w:szCs w:val="28"/>
              </w:rPr>
            </w:pPr>
            <w:r>
              <w:rPr>
                <w:rFonts w:ascii="仿宋_GB2312" w:eastAsia="仿宋_GB2312" w:hAnsi="仿宋_GB2312" w:cs="仿宋_GB2312" w:hint="eastAsia"/>
                <w:b/>
                <w:sz w:val="28"/>
                <w:szCs w:val="28"/>
              </w:rPr>
              <w:t>测试层面</w:t>
            </w: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b/>
                <w:sz w:val="28"/>
                <w:szCs w:val="28"/>
              </w:rPr>
            </w:pPr>
            <w:r>
              <w:rPr>
                <w:rFonts w:ascii="仿宋_GB2312" w:eastAsia="仿宋_GB2312" w:hAnsi="仿宋_GB2312" w:cs="仿宋_GB2312" w:hint="eastAsia"/>
                <w:b/>
                <w:sz w:val="28"/>
                <w:szCs w:val="28"/>
              </w:rPr>
              <w:t>测试项目</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w:t>
            </w:r>
          </w:p>
        </w:tc>
        <w:tc>
          <w:tcPr>
            <w:tcW w:w="2268"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主机安全</w:t>
            </w:r>
          </w:p>
        </w:tc>
        <w:tc>
          <w:tcPr>
            <w:tcW w:w="5579" w:type="dxa"/>
            <w:shd w:val="clear" w:color="auto" w:fill="auto"/>
            <w:vAlign w:val="center"/>
          </w:tcPr>
          <w:p w:rsidR="00047E39" w:rsidRDefault="00000000">
            <w:pPr>
              <w:pStyle w:val="a9"/>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身份鉴别、访问控制、安全审计、剩余信息保护、入侵防范、恶意代码防范、资源控制</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w:t>
            </w:r>
          </w:p>
        </w:tc>
        <w:tc>
          <w:tcPr>
            <w:tcW w:w="2268"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数据库安全</w:t>
            </w:r>
          </w:p>
        </w:tc>
        <w:tc>
          <w:tcPr>
            <w:tcW w:w="5579" w:type="dxa"/>
            <w:shd w:val="clear" w:color="auto" w:fill="auto"/>
            <w:vAlign w:val="center"/>
          </w:tcPr>
          <w:p w:rsidR="00047E39" w:rsidRDefault="00000000">
            <w:pPr>
              <w:pStyle w:val="a9"/>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身份鉴别、访问控制、安全审计、剩余信息保护、入侵防范</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w:t>
            </w:r>
          </w:p>
        </w:tc>
        <w:tc>
          <w:tcPr>
            <w:tcW w:w="2268"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中间件安全</w:t>
            </w:r>
          </w:p>
        </w:tc>
        <w:tc>
          <w:tcPr>
            <w:tcW w:w="5579" w:type="dxa"/>
            <w:shd w:val="clear" w:color="auto" w:fill="auto"/>
            <w:vAlign w:val="center"/>
          </w:tcPr>
          <w:p w:rsidR="00047E39" w:rsidRDefault="00000000">
            <w:pPr>
              <w:pStyle w:val="a9"/>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身份鉴别、访问控制、安全审计、剩余信息保护、入侵防范</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w:t>
            </w:r>
          </w:p>
        </w:tc>
        <w:tc>
          <w:tcPr>
            <w:tcW w:w="2268"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应用安全</w:t>
            </w:r>
          </w:p>
        </w:tc>
        <w:tc>
          <w:tcPr>
            <w:tcW w:w="5579" w:type="dxa"/>
            <w:shd w:val="clear" w:color="auto" w:fill="auto"/>
            <w:vAlign w:val="center"/>
          </w:tcPr>
          <w:p w:rsidR="00047E39" w:rsidRDefault="00000000">
            <w:pPr>
              <w:pStyle w:val="a9"/>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身份鉴别、访问控制、安全审计、剩余信息</w:t>
            </w:r>
            <w:r>
              <w:rPr>
                <w:rFonts w:ascii="仿宋_GB2312" w:eastAsia="仿宋_GB2312" w:hAnsi="仿宋_GB2312" w:cs="仿宋_GB2312" w:hint="eastAsia"/>
                <w:sz w:val="28"/>
                <w:szCs w:val="28"/>
              </w:rPr>
              <w:lastRenderedPageBreak/>
              <w:t>保护、通信完整性、通信保密性、抗抵赖、软件容错、资源控制、代码质量、后台安全、页面篡改</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lastRenderedPageBreak/>
              <w:t>5</w:t>
            </w:r>
          </w:p>
        </w:tc>
        <w:tc>
          <w:tcPr>
            <w:tcW w:w="2268"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数据安全</w:t>
            </w:r>
          </w:p>
        </w:tc>
        <w:tc>
          <w:tcPr>
            <w:tcW w:w="5579" w:type="dxa"/>
            <w:shd w:val="clear" w:color="auto" w:fill="auto"/>
            <w:vAlign w:val="center"/>
          </w:tcPr>
          <w:p w:rsidR="00047E39" w:rsidRDefault="00000000">
            <w:pPr>
              <w:pStyle w:val="a9"/>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数据完整性、数据保密性、备份与恢复</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w:t>
            </w:r>
          </w:p>
        </w:tc>
        <w:tc>
          <w:tcPr>
            <w:tcW w:w="2268"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漏洞扫描和渗透测试</w:t>
            </w:r>
          </w:p>
        </w:tc>
        <w:tc>
          <w:tcPr>
            <w:tcW w:w="5579" w:type="dxa"/>
            <w:shd w:val="clear" w:color="auto" w:fill="auto"/>
            <w:vAlign w:val="center"/>
          </w:tcPr>
          <w:p w:rsidR="00047E39" w:rsidRDefault="00000000">
            <w:pPr>
              <w:pStyle w:val="a9"/>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使用漏扫工具对应用系统、主机等进行漏洞扫描，检测系统、主机存在的安全漏洞。根据开源web应用安全项目（OWASP）等国际渗透测试标准，对应用系统进行渗透测试，发现系统存在的漏洞和验证漏扫的安全漏洞是否有效。</w:t>
            </w:r>
          </w:p>
        </w:tc>
      </w:tr>
    </w:tbl>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渗透测试内容应包括：</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2205"/>
        <w:gridCol w:w="5428"/>
      </w:tblGrid>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b/>
                <w:sz w:val="28"/>
                <w:szCs w:val="28"/>
              </w:rPr>
            </w:pPr>
            <w:r>
              <w:rPr>
                <w:rFonts w:ascii="仿宋_GB2312" w:eastAsia="仿宋_GB2312" w:hAnsi="仿宋_GB2312" w:cs="仿宋_GB2312" w:hint="eastAsia"/>
                <w:b/>
                <w:sz w:val="28"/>
                <w:szCs w:val="28"/>
              </w:rPr>
              <w:t>序号</w:t>
            </w:r>
          </w:p>
        </w:tc>
        <w:tc>
          <w:tcPr>
            <w:tcW w:w="2268" w:type="dxa"/>
            <w:shd w:val="clear" w:color="auto" w:fill="auto"/>
            <w:vAlign w:val="center"/>
          </w:tcPr>
          <w:p w:rsidR="00047E39" w:rsidRDefault="00000000">
            <w:pPr>
              <w:pStyle w:val="a9"/>
              <w:jc w:val="center"/>
              <w:rPr>
                <w:rFonts w:ascii="仿宋_GB2312" w:eastAsia="仿宋_GB2312" w:hAnsi="仿宋_GB2312" w:cs="仿宋_GB2312" w:hint="eastAsia"/>
                <w:b/>
                <w:sz w:val="28"/>
                <w:szCs w:val="28"/>
              </w:rPr>
            </w:pPr>
            <w:r>
              <w:rPr>
                <w:rFonts w:ascii="仿宋_GB2312" w:eastAsia="仿宋_GB2312" w:hAnsi="仿宋_GB2312" w:cs="仿宋_GB2312" w:hint="eastAsia"/>
                <w:b/>
                <w:sz w:val="28"/>
                <w:szCs w:val="28"/>
              </w:rPr>
              <w:t>测试层面</w:t>
            </w: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b/>
                <w:sz w:val="28"/>
                <w:szCs w:val="28"/>
              </w:rPr>
            </w:pPr>
            <w:r>
              <w:rPr>
                <w:rFonts w:ascii="仿宋_GB2312" w:eastAsia="仿宋_GB2312" w:hAnsi="仿宋_GB2312" w:cs="仿宋_GB2312" w:hint="eastAsia"/>
                <w:b/>
                <w:sz w:val="28"/>
                <w:szCs w:val="28"/>
              </w:rPr>
              <w:t>测试项目</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w:t>
            </w:r>
          </w:p>
        </w:tc>
        <w:tc>
          <w:tcPr>
            <w:tcW w:w="2268" w:type="dxa"/>
            <w:vMerge w:val="restart"/>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渗透测试</w:t>
            </w: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注入</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w:t>
            </w:r>
          </w:p>
        </w:tc>
        <w:tc>
          <w:tcPr>
            <w:tcW w:w="2268" w:type="dxa"/>
            <w:vMerge/>
            <w:shd w:val="clear" w:color="auto" w:fill="auto"/>
          </w:tcPr>
          <w:p w:rsidR="00047E39" w:rsidRDefault="00047E39">
            <w:pPr>
              <w:pStyle w:val="a9"/>
              <w:jc w:val="center"/>
              <w:rPr>
                <w:rFonts w:ascii="仿宋_GB2312" w:eastAsia="仿宋_GB2312" w:hAnsi="仿宋_GB2312" w:cs="仿宋_GB2312" w:hint="eastAsia"/>
                <w:sz w:val="28"/>
                <w:szCs w:val="28"/>
              </w:rPr>
            </w:pP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失效的身份认证和会话管理</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w:t>
            </w:r>
          </w:p>
        </w:tc>
        <w:tc>
          <w:tcPr>
            <w:tcW w:w="2268" w:type="dxa"/>
            <w:vMerge/>
            <w:shd w:val="clear" w:color="auto" w:fill="auto"/>
          </w:tcPr>
          <w:p w:rsidR="00047E39" w:rsidRDefault="00047E39">
            <w:pPr>
              <w:pStyle w:val="a9"/>
              <w:jc w:val="center"/>
              <w:rPr>
                <w:rFonts w:ascii="仿宋_GB2312" w:eastAsia="仿宋_GB2312" w:hAnsi="仿宋_GB2312" w:cs="仿宋_GB2312" w:hint="eastAsia"/>
                <w:sz w:val="28"/>
                <w:szCs w:val="28"/>
              </w:rPr>
            </w:pP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跨站脚本（XSS）</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w:t>
            </w:r>
          </w:p>
        </w:tc>
        <w:tc>
          <w:tcPr>
            <w:tcW w:w="2268" w:type="dxa"/>
            <w:vMerge/>
            <w:shd w:val="clear" w:color="auto" w:fill="auto"/>
          </w:tcPr>
          <w:p w:rsidR="00047E39" w:rsidRDefault="00047E39">
            <w:pPr>
              <w:pStyle w:val="a9"/>
              <w:jc w:val="center"/>
              <w:rPr>
                <w:rFonts w:ascii="仿宋_GB2312" w:eastAsia="仿宋_GB2312" w:hAnsi="仿宋_GB2312" w:cs="仿宋_GB2312" w:hint="eastAsia"/>
                <w:sz w:val="28"/>
                <w:szCs w:val="28"/>
              </w:rPr>
            </w:pP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不安全的直接对象引用</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5</w:t>
            </w:r>
          </w:p>
        </w:tc>
        <w:tc>
          <w:tcPr>
            <w:tcW w:w="2268" w:type="dxa"/>
            <w:vMerge/>
            <w:shd w:val="clear" w:color="auto" w:fill="auto"/>
          </w:tcPr>
          <w:p w:rsidR="00047E39" w:rsidRDefault="00047E39">
            <w:pPr>
              <w:pStyle w:val="a9"/>
              <w:jc w:val="center"/>
              <w:rPr>
                <w:rFonts w:ascii="仿宋_GB2312" w:eastAsia="仿宋_GB2312" w:hAnsi="仿宋_GB2312" w:cs="仿宋_GB2312" w:hint="eastAsia"/>
                <w:sz w:val="28"/>
                <w:szCs w:val="28"/>
              </w:rPr>
            </w:pP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安全配置错误</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w:t>
            </w:r>
          </w:p>
        </w:tc>
        <w:tc>
          <w:tcPr>
            <w:tcW w:w="2268" w:type="dxa"/>
            <w:vMerge/>
            <w:shd w:val="clear" w:color="auto" w:fill="auto"/>
          </w:tcPr>
          <w:p w:rsidR="00047E39" w:rsidRDefault="00047E39">
            <w:pPr>
              <w:pStyle w:val="a9"/>
              <w:jc w:val="center"/>
              <w:rPr>
                <w:rFonts w:ascii="仿宋_GB2312" w:eastAsia="仿宋_GB2312" w:hAnsi="仿宋_GB2312" w:cs="仿宋_GB2312" w:hint="eastAsia"/>
                <w:sz w:val="28"/>
                <w:szCs w:val="28"/>
              </w:rPr>
            </w:pP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敏感信息泄露</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7</w:t>
            </w:r>
          </w:p>
        </w:tc>
        <w:tc>
          <w:tcPr>
            <w:tcW w:w="2268" w:type="dxa"/>
            <w:vMerge/>
            <w:shd w:val="clear" w:color="auto" w:fill="auto"/>
          </w:tcPr>
          <w:p w:rsidR="00047E39" w:rsidRDefault="00047E39">
            <w:pPr>
              <w:pStyle w:val="a9"/>
              <w:jc w:val="center"/>
              <w:rPr>
                <w:rFonts w:ascii="仿宋_GB2312" w:eastAsia="仿宋_GB2312" w:hAnsi="仿宋_GB2312" w:cs="仿宋_GB2312" w:hint="eastAsia"/>
                <w:sz w:val="28"/>
                <w:szCs w:val="28"/>
              </w:rPr>
            </w:pP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功能级访问控制缺失</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8</w:t>
            </w:r>
          </w:p>
        </w:tc>
        <w:tc>
          <w:tcPr>
            <w:tcW w:w="2268" w:type="dxa"/>
            <w:vMerge/>
            <w:shd w:val="clear" w:color="auto" w:fill="auto"/>
          </w:tcPr>
          <w:p w:rsidR="00047E39" w:rsidRDefault="00047E39">
            <w:pPr>
              <w:pStyle w:val="a9"/>
              <w:jc w:val="center"/>
              <w:rPr>
                <w:rFonts w:ascii="仿宋_GB2312" w:eastAsia="仿宋_GB2312" w:hAnsi="仿宋_GB2312" w:cs="仿宋_GB2312" w:hint="eastAsia"/>
                <w:sz w:val="28"/>
                <w:szCs w:val="28"/>
              </w:rPr>
            </w:pP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跨站请求伪造（CSRF）</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9</w:t>
            </w:r>
          </w:p>
        </w:tc>
        <w:tc>
          <w:tcPr>
            <w:tcW w:w="2268" w:type="dxa"/>
            <w:vMerge/>
            <w:shd w:val="clear" w:color="auto" w:fill="auto"/>
          </w:tcPr>
          <w:p w:rsidR="00047E39" w:rsidRDefault="00047E39">
            <w:pPr>
              <w:pStyle w:val="a9"/>
              <w:jc w:val="center"/>
              <w:rPr>
                <w:rFonts w:ascii="仿宋_GB2312" w:eastAsia="仿宋_GB2312" w:hAnsi="仿宋_GB2312" w:cs="仿宋_GB2312" w:hint="eastAsia"/>
                <w:sz w:val="28"/>
                <w:szCs w:val="28"/>
              </w:rPr>
            </w:pP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使用含有已知漏洞的组件</w:t>
            </w:r>
          </w:p>
        </w:tc>
      </w:tr>
      <w:tr w:rsidR="00047E39">
        <w:trPr>
          <w:trHeight w:val="397"/>
        </w:trPr>
        <w:tc>
          <w:tcPr>
            <w:tcW w:w="675"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lastRenderedPageBreak/>
              <w:t>10</w:t>
            </w:r>
          </w:p>
        </w:tc>
        <w:tc>
          <w:tcPr>
            <w:tcW w:w="2268" w:type="dxa"/>
            <w:vMerge/>
            <w:shd w:val="clear" w:color="auto" w:fill="auto"/>
          </w:tcPr>
          <w:p w:rsidR="00047E39" w:rsidRDefault="00047E39">
            <w:pPr>
              <w:pStyle w:val="a9"/>
              <w:jc w:val="center"/>
              <w:rPr>
                <w:rFonts w:ascii="仿宋_GB2312" w:eastAsia="仿宋_GB2312" w:hAnsi="仿宋_GB2312" w:cs="仿宋_GB2312" w:hint="eastAsia"/>
                <w:sz w:val="28"/>
                <w:szCs w:val="28"/>
              </w:rPr>
            </w:pPr>
          </w:p>
        </w:tc>
        <w:tc>
          <w:tcPr>
            <w:tcW w:w="5579" w:type="dxa"/>
            <w:shd w:val="clear" w:color="auto" w:fill="auto"/>
            <w:vAlign w:val="center"/>
          </w:tcPr>
          <w:p w:rsidR="00047E39" w:rsidRDefault="00000000">
            <w:pPr>
              <w:pStyle w:val="a9"/>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未验证的重定向和转发</w:t>
            </w:r>
          </w:p>
        </w:tc>
      </w:tr>
    </w:tbl>
    <w:p w:rsidR="00047E39" w:rsidRDefault="00000000">
      <w:pPr>
        <w:pStyle w:val="a"/>
        <w:numPr>
          <w:ilvl w:val="0"/>
          <w:numId w:val="0"/>
        </w:numPr>
        <w:spacing w:line="360" w:lineRule="auto"/>
        <w:jc w:val="both"/>
        <w:rPr>
          <w:rFonts w:ascii="仿宋_GB2312" w:eastAsia="仿宋_GB2312" w:hAnsi="仿宋_GB2312" w:cs="仿宋_GB2312" w:hint="eastAsia"/>
          <w:b/>
          <w:sz w:val="28"/>
          <w:szCs w:val="28"/>
        </w:rPr>
      </w:pPr>
      <w:bookmarkStart w:id="17" w:name="_Toc152283602"/>
      <w:bookmarkStart w:id="18" w:name="_Toc1216106850"/>
      <w:bookmarkStart w:id="19" w:name="_Toc10873"/>
      <w:r>
        <w:rPr>
          <w:rFonts w:ascii="仿宋_GB2312" w:eastAsia="仿宋_GB2312" w:hAnsi="仿宋_GB2312" w:cs="仿宋_GB2312" w:hint="eastAsia"/>
          <w:b/>
          <w:sz w:val="28"/>
          <w:szCs w:val="28"/>
        </w:rPr>
        <w:t>2.6.1主机并网安全测评技术要求</w:t>
      </w:r>
      <w:bookmarkEnd w:id="17"/>
      <w:bookmarkEnd w:id="18"/>
      <w:bookmarkEnd w:id="19"/>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20" w:name="_Toc152283603"/>
      <w:bookmarkStart w:id="21" w:name="_Toc1505959451"/>
      <w:bookmarkStart w:id="22" w:name="_Toc349205170"/>
      <w:bookmarkStart w:id="23" w:name="_Toc11255"/>
      <w:r>
        <w:rPr>
          <w:rFonts w:ascii="仿宋_GB2312" w:eastAsia="仿宋_GB2312" w:hAnsi="仿宋_GB2312" w:cs="仿宋_GB2312" w:hint="eastAsia"/>
          <w:b/>
          <w:sz w:val="28"/>
          <w:szCs w:val="28"/>
        </w:rPr>
        <w:t>2.6.1.1身份鉴别</w:t>
      </w:r>
      <w:bookmarkEnd w:id="20"/>
      <w:bookmarkEnd w:id="21"/>
      <w:bookmarkEnd w:id="22"/>
      <w:bookmarkEnd w:id="23"/>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1）应对登录的用户进行身份标识和鉴别，身份标识具有唯一性，身份鉴别信息具有复杂度要求并定期更换；</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2）应具有登录失败处理功能，应配置并启用结束会话、限制非法登录次数和当登录连接超时自动退出等相关措施；</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3）当进行远程管理时，应采取必要措施防止鉴别信息在网络传输过程中被窃听；</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24" w:name="_Toc349205171"/>
      <w:bookmarkStart w:id="25" w:name="_Toc152283604"/>
      <w:bookmarkStart w:id="26" w:name="_Toc418229415"/>
      <w:bookmarkStart w:id="27" w:name="_Toc17010"/>
      <w:r>
        <w:rPr>
          <w:rFonts w:ascii="仿宋_GB2312" w:eastAsia="仿宋_GB2312" w:hAnsi="仿宋_GB2312" w:cs="仿宋_GB2312" w:hint="eastAsia"/>
          <w:b/>
          <w:sz w:val="28"/>
          <w:szCs w:val="28"/>
        </w:rPr>
        <w:t>2.6.1.2访问控制</w:t>
      </w:r>
      <w:bookmarkEnd w:id="24"/>
      <w:bookmarkEnd w:id="25"/>
      <w:bookmarkEnd w:id="26"/>
      <w:bookmarkEnd w:id="27"/>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1）应对登录的用户分配账户和权限；</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2）应重命名或删除默认账户，修改默认账户的默认口令；</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3）应及时删除或停用多余的、过期的账户，避免共享账户的存在；</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28" w:name="_Toc12940"/>
      <w:bookmarkStart w:id="29" w:name="_Toc349205172"/>
      <w:bookmarkStart w:id="30" w:name="_Toc467801274"/>
      <w:bookmarkStart w:id="31" w:name="_Toc152283605"/>
      <w:r>
        <w:rPr>
          <w:rFonts w:ascii="仿宋_GB2312" w:eastAsia="仿宋_GB2312" w:hAnsi="仿宋_GB2312" w:cs="仿宋_GB2312" w:hint="eastAsia"/>
          <w:b/>
          <w:sz w:val="28"/>
          <w:szCs w:val="28"/>
        </w:rPr>
        <w:t>2.6.1.3安全审计</w:t>
      </w:r>
      <w:bookmarkEnd w:id="28"/>
      <w:bookmarkEnd w:id="29"/>
      <w:bookmarkEnd w:id="30"/>
      <w:bookmarkEnd w:id="31"/>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1）应启用安全审计功能，审计覆盖到每个用户，对重要的用户行为和重要安全事件进行审计；</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2）审计记录应包括事件的日期和时间、用户、事件类型、事件是否成功及其他与审计相关的信息；</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3）应对审计记录进行保护，定期备份，避免受到未预期的删除、修改或覆盖等；</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32" w:name="_Toc398380451"/>
      <w:bookmarkStart w:id="33" w:name="_Toc349205173"/>
      <w:bookmarkStart w:id="34" w:name="_Toc152283606"/>
      <w:bookmarkStart w:id="35" w:name="_Toc31305"/>
      <w:r>
        <w:rPr>
          <w:rFonts w:ascii="仿宋_GB2312" w:eastAsia="仿宋_GB2312" w:hAnsi="仿宋_GB2312" w:cs="仿宋_GB2312" w:hint="eastAsia"/>
          <w:b/>
          <w:sz w:val="28"/>
          <w:szCs w:val="28"/>
        </w:rPr>
        <w:t>2.6.1.4入侵防范</w:t>
      </w:r>
      <w:bookmarkEnd w:id="32"/>
      <w:bookmarkEnd w:id="33"/>
      <w:bookmarkEnd w:id="34"/>
      <w:bookmarkEnd w:id="35"/>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lastRenderedPageBreak/>
        <w:t>1）应遵循最小安装的原则，仅安装需要的组件和应用程序。</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2）应关闭不需要的系统服务、默认共享和高危端口；</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3）应能发现可能存在的已知漏洞，并在经过充分测试评估后，及时修补漏洞；</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36" w:name="_Toc152283607"/>
      <w:bookmarkStart w:id="37" w:name="_Toc1873712258"/>
      <w:bookmarkStart w:id="38" w:name="_Toc349205174"/>
      <w:bookmarkStart w:id="39" w:name="_Toc743"/>
      <w:r>
        <w:rPr>
          <w:rFonts w:ascii="仿宋_GB2312" w:eastAsia="仿宋_GB2312" w:hAnsi="仿宋_GB2312" w:cs="仿宋_GB2312" w:hint="eastAsia"/>
          <w:b/>
          <w:sz w:val="28"/>
          <w:szCs w:val="28"/>
        </w:rPr>
        <w:t>2.6.1.5恶意代码防范</w:t>
      </w:r>
      <w:bookmarkEnd w:id="36"/>
      <w:bookmarkEnd w:id="37"/>
      <w:bookmarkEnd w:id="38"/>
      <w:bookmarkEnd w:id="39"/>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1）应采用免受恶意代码攻击的技术措施或主动免疫可信验证机制及时识别入侵和病毒行为，并将其有效阻断；</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40" w:name="_Toc4542"/>
      <w:bookmarkStart w:id="41" w:name="_Toc781720598"/>
      <w:bookmarkStart w:id="42" w:name="_Toc152283608"/>
      <w:r>
        <w:rPr>
          <w:rFonts w:ascii="仿宋_GB2312" w:eastAsia="仿宋_GB2312" w:hAnsi="仿宋_GB2312" w:cs="仿宋_GB2312" w:hint="eastAsia"/>
          <w:b/>
          <w:sz w:val="28"/>
          <w:szCs w:val="28"/>
        </w:rPr>
        <w:t>2.6.1.6可信验证</w:t>
      </w:r>
      <w:bookmarkEnd w:id="40"/>
      <w:bookmarkEnd w:id="41"/>
      <w:bookmarkEnd w:id="42"/>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可基于可信根对计算设备的系统引导程序、系统程序、重要配置参数和应用程序等进行可信验证，并在应用程序的关键执行环节进行动态可信验证，在检测到其可信性受到破坏后进行报警，并将验证结果形成审计记录送至安全管理中心。</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43" w:name="_Toc152283609"/>
      <w:bookmarkStart w:id="44" w:name="_Toc21138"/>
      <w:bookmarkStart w:id="45" w:name="_Toc73138240"/>
      <w:r>
        <w:rPr>
          <w:rFonts w:ascii="仿宋_GB2312" w:eastAsia="仿宋_GB2312" w:hAnsi="仿宋_GB2312" w:cs="仿宋_GB2312" w:hint="eastAsia"/>
          <w:b/>
          <w:sz w:val="28"/>
          <w:szCs w:val="28"/>
        </w:rPr>
        <w:t>2.6.1.7安全监控</w:t>
      </w:r>
      <w:bookmarkEnd w:id="43"/>
      <w:bookmarkEnd w:id="44"/>
      <w:bookmarkEnd w:id="45"/>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1）应安装G01安全防护系统、基线配置核查系统；</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2）应接入IOS系统运行监控系统；</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3）应安装补丁管理工具。</w:t>
      </w:r>
    </w:p>
    <w:p w:rsidR="00047E39" w:rsidRDefault="00000000">
      <w:pPr>
        <w:pStyle w:val="a"/>
        <w:numPr>
          <w:ilvl w:val="0"/>
          <w:numId w:val="0"/>
        </w:numPr>
        <w:spacing w:line="360" w:lineRule="auto"/>
        <w:jc w:val="both"/>
        <w:rPr>
          <w:rFonts w:ascii="仿宋_GB2312" w:eastAsia="仿宋_GB2312" w:hAnsi="仿宋_GB2312" w:cs="仿宋_GB2312" w:hint="eastAsia"/>
          <w:b/>
          <w:sz w:val="28"/>
          <w:szCs w:val="28"/>
        </w:rPr>
      </w:pPr>
      <w:bookmarkStart w:id="46" w:name="_Toc20929"/>
      <w:bookmarkStart w:id="47" w:name="_Toc152283610"/>
      <w:bookmarkStart w:id="48" w:name="_Toc873753596"/>
      <w:r>
        <w:rPr>
          <w:rFonts w:ascii="仿宋_GB2312" w:eastAsia="仿宋_GB2312" w:hAnsi="仿宋_GB2312" w:cs="仿宋_GB2312" w:hint="eastAsia"/>
          <w:b/>
          <w:sz w:val="28"/>
          <w:szCs w:val="28"/>
        </w:rPr>
        <w:t>2.6.2数据库并网安全测评技术要求</w:t>
      </w:r>
      <w:bookmarkEnd w:id="46"/>
      <w:bookmarkEnd w:id="47"/>
      <w:bookmarkEnd w:id="48"/>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49" w:name="_Toc12831"/>
      <w:bookmarkStart w:id="50" w:name="_Toc152283611"/>
      <w:bookmarkStart w:id="51" w:name="_Toc683509786"/>
      <w:r>
        <w:rPr>
          <w:rFonts w:ascii="仿宋_GB2312" w:eastAsia="仿宋_GB2312" w:hAnsi="仿宋_GB2312" w:cs="仿宋_GB2312" w:hint="eastAsia"/>
          <w:b/>
          <w:sz w:val="28"/>
          <w:szCs w:val="28"/>
        </w:rPr>
        <w:t>2.6.2.1身份鉴别</w:t>
      </w:r>
      <w:bookmarkEnd w:id="49"/>
      <w:bookmarkEnd w:id="50"/>
      <w:bookmarkEnd w:id="51"/>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1）应对登录的用户进行身份标识和鉴别，身份标识具有唯一性，身份鉴别信息具有复杂度要求并定期更换；</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2）应具有登录失败处理功能，应配置并启用结束会话、限制非法登录次数和当登录连接超时自动退出等相关措施；</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lastRenderedPageBreak/>
        <w:t>3）当进行远程管理时，应采取必要措施防止鉴别信息在网络传输过程中被窃听；</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52" w:name="_Toc20083"/>
      <w:bookmarkStart w:id="53" w:name="_Toc152283612"/>
      <w:bookmarkStart w:id="54" w:name="_Toc858945499"/>
      <w:r>
        <w:rPr>
          <w:rFonts w:ascii="仿宋_GB2312" w:eastAsia="仿宋_GB2312" w:hAnsi="仿宋_GB2312" w:cs="仿宋_GB2312" w:hint="eastAsia"/>
          <w:b/>
          <w:sz w:val="28"/>
          <w:szCs w:val="28"/>
        </w:rPr>
        <w:t>2.6.2.2访问控制</w:t>
      </w:r>
      <w:bookmarkEnd w:id="52"/>
      <w:bookmarkEnd w:id="53"/>
      <w:bookmarkEnd w:id="54"/>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1）应对登录的用户分配账户和权限；</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2）应重命名或删除默认账户，修改默认账户的默认口令；</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3）应及时删除或停用多余的、过期的账户，避免共享账户的存在；</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55" w:name="_Toc911926559"/>
      <w:bookmarkStart w:id="56" w:name="_Toc31651"/>
      <w:bookmarkStart w:id="57" w:name="_Toc152283613"/>
      <w:r>
        <w:rPr>
          <w:rFonts w:ascii="仿宋_GB2312" w:eastAsia="仿宋_GB2312" w:hAnsi="仿宋_GB2312" w:cs="仿宋_GB2312" w:hint="eastAsia"/>
          <w:b/>
          <w:sz w:val="28"/>
          <w:szCs w:val="28"/>
        </w:rPr>
        <w:t>2.6.2.3安全审计</w:t>
      </w:r>
      <w:bookmarkEnd w:id="55"/>
      <w:bookmarkEnd w:id="56"/>
      <w:bookmarkEnd w:id="57"/>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1）应启用安全审计功能，审计覆盖到每个用户，对重要的用户行为和重要安全事件进行审计；</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2）审计记录应包括事件的日期和时间、用户、事件类型、事件是否成功及其他与审计相关的信息；</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3）应对审计记录进行保护，定期备份，避免受到未预期的删除、修改或覆盖等；</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58" w:name="_Toc32316"/>
      <w:bookmarkStart w:id="59" w:name="_Toc158888474"/>
      <w:bookmarkStart w:id="60" w:name="_Toc152283614"/>
      <w:r>
        <w:rPr>
          <w:rFonts w:ascii="仿宋_GB2312" w:eastAsia="仿宋_GB2312" w:hAnsi="仿宋_GB2312" w:cs="仿宋_GB2312" w:hint="eastAsia"/>
          <w:b/>
          <w:sz w:val="28"/>
          <w:szCs w:val="28"/>
        </w:rPr>
        <w:t>2.6.2.4入侵防范</w:t>
      </w:r>
      <w:bookmarkEnd w:id="58"/>
      <w:bookmarkEnd w:id="59"/>
      <w:bookmarkEnd w:id="60"/>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1）应通过设定终端接入方式或网络地址范围对通过网络进行管理的管理终端进行限制；</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2）应能发现可能存在的已知漏洞，并在经过充分测试评估后，及时修补漏洞。</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61" w:name="_Toc26082"/>
      <w:bookmarkStart w:id="62" w:name="_Toc152283615"/>
      <w:bookmarkStart w:id="63" w:name="_Toc1116409297"/>
      <w:r>
        <w:rPr>
          <w:rFonts w:ascii="仿宋_GB2312" w:eastAsia="仿宋_GB2312" w:hAnsi="仿宋_GB2312" w:cs="仿宋_GB2312" w:hint="eastAsia"/>
          <w:b/>
          <w:sz w:val="28"/>
          <w:szCs w:val="28"/>
        </w:rPr>
        <w:t>2.6.2.5数据备份恢复</w:t>
      </w:r>
      <w:bookmarkEnd w:id="61"/>
      <w:bookmarkEnd w:id="62"/>
      <w:bookmarkEnd w:id="63"/>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1）应提供重要数据的本地数据备份与恢复功能；</w:t>
      </w:r>
    </w:p>
    <w:p w:rsidR="00047E39" w:rsidRDefault="00000000">
      <w:pPr>
        <w:pStyle w:val="a"/>
        <w:numPr>
          <w:ilvl w:val="0"/>
          <w:numId w:val="0"/>
        </w:numPr>
        <w:spacing w:line="360" w:lineRule="auto"/>
        <w:jc w:val="both"/>
        <w:rPr>
          <w:rFonts w:ascii="仿宋_GB2312" w:eastAsia="仿宋_GB2312" w:hAnsi="仿宋_GB2312" w:cs="仿宋_GB2312" w:hint="eastAsia"/>
          <w:b/>
          <w:sz w:val="28"/>
          <w:szCs w:val="28"/>
        </w:rPr>
      </w:pPr>
      <w:bookmarkStart w:id="64" w:name="_Toc152283616"/>
      <w:bookmarkStart w:id="65" w:name="_Toc30417"/>
      <w:bookmarkStart w:id="66" w:name="_Toc926430840"/>
      <w:r>
        <w:rPr>
          <w:rFonts w:ascii="仿宋_GB2312" w:eastAsia="仿宋_GB2312" w:hAnsi="仿宋_GB2312" w:cs="仿宋_GB2312" w:hint="eastAsia"/>
          <w:b/>
          <w:sz w:val="28"/>
          <w:szCs w:val="28"/>
        </w:rPr>
        <w:t>2.6.3中间件并网安全测评技术要求</w:t>
      </w:r>
      <w:bookmarkEnd w:id="64"/>
      <w:bookmarkEnd w:id="65"/>
      <w:bookmarkEnd w:id="66"/>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67" w:name="_Toc1266687130"/>
      <w:bookmarkStart w:id="68" w:name="_Toc27090"/>
      <w:bookmarkStart w:id="69" w:name="_Toc152283617"/>
      <w:r>
        <w:rPr>
          <w:rFonts w:ascii="仿宋_GB2312" w:eastAsia="仿宋_GB2312" w:hAnsi="仿宋_GB2312" w:cs="仿宋_GB2312" w:hint="eastAsia"/>
          <w:b/>
          <w:sz w:val="28"/>
          <w:szCs w:val="28"/>
        </w:rPr>
        <w:lastRenderedPageBreak/>
        <w:t>2.6.3.1身份鉴别</w:t>
      </w:r>
      <w:bookmarkEnd w:id="67"/>
      <w:bookmarkEnd w:id="68"/>
      <w:bookmarkEnd w:id="69"/>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1）应对登录的用户进行身份标识和鉴别，身份标识具有唯一性，身份鉴别信息具有复杂度要求并定期更换；</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2）应具有登录失败处理功能，应配置并启用结束会话、限制非法登录次数和当登录连接超时自动退出等相关措施；</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70" w:name="_Toc152283618"/>
      <w:bookmarkStart w:id="71" w:name="_Toc26387"/>
      <w:bookmarkStart w:id="72" w:name="_Toc1205201199"/>
      <w:r>
        <w:rPr>
          <w:rFonts w:ascii="仿宋_GB2312" w:eastAsia="仿宋_GB2312" w:hAnsi="仿宋_GB2312" w:cs="仿宋_GB2312" w:hint="eastAsia"/>
          <w:b/>
          <w:sz w:val="28"/>
          <w:szCs w:val="28"/>
        </w:rPr>
        <w:t>2.6.3.2访问控制</w:t>
      </w:r>
      <w:bookmarkEnd w:id="70"/>
      <w:bookmarkEnd w:id="71"/>
      <w:bookmarkEnd w:id="72"/>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1）应对登录的用户分配账户和权限；</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2）应重命名或删除默认账户，修改默认账户的默认口令；</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3）应及时删除或停用多余的、过期的账户，避免共享账户的存在；</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4）应授予管理用户所需的最小权限，实现管理用户的权限分离；</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73" w:name="_Toc152283619"/>
      <w:bookmarkStart w:id="74" w:name="_Toc750793089"/>
      <w:bookmarkStart w:id="75" w:name="_Toc21872"/>
      <w:r>
        <w:rPr>
          <w:rFonts w:ascii="仿宋_GB2312" w:eastAsia="仿宋_GB2312" w:hAnsi="仿宋_GB2312" w:cs="仿宋_GB2312" w:hint="eastAsia"/>
          <w:b/>
          <w:sz w:val="28"/>
          <w:szCs w:val="28"/>
        </w:rPr>
        <w:t>2.6.3.3安全审计</w:t>
      </w:r>
      <w:bookmarkEnd w:id="73"/>
      <w:bookmarkEnd w:id="74"/>
      <w:bookmarkEnd w:id="75"/>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1）应启用安全审计功能，审计覆盖到每个用户，对重要的用户行为和重要安全事件进行审计；</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2）审计记录应包括事件的日期和时间、用户、事件类型、事件是否成功及其他与审计相关的信息；</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3）应对审计记录进行保护，定期备份，避免受到未预期的删除、修改或覆盖等；</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4）应对审计进程进行保护，防止未经授权的中断；</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76" w:name="_Toc2113020698"/>
      <w:bookmarkStart w:id="77" w:name="_Toc152283620"/>
      <w:bookmarkStart w:id="78" w:name="_Toc23852"/>
      <w:r>
        <w:rPr>
          <w:rFonts w:ascii="仿宋_GB2312" w:eastAsia="仿宋_GB2312" w:hAnsi="仿宋_GB2312" w:cs="仿宋_GB2312" w:hint="eastAsia"/>
          <w:b/>
          <w:sz w:val="28"/>
          <w:szCs w:val="28"/>
        </w:rPr>
        <w:t>2.6.3.4入侵防范</w:t>
      </w:r>
      <w:bookmarkEnd w:id="76"/>
      <w:bookmarkEnd w:id="77"/>
      <w:bookmarkEnd w:id="78"/>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1）应能发现可能存在的已知漏洞，并在经过充分测试评估后，及时修补漏洞。</w:t>
      </w:r>
    </w:p>
    <w:p w:rsidR="00047E39" w:rsidRDefault="00000000">
      <w:pPr>
        <w:pStyle w:val="a"/>
        <w:numPr>
          <w:ilvl w:val="0"/>
          <w:numId w:val="0"/>
        </w:numPr>
        <w:spacing w:line="360" w:lineRule="auto"/>
        <w:jc w:val="both"/>
        <w:rPr>
          <w:rFonts w:ascii="仿宋_GB2312" w:eastAsia="仿宋_GB2312" w:hAnsi="仿宋_GB2312" w:cs="仿宋_GB2312" w:hint="eastAsia"/>
          <w:b/>
          <w:sz w:val="28"/>
          <w:szCs w:val="28"/>
        </w:rPr>
      </w:pPr>
      <w:bookmarkStart w:id="79" w:name="_Toc601800847"/>
      <w:bookmarkStart w:id="80" w:name="_Toc32243"/>
      <w:bookmarkStart w:id="81" w:name="_Toc152283621"/>
      <w:r>
        <w:rPr>
          <w:rFonts w:ascii="仿宋_GB2312" w:eastAsia="仿宋_GB2312" w:hAnsi="仿宋_GB2312" w:cs="仿宋_GB2312" w:hint="eastAsia"/>
          <w:b/>
          <w:sz w:val="28"/>
          <w:szCs w:val="28"/>
        </w:rPr>
        <w:lastRenderedPageBreak/>
        <w:t>2.6.4应用并网安全测评技术要求</w:t>
      </w:r>
      <w:bookmarkEnd w:id="79"/>
      <w:bookmarkEnd w:id="80"/>
      <w:bookmarkEnd w:id="81"/>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82" w:name="_Toc1966341806"/>
      <w:bookmarkStart w:id="83" w:name="_Toc8793"/>
      <w:bookmarkStart w:id="84" w:name="_Toc152283622"/>
      <w:r>
        <w:rPr>
          <w:rFonts w:ascii="仿宋_GB2312" w:eastAsia="仿宋_GB2312" w:hAnsi="仿宋_GB2312" w:cs="仿宋_GB2312" w:hint="eastAsia"/>
          <w:b/>
          <w:sz w:val="28"/>
          <w:szCs w:val="28"/>
        </w:rPr>
        <w:t>2.6.4.1身份鉴别</w:t>
      </w:r>
      <w:bookmarkEnd w:id="82"/>
      <w:bookmarkEnd w:id="83"/>
      <w:bookmarkEnd w:id="84"/>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1）应对登录的用户进行身份标识和鉴别，身份标识具有唯一性，身份鉴别信息具有复杂度要求并定期更换；</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2）应具有登录失败处理功能，应配置并启用结束会话、限制非法登录次数和当登录连接超时自动退出等相关措施；</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85" w:name="_Toc152283623"/>
      <w:bookmarkStart w:id="86" w:name="_Toc21732"/>
      <w:bookmarkStart w:id="87" w:name="_Toc680889759"/>
      <w:r>
        <w:rPr>
          <w:rFonts w:ascii="仿宋_GB2312" w:eastAsia="仿宋_GB2312" w:hAnsi="仿宋_GB2312" w:cs="仿宋_GB2312" w:hint="eastAsia"/>
          <w:b/>
          <w:sz w:val="28"/>
          <w:szCs w:val="28"/>
        </w:rPr>
        <w:t>2.6.4.2访问控制</w:t>
      </w:r>
      <w:bookmarkEnd w:id="85"/>
      <w:bookmarkEnd w:id="86"/>
      <w:bookmarkEnd w:id="87"/>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1）应对登录的用户分配账户和权限；</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2）应重命名或删除默认账户，修改默认账户的默认口令；</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3）应及时删除或停用多余的、过期的账户，避免共享账户的存在；</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4）应授予管理用户所需的最小权限，实现管理用户的权限分离；</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88" w:name="_Toc1921308297"/>
      <w:bookmarkStart w:id="89" w:name="_Toc576"/>
      <w:bookmarkStart w:id="90" w:name="_Toc152283624"/>
      <w:r>
        <w:rPr>
          <w:rFonts w:ascii="仿宋_GB2312" w:eastAsia="仿宋_GB2312" w:hAnsi="仿宋_GB2312" w:cs="仿宋_GB2312" w:hint="eastAsia"/>
          <w:b/>
          <w:sz w:val="28"/>
          <w:szCs w:val="28"/>
        </w:rPr>
        <w:t>2.6.4.3安全审计</w:t>
      </w:r>
      <w:bookmarkEnd w:id="88"/>
      <w:bookmarkEnd w:id="89"/>
      <w:bookmarkEnd w:id="90"/>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1）应启用安全审计功能，审计覆盖到每个用户，对重要的用户行为和重要安全事件进行审计；</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2）审计记录应包括事件的日期和时间、用户、事件类型、事件是否成功及其他与审计相关的信息；</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3）应对审计记录进行保护，定期备份，避免受到未预期的删除、修改或覆盖等；</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91" w:name="_Toc32419"/>
      <w:bookmarkStart w:id="92" w:name="_Toc1864431387"/>
      <w:bookmarkStart w:id="93" w:name="_Toc152283625"/>
      <w:r>
        <w:rPr>
          <w:rFonts w:ascii="仿宋_GB2312" w:eastAsia="仿宋_GB2312" w:hAnsi="仿宋_GB2312" w:cs="仿宋_GB2312" w:hint="eastAsia"/>
          <w:b/>
          <w:sz w:val="28"/>
          <w:szCs w:val="28"/>
        </w:rPr>
        <w:t>2.6.4.4入侵防范</w:t>
      </w:r>
      <w:bookmarkEnd w:id="91"/>
      <w:bookmarkEnd w:id="92"/>
      <w:bookmarkEnd w:id="93"/>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1）应遵循最小安装的原则，仅安装需要的组件和应用程序；</w:t>
      </w:r>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2）应能发现可能存在的已知漏洞，并在经过充分测试评估后，</w:t>
      </w:r>
      <w:r>
        <w:rPr>
          <w:rFonts w:ascii="仿宋_GB2312" w:eastAsia="仿宋_GB2312" w:hAnsi="仿宋_GB2312" w:cs="仿宋_GB2312" w:hint="eastAsia"/>
          <w:sz w:val="28"/>
          <w:szCs w:val="28"/>
        </w:rPr>
        <w:lastRenderedPageBreak/>
        <w:t>及时修补漏洞。</w:t>
      </w:r>
    </w:p>
    <w:p w:rsidR="00047E39" w:rsidRDefault="00000000">
      <w:pPr>
        <w:pStyle w:val="a"/>
        <w:numPr>
          <w:ilvl w:val="0"/>
          <w:numId w:val="0"/>
        </w:numPr>
        <w:spacing w:line="360" w:lineRule="auto"/>
        <w:jc w:val="both"/>
        <w:rPr>
          <w:rFonts w:ascii="仿宋_GB2312" w:eastAsia="仿宋_GB2312" w:hAnsi="仿宋_GB2312" w:cs="仿宋_GB2312" w:hint="eastAsia"/>
          <w:b/>
          <w:sz w:val="28"/>
          <w:szCs w:val="28"/>
        </w:rPr>
      </w:pPr>
      <w:bookmarkStart w:id="94" w:name="_Toc1564427932"/>
      <w:bookmarkStart w:id="95" w:name="_Toc152283626"/>
      <w:bookmarkStart w:id="96" w:name="_Toc16840"/>
      <w:r>
        <w:rPr>
          <w:rFonts w:ascii="仿宋_GB2312" w:eastAsia="仿宋_GB2312" w:hAnsi="仿宋_GB2312" w:cs="仿宋_GB2312" w:hint="eastAsia"/>
          <w:b/>
          <w:sz w:val="28"/>
          <w:szCs w:val="28"/>
        </w:rPr>
        <w:t>2.6.5数据并网安全测评技术要求</w:t>
      </w:r>
      <w:bookmarkEnd w:id="94"/>
      <w:bookmarkEnd w:id="95"/>
      <w:bookmarkEnd w:id="96"/>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97" w:name="_Toc15965"/>
      <w:bookmarkStart w:id="98" w:name="_Toc1697962903"/>
      <w:bookmarkStart w:id="99" w:name="_Toc152283627"/>
      <w:r>
        <w:rPr>
          <w:rFonts w:ascii="仿宋_GB2312" w:eastAsia="仿宋_GB2312" w:hAnsi="仿宋_GB2312" w:cs="仿宋_GB2312" w:hint="eastAsia"/>
          <w:b/>
          <w:sz w:val="28"/>
          <w:szCs w:val="28"/>
        </w:rPr>
        <w:t>2.6.5.1数据完整性</w:t>
      </w:r>
      <w:bookmarkEnd w:id="97"/>
      <w:bookmarkEnd w:id="98"/>
      <w:bookmarkEnd w:id="99"/>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1）应采用校验技术或密码技术保证重要数据在传输过程中的完整性，包括但不限于鉴别数据、重要业务数据、重要审计数据、重要配置数据、重要视频数据和重要个人信息等；</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100" w:name="_Toc152283628"/>
      <w:bookmarkStart w:id="101" w:name="_Toc1899809385"/>
      <w:bookmarkStart w:id="102" w:name="_Toc27077"/>
      <w:r>
        <w:rPr>
          <w:rFonts w:ascii="仿宋_GB2312" w:eastAsia="仿宋_GB2312" w:hAnsi="仿宋_GB2312" w:cs="仿宋_GB2312" w:hint="eastAsia"/>
          <w:b/>
          <w:sz w:val="28"/>
          <w:szCs w:val="28"/>
        </w:rPr>
        <w:t>2.6.5.2数据备份恢复</w:t>
      </w:r>
      <w:bookmarkEnd w:id="100"/>
      <w:bookmarkEnd w:id="101"/>
      <w:bookmarkEnd w:id="102"/>
    </w:p>
    <w:p w:rsidR="00047E39" w:rsidRDefault="00000000">
      <w:pPr>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1）应提供重要数据的本地数据备份与恢复功能；</w:t>
      </w:r>
    </w:p>
    <w:p w:rsidR="00047E39" w:rsidRDefault="00000000">
      <w:pPr>
        <w:pStyle w:val="a"/>
        <w:numPr>
          <w:ilvl w:val="0"/>
          <w:numId w:val="0"/>
        </w:numPr>
        <w:spacing w:line="360" w:lineRule="auto"/>
        <w:jc w:val="both"/>
        <w:outlineLvl w:val="3"/>
        <w:rPr>
          <w:rFonts w:ascii="仿宋_GB2312" w:eastAsia="仿宋_GB2312" w:hAnsi="仿宋_GB2312" w:cs="仿宋_GB2312" w:hint="eastAsia"/>
          <w:b/>
          <w:sz w:val="28"/>
          <w:szCs w:val="28"/>
        </w:rPr>
      </w:pPr>
      <w:bookmarkStart w:id="103" w:name="_Toc27273"/>
      <w:bookmarkStart w:id="104" w:name="_Toc152283629"/>
      <w:bookmarkStart w:id="105" w:name="_Toc1309470099"/>
      <w:r>
        <w:rPr>
          <w:rFonts w:ascii="仿宋_GB2312" w:eastAsia="仿宋_GB2312" w:hAnsi="仿宋_GB2312" w:cs="仿宋_GB2312" w:hint="eastAsia"/>
          <w:b/>
          <w:sz w:val="28"/>
          <w:szCs w:val="28"/>
        </w:rPr>
        <w:t>2.6.5.3剩余信息保护</w:t>
      </w:r>
      <w:bookmarkEnd w:id="103"/>
      <w:bookmarkEnd w:id="104"/>
      <w:bookmarkEnd w:id="105"/>
    </w:p>
    <w:p w:rsidR="00047E39" w:rsidRDefault="00000000">
      <w:pPr>
        <w:adjustRightInd w:val="0"/>
        <w:snapToGrid w:val="0"/>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1）应保证鉴别信息所在的存储空间被释放或重新分配前得到完全清除；</w:t>
      </w:r>
    </w:p>
    <w:p w:rsidR="00047E39" w:rsidRDefault="00000000">
      <w:pPr>
        <w:pStyle w:val="1"/>
      </w:pPr>
      <w:bookmarkStart w:id="106" w:name="_Toc31050"/>
      <w:r>
        <w:rPr>
          <w:rFonts w:hint="eastAsia"/>
        </w:rPr>
        <w:t>项目实施要求</w:t>
      </w:r>
      <w:bookmarkStart w:id="107" w:name="_Toc296524386"/>
      <w:bookmarkStart w:id="108" w:name="_Toc296516014"/>
      <w:bookmarkStart w:id="109" w:name="_Toc297161653"/>
      <w:bookmarkStart w:id="110" w:name="_Toc296524385"/>
      <w:bookmarkStart w:id="111" w:name="_Toc296516016"/>
      <w:bookmarkStart w:id="112" w:name="_Toc295225248"/>
      <w:bookmarkStart w:id="113" w:name="_Toc296516212"/>
      <w:bookmarkStart w:id="114" w:name="_Toc296516015"/>
      <w:bookmarkStart w:id="115" w:name="_Toc297161657"/>
      <w:bookmarkStart w:id="116" w:name="_Toc297161654"/>
      <w:bookmarkStart w:id="117" w:name="_Toc296516018"/>
      <w:bookmarkStart w:id="118" w:name="_Toc296524382"/>
      <w:bookmarkStart w:id="119" w:name="_Toc296524383"/>
      <w:bookmarkStart w:id="120" w:name="_Toc296516017"/>
      <w:bookmarkStart w:id="121" w:name="_Toc296516210"/>
      <w:bookmarkStart w:id="122" w:name="_Toc296516213"/>
      <w:bookmarkStart w:id="123" w:name="_Toc296524384"/>
      <w:bookmarkStart w:id="124" w:name="_Toc296516209"/>
      <w:bookmarkStart w:id="125" w:name="_Toc297161656"/>
      <w:bookmarkStart w:id="126" w:name="_Toc296516211"/>
      <w:bookmarkStart w:id="127" w:name="_Toc295228683"/>
      <w:bookmarkStart w:id="128" w:name="_Toc297161655"/>
      <w:bookmarkStart w:id="129" w:name="_Toc198702473"/>
      <w:bookmarkStart w:id="130" w:name="_Toc293308323"/>
      <w:bookmarkEnd w:id="14"/>
      <w:bookmarkEnd w:id="15"/>
      <w:bookmarkEnd w:id="16"/>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rsidR="00047E39" w:rsidRDefault="00000000">
      <w:pPr>
        <w:pStyle w:val="2"/>
      </w:pPr>
      <w:bookmarkStart w:id="131" w:name="_Toc168479656"/>
      <w:bookmarkStart w:id="132" w:name="_Toc30715"/>
      <w:bookmarkEnd w:id="131"/>
      <w:r>
        <w:rPr>
          <w:rFonts w:hint="eastAsia"/>
        </w:rPr>
        <w:t>中标人的一般责任</w:t>
      </w:r>
      <w:bookmarkEnd w:id="132"/>
    </w:p>
    <w:p w:rsidR="00047E39" w:rsidRDefault="00000000">
      <w:pPr>
        <w:numPr>
          <w:ilvl w:val="0"/>
          <w:numId w:val="8"/>
        </w:numPr>
        <w:spacing w:line="360" w:lineRule="auto"/>
        <w:rPr>
          <w:rFonts w:ascii="仿宋" w:eastAsia="仿宋" w:hAnsi="仿宋" w:hint="eastAsia"/>
          <w:sz w:val="28"/>
          <w:szCs w:val="28"/>
        </w:rPr>
      </w:pPr>
      <w:r>
        <w:rPr>
          <w:rFonts w:ascii="仿宋" w:eastAsia="仿宋" w:hAnsi="仿宋" w:hint="eastAsia"/>
          <w:sz w:val="28"/>
          <w:szCs w:val="28"/>
        </w:rPr>
        <w:t>中标人应根据招标人的要求及安排，根据需要派遣至少1名相关人员至地点</w:t>
      </w:r>
      <w:r>
        <w:rPr>
          <w:rFonts w:ascii="仿宋" w:eastAsia="仿宋" w:hAnsi="仿宋" w:hint="eastAsia"/>
          <w:sz w:val="28"/>
          <w:szCs w:val="28"/>
          <w:u w:val="single"/>
        </w:rPr>
        <w:t xml:space="preserve"> 广州  </w:t>
      </w:r>
      <w:r>
        <w:rPr>
          <w:rFonts w:ascii="仿宋" w:eastAsia="仿宋" w:hAnsi="仿宋" w:hint="eastAsia"/>
          <w:sz w:val="28"/>
          <w:szCs w:val="28"/>
        </w:rPr>
        <w:t>参与技术服务工作，负责对接系统测评管理及计划安排。</w:t>
      </w:r>
    </w:p>
    <w:p w:rsidR="00047E39" w:rsidRDefault="00000000">
      <w:pPr>
        <w:numPr>
          <w:ilvl w:val="0"/>
          <w:numId w:val="8"/>
        </w:numPr>
        <w:spacing w:line="360" w:lineRule="auto"/>
        <w:rPr>
          <w:rFonts w:ascii="仿宋" w:eastAsia="仿宋" w:hAnsi="仿宋" w:hint="eastAsia"/>
          <w:sz w:val="28"/>
          <w:szCs w:val="28"/>
        </w:rPr>
      </w:pPr>
      <w:r>
        <w:rPr>
          <w:rFonts w:ascii="仿宋" w:eastAsia="仿宋" w:hAnsi="仿宋" w:hint="eastAsia"/>
          <w:sz w:val="28"/>
          <w:szCs w:val="28"/>
        </w:rPr>
        <w:t>按照合同约定，完成招标工作范围内的全部工作。</w:t>
      </w:r>
    </w:p>
    <w:p w:rsidR="00047E39" w:rsidRDefault="00000000">
      <w:pPr>
        <w:numPr>
          <w:ilvl w:val="0"/>
          <w:numId w:val="8"/>
        </w:numPr>
        <w:spacing w:line="360" w:lineRule="auto"/>
        <w:rPr>
          <w:rFonts w:ascii="仿宋" w:eastAsia="仿宋" w:hAnsi="仿宋" w:hint="eastAsia"/>
          <w:sz w:val="28"/>
          <w:szCs w:val="28"/>
        </w:rPr>
      </w:pPr>
      <w:r>
        <w:rPr>
          <w:rFonts w:ascii="仿宋" w:eastAsia="仿宋" w:hAnsi="仿宋" w:hint="eastAsia"/>
          <w:sz w:val="28"/>
          <w:szCs w:val="28"/>
        </w:rPr>
        <w:t>中标人负责在整个项目实施过程中保证项目的质量和试验数据的可靠性。若由于中标人自身原因出现了质量事故由中标人负责。</w:t>
      </w:r>
    </w:p>
    <w:p w:rsidR="00047E39" w:rsidRDefault="00000000">
      <w:pPr>
        <w:numPr>
          <w:ilvl w:val="0"/>
          <w:numId w:val="8"/>
        </w:numPr>
        <w:spacing w:line="360" w:lineRule="auto"/>
        <w:rPr>
          <w:rFonts w:ascii="仿宋" w:eastAsia="仿宋" w:hAnsi="仿宋" w:hint="eastAsia"/>
          <w:sz w:val="28"/>
          <w:szCs w:val="28"/>
        </w:rPr>
      </w:pPr>
      <w:r>
        <w:rPr>
          <w:rFonts w:ascii="仿宋" w:eastAsia="仿宋" w:hAnsi="仿宋" w:hint="eastAsia"/>
          <w:sz w:val="28"/>
          <w:szCs w:val="28"/>
        </w:rPr>
        <w:t>若需向地方有关部门缴纳有关的费用，由中标人自行承担。</w:t>
      </w:r>
    </w:p>
    <w:p w:rsidR="00047E39" w:rsidRDefault="00000000">
      <w:pPr>
        <w:numPr>
          <w:ilvl w:val="0"/>
          <w:numId w:val="8"/>
        </w:numPr>
        <w:spacing w:line="360" w:lineRule="auto"/>
        <w:rPr>
          <w:rFonts w:ascii="仿宋" w:eastAsia="仿宋" w:hAnsi="仿宋" w:hint="eastAsia"/>
          <w:sz w:val="28"/>
          <w:szCs w:val="28"/>
        </w:rPr>
      </w:pPr>
      <w:r>
        <w:rPr>
          <w:rFonts w:ascii="仿宋" w:eastAsia="仿宋" w:hAnsi="仿宋" w:hint="eastAsia"/>
          <w:sz w:val="28"/>
          <w:szCs w:val="28"/>
        </w:rPr>
        <w:t>本项目不得转让或分包。</w:t>
      </w:r>
    </w:p>
    <w:p w:rsidR="00047E39" w:rsidRDefault="00000000">
      <w:pPr>
        <w:pStyle w:val="2"/>
      </w:pPr>
      <w:bookmarkStart w:id="133" w:name="_Toc8060"/>
      <w:r>
        <w:rPr>
          <w:rFonts w:hint="eastAsia"/>
        </w:rPr>
        <w:lastRenderedPageBreak/>
        <w:t>实施进度计划的编制及分段考核</w:t>
      </w:r>
      <w:bookmarkEnd w:id="133"/>
    </w:p>
    <w:p w:rsidR="00047E39" w:rsidRDefault="00000000">
      <w:pPr>
        <w:numPr>
          <w:ilvl w:val="0"/>
          <w:numId w:val="9"/>
        </w:numPr>
        <w:spacing w:line="360" w:lineRule="auto"/>
        <w:rPr>
          <w:rFonts w:ascii="仿宋" w:eastAsia="仿宋" w:hAnsi="仿宋" w:hint="eastAsia"/>
          <w:sz w:val="28"/>
          <w:szCs w:val="28"/>
        </w:rPr>
      </w:pPr>
      <w:r>
        <w:rPr>
          <w:rFonts w:ascii="仿宋" w:eastAsia="仿宋" w:hAnsi="仿宋" w:hint="eastAsia"/>
          <w:sz w:val="28"/>
          <w:szCs w:val="28"/>
        </w:rPr>
        <w:t>中标人必须按招标人确认的进度计划组织实施，接受招标人对研究进度的检查和监督。项目实际进度与经确认的进度计划不符合时，中标人应按招标人的要求提出改进措施，经招标人确认后执行。因中标人的原因导致项目实际进度与进度计划不符，中标人需实施改进措施且</w:t>
      </w:r>
      <w:r>
        <w:rPr>
          <w:rFonts w:ascii="仿宋" w:eastAsia="仿宋" w:hAnsi="仿宋"/>
          <w:sz w:val="28"/>
          <w:szCs w:val="28"/>
        </w:rPr>
        <w:t>不得</w:t>
      </w:r>
      <w:r>
        <w:rPr>
          <w:rFonts w:ascii="仿宋" w:eastAsia="仿宋" w:hAnsi="仿宋" w:hint="eastAsia"/>
          <w:sz w:val="28"/>
          <w:szCs w:val="28"/>
        </w:rPr>
        <w:t>追加合同价款。</w:t>
      </w:r>
    </w:p>
    <w:p w:rsidR="00047E39" w:rsidRDefault="00000000">
      <w:pPr>
        <w:numPr>
          <w:ilvl w:val="0"/>
          <w:numId w:val="9"/>
        </w:numPr>
        <w:spacing w:line="360" w:lineRule="auto"/>
        <w:rPr>
          <w:rFonts w:ascii="仿宋" w:eastAsia="仿宋" w:hAnsi="仿宋" w:hint="eastAsia"/>
          <w:sz w:val="28"/>
          <w:szCs w:val="28"/>
        </w:rPr>
      </w:pPr>
      <w:r>
        <w:rPr>
          <w:rFonts w:ascii="仿宋" w:eastAsia="仿宋" w:hAnsi="仿宋" w:hint="eastAsia"/>
          <w:sz w:val="28"/>
          <w:szCs w:val="28"/>
        </w:rPr>
        <w:t>项目服务内容完成且提交相关报告，项目实施计划终止。</w:t>
      </w:r>
    </w:p>
    <w:p w:rsidR="00047E39" w:rsidRDefault="00000000">
      <w:pPr>
        <w:pStyle w:val="2"/>
      </w:pPr>
      <w:bookmarkStart w:id="134" w:name="_Toc6316"/>
      <w:r>
        <w:rPr>
          <w:rFonts w:hint="eastAsia"/>
        </w:rPr>
        <w:t>项目实施结束</w:t>
      </w:r>
      <w:bookmarkEnd w:id="134"/>
    </w:p>
    <w:p w:rsidR="00047E39" w:rsidRDefault="00000000">
      <w:pPr>
        <w:numPr>
          <w:ilvl w:val="0"/>
          <w:numId w:val="10"/>
        </w:numPr>
        <w:spacing w:line="360" w:lineRule="auto"/>
        <w:rPr>
          <w:rFonts w:ascii="仿宋" w:eastAsia="仿宋" w:hAnsi="仿宋" w:hint="eastAsia"/>
          <w:sz w:val="28"/>
          <w:szCs w:val="28"/>
        </w:rPr>
      </w:pPr>
      <w:r>
        <w:rPr>
          <w:rFonts w:ascii="仿宋" w:eastAsia="仿宋" w:hAnsi="仿宋" w:hint="eastAsia"/>
          <w:sz w:val="28"/>
          <w:szCs w:val="28"/>
        </w:rPr>
        <w:t>中标人必须按照协议书约定的结束日期或经招标人同意顺延的计划完成项目。</w:t>
      </w:r>
    </w:p>
    <w:p w:rsidR="00047E39" w:rsidRDefault="00000000">
      <w:pPr>
        <w:numPr>
          <w:ilvl w:val="0"/>
          <w:numId w:val="10"/>
        </w:numPr>
        <w:spacing w:line="360" w:lineRule="auto"/>
        <w:rPr>
          <w:rFonts w:ascii="仿宋" w:eastAsia="仿宋" w:hAnsi="仿宋" w:hint="eastAsia"/>
          <w:sz w:val="28"/>
          <w:szCs w:val="28"/>
        </w:rPr>
      </w:pPr>
      <w:r>
        <w:rPr>
          <w:rFonts w:ascii="仿宋" w:eastAsia="仿宋" w:hAnsi="仿宋" w:hint="eastAsia"/>
          <w:sz w:val="28"/>
          <w:szCs w:val="28"/>
        </w:rPr>
        <w:t>因中标人原因不能按照协议书约定的完成日期或招标人同意顺延的工期完成的，中标人承担违约责任。</w:t>
      </w:r>
    </w:p>
    <w:p w:rsidR="00047E39" w:rsidRDefault="00000000">
      <w:pPr>
        <w:pStyle w:val="2"/>
      </w:pPr>
      <w:bookmarkStart w:id="135" w:name="_Toc3760"/>
      <w:r>
        <w:rPr>
          <w:rFonts w:hint="eastAsia"/>
        </w:rPr>
        <w:t>项目验收的形式与要求</w:t>
      </w:r>
      <w:bookmarkEnd w:id="135"/>
    </w:p>
    <w:p w:rsidR="00047E39" w:rsidRDefault="00000000">
      <w:pPr>
        <w:numPr>
          <w:ilvl w:val="0"/>
          <w:numId w:val="11"/>
        </w:numPr>
        <w:spacing w:line="360" w:lineRule="auto"/>
        <w:rPr>
          <w:rFonts w:ascii="仿宋" w:eastAsia="仿宋" w:hAnsi="仿宋" w:hint="eastAsia"/>
          <w:sz w:val="28"/>
          <w:szCs w:val="28"/>
        </w:rPr>
      </w:pPr>
      <w:r>
        <w:rPr>
          <w:rFonts w:ascii="仿宋" w:eastAsia="仿宋" w:hAnsi="仿宋" w:hint="eastAsia"/>
          <w:sz w:val="28"/>
          <w:szCs w:val="28"/>
        </w:rPr>
        <w:t>项目验收：完成所有服务内容，中标人提交项目终验申请书，简述项目工作内容和成效等，并按合同要求提交全套交付成果。</w:t>
      </w:r>
    </w:p>
    <w:p w:rsidR="00047E39" w:rsidRDefault="00000000">
      <w:pPr>
        <w:numPr>
          <w:ilvl w:val="0"/>
          <w:numId w:val="11"/>
        </w:numPr>
        <w:spacing w:line="360" w:lineRule="auto"/>
        <w:rPr>
          <w:rFonts w:ascii="仿宋" w:eastAsia="仿宋" w:hAnsi="仿宋" w:hint="eastAsia"/>
          <w:sz w:val="28"/>
          <w:szCs w:val="28"/>
        </w:rPr>
      </w:pPr>
      <w:r>
        <w:rPr>
          <w:rFonts w:ascii="仿宋" w:eastAsia="仿宋" w:hAnsi="仿宋" w:hint="eastAsia"/>
          <w:sz w:val="28"/>
          <w:szCs w:val="28"/>
        </w:rPr>
        <w:t>当项目达到合同条款约定的验收条件时，中标人应首先进行认真的自检，并在验收前七日以书面形式通知招标人组织验收，通知包括验收的内容、验收时间和地点。中标人准备验收材料。</w:t>
      </w:r>
    </w:p>
    <w:p w:rsidR="00047E39" w:rsidRDefault="00000000">
      <w:pPr>
        <w:numPr>
          <w:ilvl w:val="0"/>
          <w:numId w:val="11"/>
        </w:numPr>
        <w:spacing w:line="360" w:lineRule="auto"/>
        <w:rPr>
          <w:rFonts w:ascii="仿宋" w:eastAsia="仿宋" w:hAnsi="仿宋" w:hint="eastAsia"/>
          <w:sz w:val="28"/>
          <w:szCs w:val="28"/>
        </w:rPr>
      </w:pPr>
      <w:r>
        <w:rPr>
          <w:rFonts w:ascii="仿宋" w:eastAsia="仿宋" w:hAnsi="仿宋" w:hint="eastAsia"/>
          <w:sz w:val="28"/>
          <w:szCs w:val="28"/>
        </w:rPr>
        <w:t>由于非中标人原因项目验收达不到验收标准及约定要求，招标人应要求有关单位修改，中标人按修改意见处理。</w:t>
      </w:r>
    </w:p>
    <w:p w:rsidR="00047E39" w:rsidRDefault="00000000">
      <w:pPr>
        <w:numPr>
          <w:ilvl w:val="0"/>
          <w:numId w:val="11"/>
        </w:numPr>
        <w:spacing w:line="360" w:lineRule="auto"/>
        <w:rPr>
          <w:rFonts w:ascii="仿宋" w:eastAsia="仿宋" w:hAnsi="仿宋" w:hint="eastAsia"/>
          <w:sz w:val="28"/>
          <w:szCs w:val="28"/>
        </w:rPr>
      </w:pPr>
      <w:r>
        <w:rPr>
          <w:rFonts w:ascii="仿宋" w:eastAsia="仿宋" w:hAnsi="仿宋" w:hint="eastAsia"/>
          <w:sz w:val="28"/>
          <w:szCs w:val="28"/>
        </w:rPr>
        <w:lastRenderedPageBreak/>
        <w:t>由于中标人原因项目验收达不到验收标准及约定要求，中标人应按招标人的要求进行补救或返工，并承担重新验收和返工的费用。</w:t>
      </w:r>
    </w:p>
    <w:p w:rsidR="00047E39" w:rsidRDefault="00000000">
      <w:pPr>
        <w:pStyle w:val="2"/>
      </w:pPr>
      <w:bookmarkStart w:id="136" w:name="_Toc13787"/>
      <w:r>
        <w:rPr>
          <w:rFonts w:hint="eastAsia"/>
        </w:rPr>
        <w:t>项目质量安全保障</w:t>
      </w:r>
      <w:bookmarkEnd w:id="136"/>
    </w:p>
    <w:p w:rsidR="00047E39" w:rsidRDefault="00000000">
      <w:pPr>
        <w:numPr>
          <w:ilvl w:val="0"/>
          <w:numId w:val="12"/>
        </w:numPr>
        <w:spacing w:line="360" w:lineRule="auto"/>
        <w:rPr>
          <w:rFonts w:ascii="仿宋" w:eastAsia="仿宋" w:hAnsi="仿宋" w:hint="eastAsia"/>
          <w:sz w:val="28"/>
          <w:szCs w:val="28"/>
        </w:rPr>
      </w:pPr>
      <w:r>
        <w:rPr>
          <w:rFonts w:ascii="仿宋" w:eastAsia="仿宋" w:hAnsi="仿宋" w:hint="eastAsia"/>
          <w:sz w:val="28"/>
          <w:szCs w:val="28"/>
        </w:rPr>
        <w:t>中标人应严格遵守协议中关于项目实施的若干技术质量规定，制定严格的质量安全措施。</w:t>
      </w:r>
    </w:p>
    <w:p w:rsidR="00047E39" w:rsidRDefault="00000000">
      <w:pPr>
        <w:numPr>
          <w:ilvl w:val="0"/>
          <w:numId w:val="12"/>
        </w:numPr>
        <w:spacing w:line="360" w:lineRule="auto"/>
        <w:rPr>
          <w:rFonts w:ascii="仿宋" w:eastAsia="仿宋" w:hAnsi="仿宋" w:hint="eastAsia"/>
          <w:sz w:val="28"/>
          <w:szCs w:val="28"/>
        </w:rPr>
      </w:pPr>
      <w:r>
        <w:rPr>
          <w:rFonts w:ascii="仿宋" w:eastAsia="仿宋" w:hAnsi="仿宋" w:hint="eastAsia"/>
          <w:sz w:val="28"/>
          <w:szCs w:val="28"/>
        </w:rPr>
        <w:t>由于中标人质量安全措施不力造成实施质量安全事故的责任，以及由此发生的费用和损失，由中标人承担。</w:t>
      </w:r>
    </w:p>
    <w:p w:rsidR="00047E39" w:rsidRDefault="00047E39"/>
    <w:p w:rsidR="00047E39" w:rsidRDefault="00000000">
      <w:pPr>
        <w:pStyle w:val="2"/>
      </w:pPr>
      <w:bookmarkStart w:id="137" w:name="_Toc23268"/>
      <w:r>
        <w:rPr>
          <w:rFonts w:hint="eastAsia"/>
        </w:rPr>
        <w:t>服务要求</w:t>
      </w:r>
      <w:bookmarkEnd w:id="137"/>
    </w:p>
    <w:p w:rsidR="00A43A96" w:rsidRDefault="00A43A96" w:rsidP="00A43A96">
      <w:pPr>
        <w:numPr>
          <w:ilvl w:val="0"/>
          <w:numId w:val="14"/>
        </w:numPr>
        <w:spacing w:line="360" w:lineRule="auto"/>
        <w:rPr>
          <w:rFonts w:ascii="仿宋" w:eastAsia="仿宋" w:hAnsi="仿宋" w:hint="eastAsia"/>
          <w:sz w:val="28"/>
          <w:szCs w:val="28"/>
        </w:rPr>
      </w:pPr>
      <w:r>
        <w:rPr>
          <w:rFonts w:ascii="仿宋" w:eastAsia="仿宋" w:hAnsi="仿宋" w:hint="eastAsia"/>
          <w:sz w:val="28"/>
          <w:szCs w:val="28"/>
        </w:rPr>
        <w:t>资质要求：投标人需同时具备</w:t>
      </w:r>
      <w:r w:rsidRPr="00735307">
        <w:rPr>
          <w:rFonts w:ascii="仿宋" w:eastAsia="仿宋" w:hAnsi="仿宋" w:hint="eastAsia"/>
          <w:sz w:val="28"/>
          <w:szCs w:val="28"/>
        </w:rPr>
        <w:t>有效期内经公安部第三研究所认证发放的《网络安全等级测评与检测评估机构服务认证证书》</w:t>
      </w:r>
      <w:r>
        <w:rPr>
          <w:rFonts w:ascii="仿宋" w:eastAsia="仿宋" w:hAnsi="仿宋" w:hint="eastAsia"/>
          <w:sz w:val="28"/>
          <w:szCs w:val="28"/>
        </w:rPr>
        <w:t>。</w:t>
      </w:r>
    </w:p>
    <w:p w:rsidR="00A43A96" w:rsidRDefault="00A43A96" w:rsidP="00A43A96">
      <w:pPr>
        <w:numPr>
          <w:ilvl w:val="0"/>
          <w:numId w:val="14"/>
        </w:numPr>
        <w:spacing w:line="360" w:lineRule="auto"/>
        <w:rPr>
          <w:rFonts w:ascii="仿宋" w:eastAsia="仿宋" w:hAnsi="仿宋" w:hint="eastAsia"/>
          <w:sz w:val="28"/>
          <w:szCs w:val="28"/>
        </w:rPr>
      </w:pPr>
      <w:r w:rsidRPr="00A43A96">
        <w:rPr>
          <w:rFonts w:ascii="仿宋" w:eastAsia="仿宋" w:hAnsi="仿宋" w:hint="eastAsia"/>
          <w:sz w:val="28"/>
          <w:szCs w:val="28"/>
        </w:rPr>
        <w:t>人员配备要求：投标人须提供人员配备、管理方案。投标人派驻本项目的服务人员和项目经理必须固定，如有变更，必须经招标人同意并签字确认</w:t>
      </w:r>
      <w:r>
        <w:rPr>
          <w:rFonts w:ascii="仿宋" w:eastAsia="仿宋" w:hAnsi="仿宋" w:hint="eastAsia"/>
          <w:sz w:val="28"/>
          <w:szCs w:val="28"/>
        </w:rPr>
        <w:t>。</w:t>
      </w:r>
    </w:p>
    <w:p w:rsidR="00A22E09" w:rsidRDefault="00000000" w:rsidP="00A22E09">
      <w:pPr>
        <w:numPr>
          <w:ilvl w:val="0"/>
          <w:numId w:val="14"/>
        </w:numPr>
        <w:spacing w:line="360" w:lineRule="auto"/>
        <w:rPr>
          <w:rFonts w:ascii="仿宋" w:eastAsia="仿宋" w:hAnsi="仿宋" w:hint="eastAsia"/>
          <w:sz w:val="28"/>
          <w:szCs w:val="28"/>
        </w:rPr>
      </w:pPr>
      <w:r w:rsidRPr="00A43A96">
        <w:rPr>
          <w:rFonts w:ascii="仿宋" w:eastAsia="仿宋" w:hAnsi="仿宋" w:hint="eastAsia"/>
          <w:sz w:val="28"/>
          <w:szCs w:val="28"/>
        </w:rPr>
        <w:t>工具要求：在服务过程中，投标人使用的测评工具应严格遵循安全可控性原则，使用的所有工具须符合国家和电力行业信息安全测评标准，已经过可靠的实际应用验证，且由投标人自行负责。投标人须承诺在项目实施过程中所使用的工具，投标人均具有合法使用权，免受第三方提出的侵犯知识产权的起诉。</w:t>
      </w:r>
    </w:p>
    <w:p w:rsidR="00A22E09" w:rsidRDefault="00000000" w:rsidP="00A22E09">
      <w:pPr>
        <w:numPr>
          <w:ilvl w:val="0"/>
          <w:numId w:val="14"/>
        </w:numPr>
        <w:spacing w:line="360" w:lineRule="auto"/>
        <w:rPr>
          <w:rFonts w:ascii="仿宋" w:eastAsia="仿宋" w:hAnsi="仿宋" w:hint="eastAsia"/>
          <w:sz w:val="28"/>
          <w:szCs w:val="28"/>
        </w:rPr>
      </w:pPr>
      <w:r w:rsidRPr="00A22E09">
        <w:rPr>
          <w:rFonts w:ascii="仿宋" w:eastAsia="仿宋" w:hAnsi="仿宋" w:hint="eastAsia"/>
          <w:sz w:val="28"/>
          <w:szCs w:val="28"/>
        </w:rPr>
        <w:t>文档要求：投标人应按照测评要求制定服务过程中产生的文</w:t>
      </w:r>
      <w:r w:rsidRPr="00A22E09">
        <w:rPr>
          <w:rFonts w:ascii="仿宋" w:eastAsia="仿宋" w:hAnsi="仿宋" w:hint="eastAsia"/>
          <w:sz w:val="28"/>
          <w:szCs w:val="28"/>
        </w:rPr>
        <w:lastRenderedPageBreak/>
        <w:t>档及其管理制度，做到科学、规范、详尽、统一。</w:t>
      </w:r>
    </w:p>
    <w:p w:rsidR="00A22E09" w:rsidRDefault="00000000" w:rsidP="00A22E09">
      <w:pPr>
        <w:numPr>
          <w:ilvl w:val="0"/>
          <w:numId w:val="14"/>
        </w:numPr>
        <w:spacing w:line="360" w:lineRule="auto"/>
        <w:rPr>
          <w:rFonts w:ascii="仿宋" w:eastAsia="仿宋" w:hAnsi="仿宋" w:hint="eastAsia"/>
          <w:sz w:val="28"/>
          <w:szCs w:val="28"/>
        </w:rPr>
      </w:pPr>
      <w:r w:rsidRPr="00A22E09">
        <w:rPr>
          <w:rFonts w:ascii="仿宋" w:eastAsia="仿宋" w:hAnsi="仿宋" w:hint="eastAsia"/>
          <w:sz w:val="28"/>
          <w:szCs w:val="28"/>
        </w:rPr>
        <w:t>保密要求：对招标人信息保密，投标人不得在任何场合向，以任何方式第三方透露招标人内部信息。</w:t>
      </w:r>
    </w:p>
    <w:p w:rsidR="00A22E09" w:rsidRDefault="00000000" w:rsidP="00A22E09">
      <w:pPr>
        <w:numPr>
          <w:ilvl w:val="0"/>
          <w:numId w:val="14"/>
        </w:numPr>
        <w:spacing w:line="360" w:lineRule="auto"/>
        <w:rPr>
          <w:rFonts w:ascii="仿宋" w:eastAsia="仿宋" w:hAnsi="仿宋" w:hint="eastAsia"/>
          <w:sz w:val="28"/>
          <w:szCs w:val="28"/>
        </w:rPr>
      </w:pPr>
      <w:r w:rsidRPr="00A22E09">
        <w:rPr>
          <w:rFonts w:ascii="仿宋" w:eastAsia="仿宋" w:hAnsi="仿宋" w:hint="eastAsia"/>
          <w:sz w:val="28"/>
          <w:szCs w:val="28"/>
        </w:rPr>
        <w:t>工作时间要求：根据招标人的要求，开展测评服务，驻场人员按照招标人工作时间要求上班；现场服务成员按照招标人要求按时到现场开展工作。</w:t>
      </w:r>
    </w:p>
    <w:p w:rsidR="00047E39" w:rsidRPr="00A22E09" w:rsidRDefault="00000000" w:rsidP="00A22E09">
      <w:pPr>
        <w:numPr>
          <w:ilvl w:val="0"/>
          <w:numId w:val="14"/>
        </w:numPr>
        <w:spacing w:line="360" w:lineRule="auto"/>
        <w:rPr>
          <w:rFonts w:ascii="仿宋" w:eastAsia="仿宋" w:hAnsi="仿宋" w:hint="eastAsia"/>
          <w:sz w:val="28"/>
          <w:szCs w:val="28"/>
        </w:rPr>
      </w:pPr>
      <w:r w:rsidRPr="00A22E09">
        <w:rPr>
          <w:rFonts w:ascii="仿宋" w:eastAsia="仿宋" w:hAnsi="仿宋" w:hint="eastAsia"/>
          <w:sz w:val="28"/>
          <w:szCs w:val="28"/>
        </w:rPr>
        <w:t>应用标准要求：符合ISO质量管理标准体系，国家信息安全等级保护要求，中国南方电网电力监控系统并网安全评估规范。</w:t>
      </w:r>
    </w:p>
    <w:p w:rsidR="00047E39" w:rsidRDefault="00047E39">
      <w:pPr>
        <w:spacing w:line="360" w:lineRule="auto"/>
        <w:ind w:left="480"/>
        <w:rPr>
          <w:rFonts w:ascii="仿宋" w:eastAsia="仿宋" w:hAnsi="仿宋" w:hint="eastAsia"/>
          <w:sz w:val="28"/>
          <w:szCs w:val="28"/>
        </w:rPr>
      </w:pPr>
    </w:p>
    <w:p w:rsidR="00047E39" w:rsidRDefault="00000000">
      <w:pPr>
        <w:pStyle w:val="2"/>
      </w:pPr>
      <w:bookmarkStart w:id="138" w:name="_Toc14750"/>
      <w:r>
        <w:rPr>
          <w:rFonts w:hint="eastAsia"/>
        </w:rPr>
        <w:t>服务指标</w:t>
      </w:r>
      <w:bookmarkEnd w:id="138"/>
    </w:p>
    <w:p w:rsidR="00047E39" w:rsidRDefault="00000000">
      <w:pPr>
        <w:spacing w:line="360" w:lineRule="auto"/>
        <w:ind w:left="480"/>
        <w:rPr>
          <w:rFonts w:ascii="仿宋" w:eastAsia="仿宋" w:hAnsi="仿宋" w:hint="eastAsia"/>
          <w:sz w:val="28"/>
          <w:szCs w:val="28"/>
        </w:rPr>
      </w:pPr>
      <w:r>
        <w:rPr>
          <w:rFonts w:ascii="仿宋" w:eastAsia="仿宋" w:hAnsi="仿宋" w:hint="eastAsia"/>
          <w:sz w:val="28"/>
          <w:szCs w:val="28"/>
        </w:rPr>
        <w:t>1)响应及时率：不低于90%</w:t>
      </w:r>
    </w:p>
    <w:p w:rsidR="00047E39" w:rsidRDefault="00000000">
      <w:pPr>
        <w:spacing w:line="360" w:lineRule="auto"/>
        <w:ind w:left="480"/>
        <w:rPr>
          <w:rFonts w:ascii="仿宋" w:eastAsia="仿宋" w:hAnsi="仿宋" w:hint="eastAsia"/>
          <w:sz w:val="28"/>
          <w:szCs w:val="28"/>
        </w:rPr>
      </w:pPr>
      <w:r>
        <w:rPr>
          <w:rFonts w:ascii="仿宋" w:eastAsia="仿宋" w:hAnsi="仿宋" w:hint="eastAsia"/>
          <w:sz w:val="28"/>
          <w:szCs w:val="28"/>
        </w:rPr>
        <w:t>响应及时率 = 及时响应的服务次数 /服务数量×100%</w:t>
      </w:r>
    </w:p>
    <w:p w:rsidR="00047E39" w:rsidRDefault="00000000">
      <w:pPr>
        <w:spacing w:line="360" w:lineRule="auto"/>
        <w:ind w:left="480"/>
        <w:rPr>
          <w:rFonts w:ascii="仿宋" w:eastAsia="仿宋" w:hAnsi="仿宋" w:hint="eastAsia"/>
          <w:sz w:val="28"/>
          <w:szCs w:val="28"/>
        </w:rPr>
      </w:pPr>
      <w:r>
        <w:rPr>
          <w:rFonts w:ascii="仿宋" w:eastAsia="仿宋" w:hAnsi="仿宋" w:hint="eastAsia"/>
          <w:sz w:val="28"/>
          <w:szCs w:val="28"/>
        </w:rPr>
        <w:t>说明：招标人提出的测评、整改指导、相关应急处置技术支持等服务要求，中标人应3个工作日内响应并处理，否则视为响应不及时。</w:t>
      </w:r>
    </w:p>
    <w:p w:rsidR="00047E39" w:rsidRDefault="00000000">
      <w:pPr>
        <w:spacing w:line="360" w:lineRule="auto"/>
        <w:ind w:left="480"/>
        <w:rPr>
          <w:rFonts w:ascii="仿宋" w:eastAsia="仿宋" w:hAnsi="仿宋" w:hint="eastAsia"/>
          <w:sz w:val="28"/>
          <w:szCs w:val="28"/>
        </w:rPr>
      </w:pPr>
      <w:r>
        <w:rPr>
          <w:rFonts w:ascii="仿宋" w:eastAsia="仿宋" w:hAnsi="仿宋" w:hint="eastAsia"/>
          <w:sz w:val="28"/>
          <w:szCs w:val="28"/>
        </w:rPr>
        <w:t>2)测评报告及时提交率：不低于90%</w:t>
      </w:r>
    </w:p>
    <w:p w:rsidR="00047E39" w:rsidRDefault="00000000">
      <w:pPr>
        <w:spacing w:line="360" w:lineRule="auto"/>
        <w:ind w:left="480"/>
        <w:rPr>
          <w:rFonts w:ascii="仿宋" w:eastAsia="仿宋" w:hAnsi="仿宋" w:hint="eastAsia"/>
          <w:sz w:val="28"/>
          <w:szCs w:val="28"/>
        </w:rPr>
      </w:pPr>
      <w:r>
        <w:rPr>
          <w:rFonts w:ascii="仿宋" w:eastAsia="仿宋" w:hAnsi="仿宋" w:hint="eastAsia"/>
          <w:sz w:val="28"/>
          <w:szCs w:val="28"/>
        </w:rPr>
        <w:t>及时提交率 = 及时提交的测评报告数量 / 应提交的测评报告数量×100%</w:t>
      </w:r>
    </w:p>
    <w:p w:rsidR="00047E39" w:rsidRDefault="00000000">
      <w:pPr>
        <w:spacing w:line="360" w:lineRule="auto"/>
        <w:ind w:left="480"/>
        <w:rPr>
          <w:rFonts w:ascii="仿宋" w:eastAsia="仿宋" w:hAnsi="仿宋" w:hint="eastAsia"/>
          <w:sz w:val="28"/>
          <w:szCs w:val="28"/>
        </w:rPr>
      </w:pPr>
      <w:r>
        <w:rPr>
          <w:rFonts w:ascii="仿宋" w:eastAsia="仿宋" w:hAnsi="仿宋" w:hint="eastAsia"/>
          <w:sz w:val="28"/>
          <w:szCs w:val="28"/>
        </w:rPr>
        <w:t>说明：中标人应在约定时期内提交相关测评报告，逾期提交视为未及时提交。</w:t>
      </w:r>
    </w:p>
    <w:p w:rsidR="00047E39" w:rsidRDefault="00000000">
      <w:pPr>
        <w:spacing w:line="360" w:lineRule="auto"/>
        <w:ind w:left="480"/>
        <w:rPr>
          <w:rFonts w:ascii="仿宋" w:eastAsia="仿宋" w:hAnsi="仿宋" w:hint="eastAsia"/>
          <w:sz w:val="28"/>
          <w:szCs w:val="28"/>
        </w:rPr>
      </w:pPr>
      <w:r>
        <w:rPr>
          <w:rFonts w:ascii="仿宋" w:eastAsia="仿宋" w:hAnsi="仿宋" w:hint="eastAsia"/>
          <w:sz w:val="28"/>
          <w:szCs w:val="28"/>
        </w:rPr>
        <w:t>3)整改建议可操作率：不低于90%</w:t>
      </w:r>
    </w:p>
    <w:p w:rsidR="00047E39" w:rsidRDefault="00000000">
      <w:pPr>
        <w:spacing w:line="360" w:lineRule="auto"/>
        <w:ind w:left="480"/>
        <w:rPr>
          <w:rFonts w:ascii="仿宋" w:eastAsia="仿宋" w:hAnsi="仿宋" w:hint="eastAsia"/>
          <w:sz w:val="28"/>
          <w:szCs w:val="28"/>
        </w:rPr>
      </w:pPr>
      <w:r>
        <w:rPr>
          <w:rFonts w:ascii="仿宋" w:eastAsia="仿宋" w:hAnsi="仿宋" w:hint="eastAsia"/>
          <w:sz w:val="28"/>
          <w:szCs w:val="28"/>
        </w:rPr>
        <w:t>整改建议可操作率=∑具有可操作性的整改建议/整改建议总数</w:t>
      </w:r>
    </w:p>
    <w:p w:rsidR="00047E39" w:rsidRDefault="00000000">
      <w:pPr>
        <w:spacing w:line="360" w:lineRule="auto"/>
        <w:ind w:left="480"/>
        <w:rPr>
          <w:rFonts w:ascii="仿宋" w:eastAsia="仿宋" w:hAnsi="仿宋" w:hint="eastAsia"/>
          <w:sz w:val="28"/>
          <w:szCs w:val="28"/>
        </w:rPr>
      </w:pPr>
      <w:r>
        <w:rPr>
          <w:rFonts w:ascii="仿宋" w:eastAsia="仿宋" w:hAnsi="仿宋" w:hint="eastAsia"/>
          <w:sz w:val="28"/>
          <w:szCs w:val="28"/>
        </w:rPr>
        <w:lastRenderedPageBreak/>
        <w:t>说明：中标人应结合招标人的实际情况，针对本次测评发现的各个安全风险提出具有针对性、可操作、可落实的具体整改建议。</w:t>
      </w:r>
    </w:p>
    <w:p w:rsidR="00047E39" w:rsidRDefault="00000000">
      <w:pPr>
        <w:spacing w:line="360" w:lineRule="auto"/>
        <w:ind w:left="480"/>
        <w:rPr>
          <w:rFonts w:ascii="仿宋" w:eastAsia="仿宋" w:hAnsi="仿宋" w:hint="eastAsia"/>
          <w:sz w:val="28"/>
          <w:szCs w:val="28"/>
        </w:rPr>
      </w:pPr>
      <w:r>
        <w:rPr>
          <w:rFonts w:ascii="仿宋" w:eastAsia="仿宋" w:hAnsi="仿宋" w:hint="eastAsia"/>
          <w:sz w:val="28"/>
          <w:szCs w:val="28"/>
        </w:rPr>
        <w:t>4)复测及时率：不低于90%</w:t>
      </w:r>
    </w:p>
    <w:p w:rsidR="00047E39" w:rsidRDefault="00000000">
      <w:pPr>
        <w:spacing w:line="360" w:lineRule="auto"/>
        <w:ind w:left="480"/>
        <w:rPr>
          <w:rFonts w:ascii="仿宋" w:eastAsia="仿宋" w:hAnsi="仿宋" w:hint="eastAsia"/>
          <w:sz w:val="28"/>
          <w:szCs w:val="28"/>
        </w:rPr>
      </w:pPr>
      <w:r>
        <w:rPr>
          <w:rFonts w:ascii="仿宋" w:eastAsia="仿宋" w:hAnsi="仿宋" w:hint="eastAsia"/>
          <w:sz w:val="28"/>
          <w:szCs w:val="28"/>
        </w:rPr>
        <w:t>复测及时率=∑及时复测的系统/测评系统数量</w:t>
      </w:r>
    </w:p>
    <w:p w:rsidR="00047E39" w:rsidRDefault="00000000">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说明：各个系统完成整改后，中标人应在收到复测通知10个工作日内完成复测，否则视为复测不及时。</w:t>
      </w:r>
    </w:p>
    <w:p w:rsidR="00047E39" w:rsidRDefault="00000000">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5）其他需满足指标，详见项目《任务计划书》要求。</w:t>
      </w:r>
    </w:p>
    <w:bookmarkEnd w:id="12"/>
    <w:bookmarkEnd w:id="13"/>
    <w:p w:rsidR="00047E39" w:rsidRDefault="00047E39"/>
    <w:sectPr w:rsidR="00047E39">
      <w:headerReference w:type="default" r:id="rId16"/>
      <w:pgSz w:w="11906" w:h="16838"/>
      <w:pgMar w:top="1440" w:right="1797" w:bottom="1440" w:left="1797"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C012F" w:rsidRDefault="003C012F">
      <w:r>
        <w:separator/>
      </w:r>
    </w:p>
  </w:endnote>
  <w:endnote w:type="continuationSeparator" w:id="0">
    <w:p w:rsidR="003C012F" w:rsidRDefault="003C0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47E39" w:rsidRDefault="00000000">
    <w:pPr>
      <w:pStyle w:val="ac"/>
      <w:jc w:val="center"/>
    </w:pPr>
    <w:r>
      <w:fldChar w:fldCharType="begin"/>
    </w:r>
    <w:r>
      <w:instrText xml:space="preserve"> PAGE   \* MERGEFORMAT </w:instrText>
    </w:r>
    <w:r>
      <w:fldChar w:fldCharType="separate"/>
    </w:r>
    <w:r>
      <w:rPr>
        <w:lang w:val="zh-CN"/>
      </w:rPr>
      <w:t>9</w:t>
    </w:r>
    <w:r>
      <w:fldChar w:fldCharType="end"/>
    </w:r>
  </w:p>
  <w:p w:rsidR="00047E39" w:rsidRDefault="00047E39">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47E39" w:rsidRDefault="00000000">
    <w:pPr>
      <w:pStyle w:val="ac"/>
      <w:jc w:val="center"/>
    </w:pPr>
    <w:r>
      <w:fldChar w:fldCharType="begin"/>
    </w:r>
    <w:r>
      <w:instrText xml:space="preserve"> PAGE   \* MERGEFORMAT </w:instrText>
    </w:r>
    <w:r>
      <w:fldChar w:fldCharType="separate"/>
    </w:r>
    <w:r>
      <w:rPr>
        <w:lang w:val="zh-CN"/>
      </w:rPr>
      <w:t>1</w:t>
    </w:r>
    <w:r>
      <w:fldChar w:fldCharType="end"/>
    </w:r>
  </w:p>
  <w:p w:rsidR="00047E39" w:rsidRDefault="00047E39">
    <w:pPr>
      <w:pStyle w:val="ac"/>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C012F" w:rsidRDefault="003C012F">
      <w:r>
        <w:separator/>
      </w:r>
    </w:p>
  </w:footnote>
  <w:footnote w:type="continuationSeparator" w:id="0">
    <w:p w:rsidR="003C012F" w:rsidRDefault="003C0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47E39"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462" type="#_x0000_t75" style="position:absolute;left:0;text-align:left;margin-left:-50pt;margin-top:25pt;width:100pt;height:76pt;z-index:-251657216;mso-width-relative:page;mso-height-relative:page">
          <v:imagedata r:id="rId1" o:title=""/>
        </v:shape>
      </w:pict>
    </w:r>
    <w:r>
      <w:pict>
        <v:shape id="_x0000_s3463" type="#_x0000_t75" style="position:absolute;left:0;text-align:left;margin-left:160pt;margin-top:25pt;width:100pt;height:76pt;z-index:-251656192;mso-width-relative:page;mso-height-relative:page">
          <v:imagedata r:id="rId1" o:title=""/>
        </v:shape>
      </w:pict>
    </w:r>
    <w:r>
      <w:pict>
        <v:shape id="_x0000_s3464" type="#_x0000_t75" style="position:absolute;left:0;text-align:left;margin-left:370pt;margin-top:25pt;width:100pt;height:76pt;z-index:-251655168;mso-width-relative:page;mso-height-relative:page">
          <v:imagedata r:id="rId1" o:title=""/>
        </v:shape>
      </w:pict>
    </w:r>
    <w:r>
      <w:pict>
        <v:shape id="_x0000_s3465" type="#_x0000_t75" style="position:absolute;left:0;text-align:left;margin-left:-50pt;margin-top:340pt;width:100pt;height:76pt;z-index:-251654144;mso-width-relative:page;mso-height-relative:page">
          <v:imagedata r:id="rId1" o:title=""/>
        </v:shape>
      </w:pict>
    </w:r>
    <w:r>
      <w:pict>
        <v:shape id="_x0000_s3466" type="#_x0000_t75" style="position:absolute;left:0;text-align:left;margin-left:160pt;margin-top:340pt;width:100pt;height:76pt;z-index:-251653120;mso-width-relative:page;mso-height-relative:page">
          <v:imagedata r:id="rId1" o:title=""/>
        </v:shape>
      </w:pict>
    </w:r>
    <w:r>
      <w:pict>
        <v:shape id="_x0000_s3467" type="#_x0000_t75" style="position:absolute;left:0;text-align:left;margin-left:370pt;margin-top:340pt;width:100pt;height:76pt;z-index:-251652096;mso-width-relative:page;mso-height-relative:page">
          <v:imagedata r:id="rId1" o:title=""/>
        </v:shape>
      </w:pict>
    </w:r>
    <w:r>
      <w:pict>
        <v:shape id="_x0000_s3468" type="#_x0000_t75" style="position:absolute;left:0;text-align:left;margin-left:-50pt;margin-top:655pt;width:100pt;height:76pt;z-index:-251651072;mso-width-relative:page;mso-height-relative:page">
          <v:imagedata r:id="rId1" o:title=""/>
        </v:shape>
      </w:pict>
    </w:r>
    <w:r>
      <w:pict>
        <v:shape id="_x0000_s3469" type="#_x0000_t75" style="position:absolute;left:0;text-align:left;margin-left:160pt;margin-top:655pt;width:100pt;height:76pt;z-index:-251650048;mso-width-relative:page;mso-height-relative:page">
          <v:imagedata r:id="rId1" o:title=""/>
        </v:shape>
      </w:pict>
    </w:r>
    <w:r>
      <w:pict>
        <v:shape id="_x0000_s3470" type="#_x0000_t75" style="position:absolute;left:0;text-align:left;margin-left:370pt;margin-top:655pt;width:100pt;height:76pt;z-index:-251649024;mso-width-relative:page;mso-height-relative:page">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47E39" w:rsidRDefault="00000000">
    <w:pPr>
      <w:pStyle w:val="ae"/>
      <w:jc w:val="right"/>
    </w:pPr>
    <w:r>
      <w:rPr>
        <w:rFonts w:hint="eastAsia"/>
      </w:rPr>
      <w:t>科研综合管理系统技术规范书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47E39"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471" type="#_x0000_t75" style="position:absolute;left:0;text-align:left;margin-left:-50pt;margin-top:25pt;width:100pt;height:76pt;z-index:-251648000;mso-width-relative:page;mso-height-relative:page">
          <v:imagedata r:id="rId1" o:title=""/>
        </v:shape>
      </w:pict>
    </w:r>
    <w:r>
      <w:pict>
        <v:shape id="_x0000_s3472" type="#_x0000_t75" style="position:absolute;left:0;text-align:left;margin-left:160pt;margin-top:25pt;width:100pt;height:76pt;z-index:-251646976;mso-width-relative:page;mso-height-relative:page">
          <v:imagedata r:id="rId1" o:title=""/>
        </v:shape>
      </w:pict>
    </w:r>
    <w:r>
      <w:pict>
        <v:shape id="_x0000_s3473" type="#_x0000_t75" style="position:absolute;left:0;text-align:left;margin-left:370pt;margin-top:25pt;width:100pt;height:76pt;z-index:-251645952;mso-width-relative:page;mso-height-relative:page">
          <v:imagedata r:id="rId1" o:title=""/>
        </v:shape>
      </w:pict>
    </w:r>
    <w:r>
      <w:pict>
        <v:shape id="_x0000_s3474" type="#_x0000_t75" style="position:absolute;left:0;text-align:left;margin-left:-50pt;margin-top:340pt;width:100pt;height:76pt;z-index:-251644928;mso-width-relative:page;mso-height-relative:page">
          <v:imagedata r:id="rId1" o:title=""/>
        </v:shape>
      </w:pict>
    </w:r>
    <w:r>
      <w:pict>
        <v:shape id="_x0000_s3475" type="#_x0000_t75" style="position:absolute;left:0;text-align:left;margin-left:160pt;margin-top:340pt;width:100pt;height:76pt;z-index:-251643904;mso-width-relative:page;mso-height-relative:page">
          <v:imagedata r:id="rId1" o:title=""/>
        </v:shape>
      </w:pict>
    </w:r>
    <w:r>
      <w:pict>
        <v:shape id="_x0000_s3476" type="#_x0000_t75" style="position:absolute;left:0;text-align:left;margin-left:370pt;margin-top:340pt;width:100pt;height:76pt;z-index:-251642880;mso-width-relative:page;mso-height-relative:page">
          <v:imagedata r:id="rId1" o:title=""/>
        </v:shape>
      </w:pict>
    </w:r>
    <w:r>
      <w:pict>
        <v:shape id="_x0000_s3477" type="#_x0000_t75" style="position:absolute;left:0;text-align:left;margin-left:-50pt;margin-top:655pt;width:100pt;height:76pt;z-index:-251641856;mso-width-relative:page;mso-height-relative:page">
          <v:imagedata r:id="rId1" o:title=""/>
        </v:shape>
      </w:pict>
    </w:r>
    <w:r>
      <w:pict>
        <v:shape id="_x0000_s3478" type="#_x0000_t75" style="position:absolute;left:0;text-align:left;margin-left:160pt;margin-top:655pt;width:100pt;height:76pt;z-index:-251640832;mso-width-relative:page;mso-height-relative:page">
          <v:imagedata r:id="rId1" o:title=""/>
        </v:shape>
      </w:pict>
    </w:r>
    <w:r>
      <w:pict>
        <v:shape id="_x0000_s3479" type="#_x0000_t75" style="position:absolute;left:0;text-align:left;margin-left:370pt;margin-top:655pt;width:100pt;height:76pt;z-index:-251639808;mso-width-relative:page;mso-height-relative:pag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5847"/>
    <w:multiLevelType w:val="multilevel"/>
    <w:tmpl w:val="00625847"/>
    <w:lvl w:ilvl="0">
      <w:start w:val="1"/>
      <w:numFmt w:val="decimal"/>
      <w:lvlText w:val="%1)"/>
      <w:lvlJc w:val="left"/>
      <w:pPr>
        <w:ind w:left="90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18CF7AEE"/>
    <w:multiLevelType w:val="multilevel"/>
    <w:tmpl w:val="18CF7AEE"/>
    <w:lvl w:ilvl="0">
      <w:start w:val="1"/>
      <w:numFmt w:val="decimal"/>
      <w:suff w:val="space"/>
      <w:lvlText w:val="%1."/>
      <w:lvlJc w:val="left"/>
      <w:pPr>
        <w:ind w:left="0" w:firstLine="0"/>
      </w:pPr>
      <w:rPr>
        <w:rFonts w:hint="eastAsia"/>
      </w:rPr>
    </w:lvl>
    <w:lvl w:ilvl="1">
      <w:start w:val="1"/>
      <w:numFmt w:val="decimal"/>
      <w:isLgl/>
      <w:suff w:val="space"/>
      <w:lvlText w:val="%1.%2"/>
      <w:lvlJc w:val="left"/>
      <w:pPr>
        <w:ind w:left="0" w:firstLine="0"/>
      </w:pPr>
      <w:rPr>
        <w:rFonts w:hint="eastAsia"/>
      </w:rPr>
    </w:lvl>
    <w:lvl w:ilvl="2">
      <w:start w:val="1"/>
      <w:numFmt w:val="decimal"/>
      <w:pStyle w:val="a"/>
      <w:isLgl/>
      <w:suff w:val="space"/>
      <w:lvlText w:val="%1.%2.%3"/>
      <w:lvlJc w:val="left"/>
      <w:pPr>
        <w:ind w:left="1418" w:firstLine="0"/>
      </w:pPr>
      <w:rPr>
        <w:rFonts w:hint="eastAsia"/>
        <w:b w:val="0"/>
        <w:i w:val="0"/>
      </w:rPr>
    </w:lvl>
    <w:lvl w:ilvl="3">
      <w:start w:val="1"/>
      <w:numFmt w:val="decimal"/>
      <w:isLgl/>
      <w:suff w:val="space"/>
      <w:lvlText w:val="%1.%2.%3.%4"/>
      <w:lvlJc w:val="left"/>
      <w:pPr>
        <w:ind w:left="0" w:firstLine="0"/>
      </w:pPr>
      <w:rPr>
        <w:rFonts w:hint="eastAsia"/>
      </w:rPr>
    </w:lvl>
    <w:lvl w:ilvl="4">
      <w:start w:val="1"/>
      <w:numFmt w:val="decimal"/>
      <w:isLgl/>
      <w:lvlText w:val="%1.%2.%3.%4.%5"/>
      <w:lvlJc w:val="left"/>
      <w:pPr>
        <w:tabs>
          <w:tab w:val="left" w:pos="0"/>
        </w:tabs>
        <w:ind w:left="0" w:firstLine="0"/>
      </w:pPr>
      <w:rPr>
        <w:rFonts w:hint="eastAsia"/>
      </w:rPr>
    </w:lvl>
    <w:lvl w:ilvl="5">
      <w:start w:val="1"/>
      <w:numFmt w:val="decimal"/>
      <w:lvlText w:val="%1.%2.%3.%4.%5.%6"/>
      <w:lvlJc w:val="left"/>
      <w:pPr>
        <w:tabs>
          <w:tab w:val="left" w:pos="6086"/>
        </w:tabs>
        <w:ind w:left="3260" w:hanging="1134"/>
      </w:pPr>
      <w:rPr>
        <w:rFonts w:hint="eastAsia"/>
      </w:rPr>
    </w:lvl>
    <w:lvl w:ilvl="6">
      <w:start w:val="1"/>
      <w:numFmt w:val="decimal"/>
      <w:lvlText w:val="%1.%2.%3.%4.%5.%6.%7"/>
      <w:lvlJc w:val="left"/>
      <w:pPr>
        <w:tabs>
          <w:tab w:val="left" w:pos="7231"/>
        </w:tabs>
        <w:ind w:left="3827" w:hanging="1276"/>
      </w:pPr>
      <w:rPr>
        <w:rFonts w:hint="eastAsia"/>
      </w:rPr>
    </w:lvl>
    <w:lvl w:ilvl="7">
      <w:start w:val="1"/>
      <w:numFmt w:val="decimal"/>
      <w:lvlText w:val="%1.%2.%3.%4.%5.%6.%7.%8"/>
      <w:lvlJc w:val="left"/>
      <w:pPr>
        <w:tabs>
          <w:tab w:val="left" w:pos="8376"/>
        </w:tabs>
        <w:ind w:left="4394" w:hanging="1418"/>
      </w:pPr>
      <w:rPr>
        <w:rFonts w:hint="eastAsia"/>
      </w:rPr>
    </w:lvl>
    <w:lvl w:ilvl="8">
      <w:start w:val="1"/>
      <w:numFmt w:val="decimal"/>
      <w:lvlText w:val="%1.%2.%3.%4.%5.%6.%7.%8.%9"/>
      <w:lvlJc w:val="left"/>
      <w:pPr>
        <w:tabs>
          <w:tab w:val="left" w:pos="9522"/>
        </w:tabs>
        <w:ind w:left="5102" w:hanging="1700"/>
      </w:pPr>
      <w:rPr>
        <w:rFonts w:hint="eastAsia"/>
      </w:rPr>
    </w:lvl>
  </w:abstractNum>
  <w:abstractNum w:abstractNumId="2" w15:restartNumberingAfterBreak="0">
    <w:nsid w:val="2A33225A"/>
    <w:multiLevelType w:val="multilevel"/>
    <w:tmpl w:val="2A33225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15:restartNumberingAfterBreak="0">
    <w:nsid w:val="2D8A44FE"/>
    <w:multiLevelType w:val="multilevel"/>
    <w:tmpl w:val="2D8A44FE"/>
    <w:lvl w:ilvl="0">
      <w:start w:val="1"/>
      <w:numFmt w:val="decimal"/>
      <w:lvlText w:val="%1)"/>
      <w:lvlJc w:val="left"/>
      <w:pPr>
        <w:ind w:left="90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33FA4544"/>
    <w:multiLevelType w:val="singleLevel"/>
    <w:tmpl w:val="33FA4544"/>
    <w:lvl w:ilvl="0">
      <w:start w:val="1"/>
      <w:numFmt w:val="chineseCounting"/>
      <w:suff w:val="nothing"/>
      <w:lvlText w:val="（%1）"/>
      <w:lvlJc w:val="left"/>
    </w:lvl>
  </w:abstractNum>
  <w:abstractNum w:abstractNumId="5" w15:restartNumberingAfterBreak="0">
    <w:nsid w:val="36DD764A"/>
    <w:multiLevelType w:val="multilevel"/>
    <w:tmpl w:val="36DD764A"/>
    <w:lvl w:ilvl="0">
      <w:start w:val="1"/>
      <w:numFmt w:val="decimal"/>
      <w:lvlText w:val="%1)"/>
      <w:lvlJc w:val="left"/>
      <w:pPr>
        <w:ind w:left="90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4D340C8D"/>
    <w:multiLevelType w:val="multilevel"/>
    <w:tmpl w:val="4D340C8D"/>
    <w:lvl w:ilvl="0">
      <w:start w:val="1"/>
      <w:numFmt w:val="decimal"/>
      <w:lvlText w:val="%1)"/>
      <w:lvlJc w:val="left"/>
      <w:pPr>
        <w:ind w:left="90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513A6D0D"/>
    <w:multiLevelType w:val="singleLevel"/>
    <w:tmpl w:val="513A6D0D"/>
    <w:lvl w:ilvl="0">
      <w:start w:val="1"/>
      <w:numFmt w:val="decimal"/>
      <w:suff w:val="nothing"/>
      <w:lvlText w:val="%1、"/>
      <w:lvlJc w:val="left"/>
    </w:lvl>
  </w:abstractNum>
  <w:abstractNum w:abstractNumId="8" w15:restartNumberingAfterBreak="0">
    <w:nsid w:val="60AC6DFA"/>
    <w:multiLevelType w:val="multilevel"/>
    <w:tmpl w:val="60AC6DFA"/>
    <w:lvl w:ilvl="0">
      <w:start w:val="1"/>
      <w:numFmt w:val="decimal"/>
      <w:lvlText w:val="%1)"/>
      <w:lvlJc w:val="left"/>
      <w:pPr>
        <w:ind w:left="90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625F1ED2"/>
    <w:multiLevelType w:val="multilevel"/>
    <w:tmpl w:val="625F1ED2"/>
    <w:lvl w:ilvl="0">
      <w:start w:val="1"/>
      <w:numFmt w:val="decimal"/>
      <w:lvlText w:val="%1)"/>
      <w:lvlJc w:val="left"/>
      <w:pPr>
        <w:ind w:left="840" w:hanging="360"/>
      </w:pPr>
      <w:rPr>
        <w:rFonts w:hint="default"/>
      </w:rPr>
    </w:lvl>
    <w:lvl w:ilvl="1">
      <w:start w:val="1"/>
      <w:numFmt w:val="decimal"/>
      <w:lvlText w:val="%2."/>
      <w:lvlJc w:val="left"/>
      <w:pPr>
        <w:ind w:left="1815" w:hanging="915"/>
      </w:pPr>
      <w:rPr>
        <w:rFonts w:hint="default"/>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0" w15:restartNumberingAfterBreak="0">
    <w:nsid w:val="645901DA"/>
    <w:multiLevelType w:val="multilevel"/>
    <w:tmpl w:val="645901DA"/>
    <w:lvl w:ilvl="0">
      <w:start w:val="1"/>
      <w:numFmt w:val="decimal"/>
      <w:pStyle w:val="1"/>
      <w:lvlText w:val="%1."/>
      <w:lvlJc w:val="left"/>
      <w:pPr>
        <w:tabs>
          <w:tab w:val="left" w:pos="425"/>
        </w:tabs>
        <w:ind w:left="425" w:hanging="425"/>
      </w:pPr>
      <w:rPr>
        <w:rFonts w:ascii="Times New Roman" w:eastAsia="宋体" w:hAnsi="Times New Roman" w:hint="default"/>
        <w:b w:val="0"/>
        <w:i w:val="0"/>
        <w:spacing w:val="-12"/>
        <w:sz w:val="28"/>
        <w:szCs w:val="44"/>
      </w:rPr>
    </w:lvl>
    <w:lvl w:ilvl="1">
      <w:start w:val="1"/>
      <w:numFmt w:val="decimal"/>
      <w:pStyle w:val="2"/>
      <w:lvlText w:val="%1.%2."/>
      <w:lvlJc w:val="left"/>
      <w:pPr>
        <w:tabs>
          <w:tab w:val="left" w:pos="567"/>
        </w:tabs>
        <w:ind w:left="567" w:hanging="567"/>
      </w:pPr>
      <w:rPr>
        <w:rFonts w:ascii="Times New Roman" w:eastAsia="宋体" w:hAnsi="Times New Roman" w:hint="default"/>
        <w:shadow w:val="0"/>
        <w:emboss w:val="0"/>
        <w:imprint w:val="0"/>
        <w:sz w:val="24"/>
        <w:szCs w:val="24"/>
      </w:rPr>
    </w:lvl>
    <w:lvl w:ilvl="2">
      <w:start w:val="1"/>
      <w:numFmt w:val="decimal"/>
      <w:pStyle w:val="3"/>
      <w:lvlText w:val="%1.%2.%3."/>
      <w:lvlJc w:val="left"/>
      <w:pPr>
        <w:tabs>
          <w:tab w:val="left" w:pos="709"/>
        </w:tabs>
        <w:ind w:left="709" w:hanging="709"/>
      </w:pPr>
      <w:rPr>
        <w:rFonts w:ascii="黑体" w:eastAsia="黑体" w:hAnsi="黑体"/>
        <w:b w:val="0"/>
        <w:sz w:val="24"/>
        <w:szCs w:val="24"/>
      </w:rPr>
    </w:lvl>
    <w:lvl w:ilvl="3">
      <w:start w:val="1"/>
      <w:numFmt w:val="decimal"/>
      <w:lvlText w:val="%1.%2.%3.%4."/>
      <w:lvlJc w:val="left"/>
      <w:pPr>
        <w:tabs>
          <w:tab w:val="left" w:pos="851"/>
        </w:tabs>
        <w:ind w:left="851" w:hanging="851"/>
      </w:pPr>
      <w:rPr>
        <w:rFonts w:hint="eastAsia"/>
        <w:shadow w:val="0"/>
        <w:emboss w:val="0"/>
        <w:imprint w:val="0"/>
        <w:sz w:val="24"/>
        <w:szCs w:val="24"/>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1" w15:restartNumberingAfterBreak="0">
    <w:nsid w:val="69D84CD0"/>
    <w:multiLevelType w:val="multilevel"/>
    <w:tmpl w:val="69D84CD0"/>
    <w:lvl w:ilvl="0">
      <w:start w:val="1"/>
      <w:numFmt w:val="decimal"/>
      <w:lvlText w:val="%1）"/>
      <w:lvlJc w:val="left"/>
      <w:pPr>
        <w:ind w:left="900" w:hanging="420"/>
      </w:pPr>
      <w:rPr>
        <w:rFonts w:ascii="Times New Roman" w:eastAsia="宋体" w:hAnsi="Times New Roman" w:cs="Times New Roman"/>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2" w15:restartNumberingAfterBreak="0">
    <w:nsid w:val="707C0B33"/>
    <w:multiLevelType w:val="multilevel"/>
    <w:tmpl w:val="707C0B33"/>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3" w15:restartNumberingAfterBreak="0">
    <w:nsid w:val="798C3ACD"/>
    <w:multiLevelType w:val="multilevel"/>
    <w:tmpl w:val="798C3ACD"/>
    <w:lvl w:ilvl="0">
      <w:start w:val="1"/>
      <w:numFmt w:val="decimal"/>
      <w:lvlText w:val="%1)"/>
      <w:lvlJc w:val="left"/>
      <w:pPr>
        <w:ind w:left="90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929077177">
    <w:abstractNumId w:val="10"/>
  </w:num>
  <w:num w:numId="2" w16cid:durableId="658575461">
    <w:abstractNumId w:val="1"/>
  </w:num>
  <w:num w:numId="3" w16cid:durableId="1467118862">
    <w:abstractNumId w:val="11"/>
  </w:num>
  <w:num w:numId="4" w16cid:durableId="1714117410">
    <w:abstractNumId w:val="2"/>
  </w:num>
  <w:num w:numId="5" w16cid:durableId="1264067194">
    <w:abstractNumId w:val="9"/>
  </w:num>
  <w:num w:numId="6" w16cid:durableId="1662587476">
    <w:abstractNumId w:val="7"/>
  </w:num>
  <w:num w:numId="7" w16cid:durableId="681902780">
    <w:abstractNumId w:val="4"/>
  </w:num>
  <w:num w:numId="8" w16cid:durableId="202979884">
    <w:abstractNumId w:val="12"/>
  </w:num>
  <w:num w:numId="9" w16cid:durableId="908154203">
    <w:abstractNumId w:val="8"/>
  </w:num>
  <w:num w:numId="10" w16cid:durableId="1913734552">
    <w:abstractNumId w:val="6"/>
  </w:num>
  <w:num w:numId="11" w16cid:durableId="286277635">
    <w:abstractNumId w:val="3"/>
  </w:num>
  <w:num w:numId="12" w16cid:durableId="1223952172">
    <w:abstractNumId w:val="5"/>
  </w:num>
  <w:num w:numId="13" w16cid:durableId="409547155">
    <w:abstractNumId w:val="13"/>
  </w:num>
  <w:num w:numId="14" w16cid:durableId="1244798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420"/>
  <w:drawingGridVerticalSpacing w:val="156"/>
  <w:noPunctuationKerning/>
  <w:characterSpacingControl w:val="compressPunctuation"/>
  <w:hdrShapeDefaults>
    <o:shapedefaults v:ext="edit" spidmax="3480" fillcolor="white">
      <v:fill color="white"/>
    </o:shapedefaults>
    <o:shapelayout v:ext="edit">
      <o:idmap v:ext="edit" data="1,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djOWU0YzMwMTFhNGRjOGFkOTU1ZTc0YjdlYzE3NGUifQ=="/>
  </w:docVars>
  <w:rsids>
    <w:rsidRoot w:val="0031410D"/>
    <w:rsid w:val="00047E39"/>
    <w:rsid w:val="00077FDB"/>
    <w:rsid w:val="000A5D68"/>
    <w:rsid w:val="000B451C"/>
    <w:rsid w:val="00164FEE"/>
    <w:rsid w:val="00204737"/>
    <w:rsid w:val="002B10A3"/>
    <w:rsid w:val="002E466F"/>
    <w:rsid w:val="002F7906"/>
    <w:rsid w:val="0031410D"/>
    <w:rsid w:val="003C012F"/>
    <w:rsid w:val="003D0CEC"/>
    <w:rsid w:val="003D3005"/>
    <w:rsid w:val="004576A7"/>
    <w:rsid w:val="0046452A"/>
    <w:rsid w:val="005A0E75"/>
    <w:rsid w:val="0066601C"/>
    <w:rsid w:val="00677D8C"/>
    <w:rsid w:val="006B49AB"/>
    <w:rsid w:val="006D45A9"/>
    <w:rsid w:val="007701C2"/>
    <w:rsid w:val="007F2BC0"/>
    <w:rsid w:val="00823DEE"/>
    <w:rsid w:val="0084753F"/>
    <w:rsid w:val="00857F2A"/>
    <w:rsid w:val="00872E90"/>
    <w:rsid w:val="009154EF"/>
    <w:rsid w:val="00935711"/>
    <w:rsid w:val="0099249C"/>
    <w:rsid w:val="00A22E09"/>
    <w:rsid w:val="00A25B7F"/>
    <w:rsid w:val="00A43A96"/>
    <w:rsid w:val="00B4681B"/>
    <w:rsid w:val="00B6335A"/>
    <w:rsid w:val="00C73706"/>
    <w:rsid w:val="00D96567"/>
    <w:rsid w:val="00DB1F50"/>
    <w:rsid w:val="00E460E3"/>
    <w:rsid w:val="00EF02F0"/>
    <w:rsid w:val="00EF203D"/>
    <w:rsid w:val="00F2688D"/>
    <w:rsid w:val="00F45CA8"/>
    <w:rsid w:val="00F831F9"/>
    <w:rsid w:val="2182050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480" fillcolor="white">
      <v:fill color="white"/>
    </o:shapedefaults>
    <o:shapelayout v:ext="edit">
      <o:idmap v:ext="edit" data="2"/>
    </o:shapelayout>
  </w:shapeDefaults>
  <w:decimalSymbol w:val="."/>
  <w:listSeparator w:val=","/>
  <w14:docId w14:val="4BEEE118"/>
  <w15:docId w15:val="{CBA8A905-E504-4EB1-91E2-61F2C8895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qFormat="1"/>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kern w:val="2"/>
      <w:sz w:val="21"/>
      <w:szCs w:val="22"/>
      <w:lang w:bidi="ar-SA"/>
    </w:rPr>
  </w:style>
  <w:style w:type="paragraph" w:styleId="1">
    <w:name w:val="heading 1"/>
    <w:basedOn w:val="a0"/>
    <w:next w:val="a0"/>
    <w:link w:val="10"/>
    <w:qFormat/>
    <w:pPr>
      <w:keepNext/>
      <w:keepLines/>
      <w:widowControl/>
      <w:numPr>
        <w:numId w:val="1"/>
      </w:numPr>
      <w:spacing w:before="240" w:after="240" w:line="360" w:lineRule="auto"/>
      <w:outlineLvl w:val="0"/>
    </w:pPr>
    <w:rPr>
      <w:rFonts w:ascii="仿宋_GB2312" w:eastAsia="仿宋_GB2312"/>
      <w:b/>
      <w:bCs/>
      <w:kern w:val="44"/>
      <w:sz w:val="28"/>
      <w:szCs w:val="28"/>
    </w:rPr>
  </w:style>
  <w:style w:type="paragraph" w:styleId="2">
    <w:name w:val="heading 2"/>
    <w:basedOn w:val="a0"/>
    <w:next w:val="a0"/>
    <w:link w:val="20"/>
    <w:uiPriority w:val="9"/>
    <w:qFormat/>
    <w:pPr>
      <w:keepNext/>
      <w:keepLines/>
      <w:numPr>
        <w:ilvl w:val="1"/>
        <w:numId w:val="1"/>
      </w:numPr>
      <w:spacing w:line="360" w:lineRule="auto"/>
      <w:jc w:val="left"/>
      <w:outlineLvl w:val="1"/>
    </w:pPr>
    <w:rPr>
      <w:rFonts w:ascii="仿宋_GB2312" w:eastAsia="仿宋_GB2312" w:hAnsi="Arial"/>
      <w:b/>
      <w:bCs/>
      <w:sz w:val="28"/>
      <w:szCs w:val="28"/>
    </w:rPr>
  </w:style>
  <w:style w:type="paragraph" w:styleId="3">
    <w:name w:val="heading 3"/>
    <w:basedOn w:val="a0"/>
    <w:next w:val="a0"/>
    <w:link w:val="30"/>
    <w:qFormat/>
    <w:pPr>
      <w:keepNext/>
      <w:keepLines/>
      <w:numPr>
        <w:ilvl w:val="2"/>
        <w:numId w:val="1"/>
      </w:numPr>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a5"/>
    <w:qFormat/>
    <w:pPr>
      <w:spacing w:line="300" w:lineRule="auto"/>
      <w:ind w:firstLine="420"/>
    </w:pPr>
    <w:rPr>
      <w:sz w:val="24"/>
      <w:szCs w:val="20"/>
    </w:rPr>
  </w:style>
  <w:style w:type="paragraph" w:styleId="a6">
    <w:name w:val="caption"/>
    <w:basedOn w:val="a0"/>
    <w:next w:val="a0"/>
    <w:qFormat/>
    <w:pPr>
      <w:adjustRightInd w:val="0"/>
      <w:spacing w:before="152" w:after="160" w:line="360" w:lineRule="atLeast"/>
      <w:jc w:val="left"/>
      <w:textAlignment w:val="baseline"/>
    </w:pPr>
    <w:rPr>
      <w:rFonts w:ascii="Arial" w:eastAsia="黑体" w:hAnsi="Arial" w:cs="Arial"/>
      <w:kern w:val="0"/>
      <w:sz w:val="20"/>
      <w:szCs w:val="20"/>
    </w:rPr>
  </w:style>
  <w:style w:type="paragraph" w:styleId="a7">
    <w:name w:val="Body Text"/>
    <w:basedOn w:val="a0"/>
    <w:next w:val="a8"/>
    <w:uiPriority w:val="99"/>
    <w:unhideWhenUsed/>
    <w:qFormat/>
    <w:pPr>
      <w:spacing w:after="120"/>
    </w:pPr>
  </w:style>
  <w:style w:type="paragraph" w:styleId="a8">
    <w:name w:val="Title"/>
    <w:basedOn w:val="a0"/>
    <w:next w:val="a0"/>
    <w:uiPriority w:val="10"/>
    <w:qFormat/>
    <w:pPr>
      <w:adjustRightInd w:val="0"/>
      <w:snapToGrid w:val="0"/>
      <w:spacing w:before="120" w:after="120"/>
      <w:jc w:val="center"/>
      <w:outlineLvl w:val="0"/>
    </w:pPr>
    <w:rPr>
      <w:rFonts w:ascii="等线 Light" w:eastAsia="等线 Light" w:hAnsi="等线 Light"/>
      <w:b/>
      <w:bCs/>
      <w:sz w:val="28"/>
      <w:szCs w:val="32"/>
    </w:rPr>
  </w:style>
  <w:style w:type="paragraph" w:styleId="TOC3">
    <w:name w:val="toc 3"/>
    <w:basedOn w:val="a0"/>
    <w:next w:val="a0"/>
    <w:uiPriority w:val="39"/>
    <w:pPr>
      <w:ind w:left="420"/>
      <w:jc w:val="left"/>
    </w:pPr>
    <w:rPr>
      <w:i/>
      <w:iCs/>
      <w:sz w:val="20"/>
      <w:szCs w:val="20"/>
    </w:rPr>
  </w:style>
  <w:style w:type="paragraph" w:styleId="a9">
    <w:name w:val="Plain Text"/>
    <w:basedOn w:val="a0"/>
    <w:qFormat/>
    <w:rPr>
      <w:rFonts w:hAnsi="Courier New"/>
    </w:rPr>
  </w:style>
  <w:style w:type="paragraph" w:styleId="aa">
    <w:name w:val="Balloon Text"/>
    <w:basedOn w:val="a0"/>
    <w:link w:val="ab"/>
    <w:uiPriority w:val="99"/>
    <w:unhideWhenUsed/>
    <w:rPr>
      <w:sz w:val="18"/>
      <w:szCs w:val="18"/>
    </w:rPr>
  </w:style>
  <w:style w:type="paragraph" w:styleId="ac">
    <w:name w:val="footer"/>
    <w:basedOn w:val="a0"/>
    <w:link w:val="ad"/>
    <w:uiPriority w:val="99"/>
    <w:qFormat/>
    <w:pPr>
      <w:tabs>
        <w:tab w:val="center" w:pos="4153"/>
        <w:tab w:val="right" w:pos="8306"/>
      </w:tabs>
      <w:snapToGrid w:val="0"/>
      <w:jc w:val="left"/>
    </w:pPr>
    <w:rPr>
      <w:sz w:val="18"/>
      <w:szCs w:val="18"/>
    </w:rPr>
  </w:style>
  <w:style w:type="paragraph" w:styleId="ae">
    <w:name w:val="header"/>
    <w:basedOn w:val="a0"/>
    <w:link w:val="af"/>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pPr>
      <w:spacing w:before="120" w:after="120" w:line="60" w:lineRule="auto"/>
      <w:jc w:val="left"/>
    </w:pPr>
    <w:rPr>
      <w:b/>
      <w:bCs/>
      <w:caps/>
      <w:sz w:val="20"/>
      <w:szCs w:val="20"/>
    </w:rPr>
  </w:style>
  <w:style w:type="paragraph" w:styleId="TOC2">
    <w:name w:val="toc 2"/>
    <w:basedOn w:val="a0"/>
    <w:next w:val="a0"/>
    <w:uiPriority w:val="39"/>
    <w:qFormat/>
    <w:pPr>
      <w:ind w:left="210"/>
      <w:jc w:val="left"/>
    </w:pPr>
    <w:rPr>
      <w:smallCaps/>
      <w:sz w:val="20"/>
      <w:szCs w:val="20"/>
    </w:rPr>
  </w:style>
  <w:style w:type="table" w:styleId="af0">
    <w:name w:val="Table Grid"/>
    <w:tblPr>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styleId="af1">
    <w:name w:val="page number"/>
    <w:basedOn w:val="a1"/>
    <w:qFormat/>
  </w:style>
  <w:style w:type="character" w:styleId="af2">
    <w:name w:val="Hyperlink"/>
    <w:uiPriority w:val="99"/>
    <w:qFormat/>
    <w:rPr>
      <w:color w:val="0000FF"/>
      <w:u w:val="single"/>
    </w:rPr>
  </w:style>
  <w:style w:type="paragraph" w:customStyle="1" w:styleId="CommentText">
    <w:name w:val="Comment Text"/>
    <w:basedOn w:val="a0"/>
    <w:uiPriority w:val="99"/>
    <w:unhideWhenUsed/>
    <w:qFormat/>
    <w:pPr>
      <w:jc w:val="left"/>
    </w:pPr>
  </w:style>
  <w:style w:type="character" w:customStyle="1" w:styleId="10">
    <w:name w:val="标题 1 字符"/>
    <w:link w:val="1"/>
    <w:qFormat/>
    <w:rPr>
      <w:rFonts w:ascii="仿宋_GB2312" w:eastAsia="仿宋_GB2312" w:hAnsi="Times New Roman"/>
      <w:b/>
      <w:bCs/>
      <w:kern w:val="44"/>
      <w:sz w:val="28"/>
      <w:szCs w:val="28"/>
    </w:rPr>
  </w:style>
  <w:style w:type="character" w:customStyle="1" w:styleId="20">
    <w:name w:val="标题 2 字符"/>
    <w:link w:val="2"/>
    <w:uiPriority w:val="9"/>
    <w:qFormat/>
    <w:rPr>
      <w:rFonts w:ascii="仿宋_GB2312" w:eastAsia="仿宋_GB2312" w:hAnsi="Arial"/>
      <w:b/>
      <w:bCs/>
      <w:kern w:val="2"/>
      <w:sz w:val="28"/>
      <w:szCs w:val="28"/>
    </w:rPr>
  </w:style>
  <w:style w:type="character" w:customStyle="1" w:styleId="30">
    <w:name w:val="标题 3 字符"/>
    <w:link w:val="3"/>
    <w:qFormat/>
    <w:rPr>
      <w:rFonts w:ascii="Times New Roman" w:hAnsi="Times New Roman"/>
      <w:b/>
      <w:bCs/>
      <w:kern w:val="2"/>
      <w:sz w:val="32"/>
      <w:szCs w:val="32"/>
    </w:rPr>
  </w:style>
  <w:style w:type="character" w:customStyle="1" w:styleId="a5">
    <w:name w:val="正文缩进 字符"/>
    <w:link w:val="a4"/>
    <w:rPr>
      <w:kern w:val="2"/>
      <w:sz w:val="24"/>
    </w:rPr>
  </w:style>
  <w:style w:type="character" w:customStyle="1" w:styleId="ab">
    <w:name w:val="批注框文本 字符"/>
    <w:link w:val="aa"/>
    <w:uiPriority w:val="99"/>
    <w:semiHidden/>
    <w:rPr>
      <w:kern w:val="2"/>
      <w:sz w:val="18"/>
      <w:szCs w:val="18"/>
    </w:rPr>
  </w:style>
  <w:style w:type="character" w:customStyle="1" w:styleId="ad">
    <w:name w:val="页脚 字符"/>
    <w:link w:val="ac"/>
    <w:uiPriority w:val="99"/>
    <w:rPr>
      <w:kern w:val="2"/>
      <w:sz w:val="18"/>
      <w:szCs w:val="18"/>
    </w:rPr>
  </w:style>
  <w:style w:type="character" w:customStyle="1" w:styleId="af">
    <w:name w:val="页眉 字符"/>
    <w:link w:val="ae"/>
    <w:qFormat/>
    <w:rPr>
      <w:kern w:val="2"/>
      <w:sz w:val="18"/>
      <w:szCs w:val="18"/>
    </w:rPr>
  </w:style>
  <w:style w:type="character" w:customStyle="1" w:styleId="CharChar">
    <w:name w:val="正文文字样式 Char Char"/>
    <w:link w:val="af3"/>
    <w:qFormat/>
    <w:rPr>
      <w:kern w:val="2"/>
      <w:sz w:val="24"/>
      <w:szCs w:val="24"/>
    </w:rPr>
  </w:style>
  <w:style w:type="paragraph" w:customStyle="1" w:styleId="af3">
    <w:name w:val="正文文字样式"/>
    <w:basedOn w:val="a0"/>
    <w:link w:val="CharChar"/>
    <w:qFormat/>
    <w:pPr>
      <w:spacing w:line="480" w:lineRule="exact"/>
      <w:ind w:firstLineChars="200" w:firstLine="480"/>
    </w:pPr>
    <w:rPr>
      <w:sz w:val="24"/>
      <w:szCs w:val="24"/>
    </w:rPr>
  </w:style>
  <w:style w:type="character" w:customStyle="1" w:styleId="Char1">
    <w:name w:val="页眉 Char1"/>
    <w:uiPriority w:val="99"/>
    <w:semiHidden/>
    <w:rPr>
      <w:kern w:val="2"/>
      <w:sz w:val="18"/>
      <w:szCs w:val="18"/>
    </w:rPr>
  </w:style>
  <w:style w:type="character" w:customStyle="1" w:styleId="Char10">
    <w:name w:val="页脚 Char1"/>
    <w:uiPriority w:val="99"/>
    <w:semiHidden/>
    <w:rPr>
      <w:kern w:val="2"/>
      <w:sz w:val="18"/>
      <w:szCs w:val="18"/>
    </w:rPr>
  </w:style>
  <w:style w:type="paragraph" w:customStyle="1" w:styleId="11">
    <w:name w:val="正文文本缩进1"/>
    <w:basedOn w:val="a0"/>
    <w:qFormat/>
    <w:pPr>
      <w:spacing w:line="300" w:lineRule="auto"/>
      <w:ind w:firstLine="480"/>
    </w:pPr>
    <w:rPr>
      <w:rFonts w:ascii="宋体" w:hAnsi="宋体"/>
      <w:kern w:val="0"/>
      <w:sz w:val="24"/>
      <w:szCs w:val="24"/>
    </w:rPr>
  </w:style>
  <w:style w:type="paragraph" w:styleId="af4">
    <w:name w:val="List Paragraph"/>
    <w:basedOn w:val="a0"/>
    <w:qFormat/>
    <w:pPr>
      <w:ind w:firstLineChars="200" w:firstLine="420"/>
    </w:pPr>
    <w:rPr>
      <w:sz w:val="24"/>
    </w:rPr>
  </w:style>
  <w:style w:type="paragraph" w:customStyle="1" w:styleId="12">
    <w:name w:val="列出段落1"/>
    <w:basedOn w:val="a0"/>
    <w:uiPriority w:val="99"/>
    <w:qFormat/>
    <w:pPr>
      <w:ind w:firstLineChars="200" w:firstLine="420"/>
    </w:pPr>
  </w:style>
  <w:style w:type="paragraph" w:customStyle="1" w:styleId="p0">
    <w:name w:val="p0"/>
    <w:basedOn w:val="a0"/>
    <w:qFormat/>
    <w:pPr>
      <w:widowControl/>
    </w:pPr>
    <w:rPr>
      <w:szCs w:val="21"/>
    </w:rPr>
  </w:style>
  <w:style w:type="paragraph" w:customStyle="1" w:styleId="a">
    <w:name w:val="一级条标题"/>
    <w:next w:val="a0"/>
    <w:qFormat/>
    <w:pPr>
      <w:numPr>
        <w:ilvl w:val="2"/>
        <w:numId w:val="2"/>
      </w:numPr>
      <w:outlineLvl w:val="2"/>
    </w:pPr>
    <w:rPr>
      <w:rFonts w:eastAsia="黑体"/>
      <w:sz w:val="2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97CEE3C9874B4646B4493D8D7DD30D2D_13</vt:lpwstr>
  </property>
</Properties>
</file>

<file path=customXml/item2.xml><?xml version="1.0" encoding="utf-8"?>
<s:customData xmlns="http://www.wps.cn/officeDocument/2013/wpsCustomData" xmlns:s="http://www.wps.cn/officeDocument/2013/wpsCustomData">
  <customSectProps>
    <customSectPr/>
    <customSectPr/>
  </customSectProps>
  <customShpExts>
    <customShpInfo spid="_x0000_s3462"/>
    <customShpInfo spid="_x0000_s3463"/>
    <customShpInfo spid="_x0000_s3464"/>
    <customShpInfo spid="_x0000_s3465"/>
    <customShpInfo spid="_x0000_s3466"/>
    <customShpInfo spid="_x0000_s3467"/>
    <customShpInfo spid="_x0000_s3468"/>
    <customShpInfo spid="_x0000_s3469"/>
    <customShpInfo spid="_x0000_s3470"/>
    <customShpInfo spid="_x0000_s3471"/>
    <customShpInfo spid="_x0000_s3472"/>
    <customShpInfo spid="_x0000_s3473"/>
    <customShpInfo spid="_x0000_s3474"/>
    <customShpInfo spid="_x0000_s3475"/>
    <customShpInfo spid="_x0000_s3476"/>
    <customShpInfo spid="_x0000_s3477"/>
    <customShpInfo spid="_x0000_s3478"/>
    <customShpInfo spid="_x0000_s3479"/>
  </customShpExts>
</s:customData>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2017-05-16T02:05:00Z</dcterms:created>
  <dc:creator>沈威杰</dc:creator>
  <cp:lastModifiedBy>刘贞涛</cp:lastModifiedBy>
  <cp:lastPrinted>2021-10-18T08:28:00Z</cp:lastPrinted>
  <dcterms:modified xsi:type="dcterms:W3CDTF">2023-12-05T06:28:09Z</dcterms:modified>
  <cp:revision>4</cp:revision>
</cp:coreProperties>
</file>

<file path=customXml/item4.xml><?xml version="1.0" encoding="utf-8"?>
<Properties xmlns="http://schemas.openxmlformats.org/officeDocument/2006/extended-properties" xmlns:vt="http://schemas.openxmlformats.org/officeDocument/2006/docPropsVTypes">
  <Template>Normal.dotm</Template>
  <Pages>12</Pages>
  <Words>975</Words>
  <Characters>5559</Characters>
  <Lines>46</Lines>
  <Paragraphs>13</Paragraphs>
  <TotalTime>4</TotalTime>
  <ScaleCrop>false</ScaleCrop>
  <LinksUpToDate>false</LinksUpToDate>
  <CharactersWithSpaces>6521</CharactersWithSpaces>
  <Application>WPS Office_12.1.0.15712_F1E327BC-269C-435d-A152-05C5408002CA</Application>
  <DocSecurity>0</DocSecurity>
</Properties>
</file>

<file path=customXml/itemProps1.xml><?xml version="1.0" encoding="utf-8"?>
<ds:datastoreItem xmlns:ds="http://schemas.openxmlformats.org/officeDocument/2006/customXml" ds:itemID="{238C6CE2-9199-455B-BA0C-7F394841ED08}">
  <ds:schemaRefs>
    <ds:schemaRef ds:uri="http://schemas.openxmlformats.org/officeDocument/2006/custom-properties"/>
    <ds:schemaRef ds:uri="http://schemas.openxmlformats.org/officeDocument/2006/docPropsVType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4BACD76-98CD-4EC6-9DFC-27C7AB8A5A15}">
  <ds:schemaRefs>
    <ds:schemaRef ds:uri="http://schemas.openxmlformats.org/package/2006/metadata/core-properties"/>
    <ds:schemaRef ds:uri="http://purl.org/dc/elements/1.1/"/>
    <ds:schemaRef ds:uri="http://purl.org/dc/terms/"/>
    <ds:schemaRef ds:uri="http://purl.org/dc/dcmitype/"/>
  </ds:schemaRefs>
</ds:datastoreItem>
</file>

<file path=customXml/itemProps4.xml><?xml version="1.0" encoding="utf-8"?>
<ds:datastoreItem xmlns:ds="http://schemas.openxmlformats.org/officeDocument/2006/customXml" ds:itemID="{3005487C-D9C7-40C4-BB1E-0D6D760E07A6}">
  <ds:schemaRefs>
    <ds:schemaRef ds:uri="http://schemas.openxmlformats.org/officeDocument/2006/extended-properties"/>
    <ds:schemaRef ds:uri="http://schemas.openxmlformats.org/officeDocument/2006/docPropsVTypes"/>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17</Pages>
  <Words>1060</Words>
  <Characters>6043</Characters>
  <Application>Microsoft Office Word</Application>
  <DocSecurity>0</DocSecurity>
  <Lines>50</Lines>
  <Paragraphs>14</Paragraphs>
  <ScaleCrop>false</ScaleCrop>
  <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沈威杰</dc:creator>
  <cp:lastModifiedBy>洋 杜</cp:lastModifiedBy>
  <cp:revision>34</cp:revision>
  <cp:lastPrinted>2021-10-18T08:28:00Z</cp:lastPrinted>
  <dcterms:created xsi:type="dcterms:W3CDTF">2017-05-16T02:05:00Z</dcterms:created>
  <dcterms:modified xsi:type="dcterms:W3CDTF">2025-03-19T05:52:00Z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97CEE3C9874B4646B4493D8D7DD30D2D_13</vt:lpwstr>
  </property>
</Properties>
</file>