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华穗路6号楼地下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充电桩消防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改造</w:t>
      </w:r>
    </w:p>
    <w:p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技术要求</w:t>
      </w:r>
    </w:p>
    <w:p>
      <w:pPr>
        <w:spacing w:line="480" w:lineRule="auto"/>
        <w:ind w:firstLine="480" w:firstLineChars="200"/>
        <w:rPr>
          <w:rFonts w:hint="eastAsia"/>
          <w:sz w:val="24"/>
        </w:rPr>
      </w:pPr>
    </w:p>
    <w:p>
      <w:pPr>
        <w:numPr>
          <w:ilvl w:val="0"/>
          <w:numId w:val="0"/>
        </w:numPr>
        <w:spacing w:after="135" w:afterLines="50"/>
        <w:ind w:leftChars="0"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一、工程概况</w:t>
      </w:r>
    </w:p>
    <w:p>
      <w:pPr>
        <w:numPr>
          <w:ilvl w:val="0"/>
          <w:numId w:val="0"/>
        </w:numPr>
        <w:spacing w:after="135" w:afterLines="50"/>
        <w:ind w:leftChars="0"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（一）设备介绍</w:t>
      </w:r>
    </w:p>
    <w:p>
      <w:pPr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华穗路6号大楼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地下车库现有7KW交流充电桩14台，分别分布于负一层A61、A76车位，负二层B5、B7、B9、B13、B17、B19、B21、B22、B25、B27、B29、B30车位，详见下图。</w:t>
      </w:r>
    </w:p>
    <w:p>
      <w:pPr>
        <w:spacing w:line="480" w:lineRule="auto"/>
        <w:jc w:val="left"/>
      </w:pPr>
      <w:r>
        <w:drawing>
          <wp:inline distT="0" distB="0" distL="114300" distR="114300">
            <wp:extent cx="5266055" cy="5074920"/>
            <wp:effectExtent l="0" t="0" r="10795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50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135" cy="3310255"/>
            <wp:effectExtent l="0" t="0" r="571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31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spacing w:after="135" w:afterLines="50"/>
        <w:ind w:leftChars="0"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（二）改造要求</w:t>
      </w:r>
    </w:p>
    <w:p>
      <w:p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按照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广东省</w:t>
      </w:r>
      <w:r>
        <w:rPr>
          <w:rFonts w:hint="eastAsia" w:ascii="仿宋_GB2312" w:hAnsi="仿宋_GB2312" w:eastAsia="仿宋_GB2312" w:cs="仿宋_GB2312"/>
          <w:sz w:val="24"/>
          <w:szCs w:val="24"/>
        </w:rPr>
        <w:t>《电动汽车充电基础设施建设技术规程DBJ/T15-150-2018》的规定、并结合《汽车库､修车库､停车场设计防火规范》GB50067的相关规定，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针对</w:t>
      </w:r>
      <w:r>
        <w:rPr>
          <w:rFonts w:hint="eastAsia" w:ascii="仿宋_GB2312" w:hAnsi="仿宋_GB2312" w:eastAsia="仿宋_GB2312" w:cs="仿宋_GB2312"/>
          <w:sz w:val="24"/>
          <w:szCs w:val="24"/>
        </w:rPr>
        <w:t>6号大楼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地下车库充电桩迁改及完善负层充电桩区域消防整改方案如下：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1.将负一层A61、A76车位两台充电桩迁移到负二层B6、B8安装，同时在负二层B10车位增加一台充电桩，把负二层B5、B7、B9、B13车位四台充电桩迁移到B12、B15、B26、B28车位安装，实现车库充电桩集中统一在负二层B06--B30单侧编号车位安装管理。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2.在负二层B06--B30单侧编号共15台车位</w:t>
      </w:r>
      <w:r>
        <w:rPr>
          <w:rFonts w:hint="eastAsia" w:ascii="仿宋_GB2312" w:hAnsi="仿宋_GB2312" w:eastAsia="仿宋_GB2312" w:cs="仿宋_GB2312"/>
          <w:sz w:val="24"/>
          <w:szCs w:val="24"/>
        </w:rPr>
        <w:t>设置独立的防火单元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在B03与B06车位间</w:t>
      </w:r>
      <w:r>
        <w:rPr>
          <w:rFonts w:hint="eastAsia" w:ascii="仿宋_GB2312" w:hAnsi="仿宋_GB2312" w:eastAsia="仿宋_GB2312" w:cs="仿宋_GB2312"/>
          <w:sz w:val="24"/>
          <w:szCs w:val="24"/>
        </w:rPr>
        <w:t>加砌实体砖墙到楼板底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每三台车柱子间</w:t>
      </w:r>
      <w:r>
        <w:rPr>
          <w:rFonts w:hint="eastAsia" w:ascii="仿宋_GB2312" w:hAnsi="仿宋_GB2312" w:eastAsia="仿宋_GB2312" w:cs="仿宋_GB2312"/>
          <w:sz w:val="24"/>
          <w:szCs w:val="24"/>
        </w:rPr>
        <w:t>加设防火卷帘做防火分隔；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3.充电桩</w:t>
      </w:r>
      <w:r>
        <w:rPr>
          <w:rFonts w:hint="eastAsia" w:ascii="仿宋_GB2312" w:hAnsi="仿宋_GB2312" w:eastAsia="仿宋_GB2312" w:cs="仿宋_GB2312"/>
          <w:sz w:val="24"/>
          <w:szCs w:val="24"/>
        </w:rPr>
        <w:t>独立的防火单元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需要</w:t>
      </w:r>
      <w:r>
        <w:rPr>
          <w:rFonts w:hint="eastAsia" w:ascii="仿宋_GB2312" w:hAnsi="仿宋_GB2312" w:eastAsia="仿宋_GB2312" w:cs="仿宋_GB2312"/>
          <w:sz w:val="24"/>
          <w:szCs w:val="24"/>
        </w:rPr>
        <w:t>加设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温、</w:t>
      </w:r>
      <w:r>
        <w:rPr>
          <w:rFonts w:hint="eastAsia" w:ascii="仿宋_GB2312" w:hAnsi="仿宋_GB2312" w:eastAsia="仿宋_GB2312" w:cs="仿宋_GB2312"/>
          <w:sz w:val="24"/>
          <w:szCs w:val="24"/>
        </w:rPr>
        <w:t>感烟自动报警系统；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24"/>
          <w:szCs w:val="24"/>
        </w:rPr>
        <w:t>原自动喷水灭火系统改为泡沫-水喷淋系统，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在B02、B03车位后面空置地方</w:t>
      </w:r>
      <w:r>
        <w:rPr>
          <w:rFonts w:hint="eastAsia" w:ascii="仿宋_GB2312" w:hAnsi="仿宋_GB2312" w:eastAsia="仿宋_GB2312" w:cs="仿宋_GB2312"/>
          <w:sz w:val="24"/>
          <w:szCs w:val="24"/>
        </w:rPr>
        <w:t>增加泡沫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罐</w:t>
      </w:r>
      <w:r>
        <w:rPr>
          <w:rFonts w:hint="eastAsia" w:ascii="仿宋_GB2312" w:hAnsi="仿宋_GB2312" w:eastAsia="仿宋_GB2312" w:cs="仿宋_GB2312"/>
          <w:sz w:val="24"/>
          <w:szCs w:val="24"/>
        </w:rPr>
        <w:t>设备间；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sz w:val="24"/>
          <w:szCs w:val="24"/>
        </w:rPr>
        <w:t>按照最新防火单元调整现场防排烟系统，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在原消防补给风管引接三条风管至原防火区域，增加三个风口百叶，同时增加</w:t>
      </w:r>
      <w:r>
        <w:rPr>
          <w:rFonts w:hint="eastAsia" w:ascii="仿宋_GB2312" w:hAnsi="仿宋_GB2312" w:eastAsia="仿宋_GB2312" w:cs="仿宋_GB2312"/>
          <w:sz w:val="24"/>
          <w:szCs w:val="24"/>
        </w:rPr>
        <w:t>应急疏散系统；</w:t>
      </w:r>
    </w:p>
    <w:p>
      <w:pPr>
        <w:pStyle w:val="5"/>
        <w:numPr>
          <w:ilvl w:val="0"/>
          <w:numId w:val="0"/>
        </w:numPr>
        <w:spacing w:line="480" w:lineRule="auto"/>
        <w:ind w:firstLine="480" w:firstLineChars="200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6.迁改负二层原有充电桩视频监控设备，根据整体方案出完整设计图一套（包括土建、消防、监控、充电桩），</w:t>
      </w:r>
      <w:r>
        <w:rPr>
          <w:rFonts w:hint="eastAsia" w:ascii="仿宋_GB2312" w:hAnsi="仿宋_GB2312" w:eastAsia="仿宋_GB2312" w:cs="仿宋_GB2312"/>
          <w:sz w:val="24"/>
          <w:szCs w:val="24"/>
        </w:rPr>
        <w:t>配合以上内容做好现场标识。</w:t>
      </w:r>
    </w:p>
    <w:p>
      <w:pPr>
        <w:numPr>
          <w:ilvl w:val="0"/>
          <w:numId w:val="0"/>
        </w:numPr>
        <w:spacing w:after="135" w:afterLines="50"/>
        <w:ind w:leftChars="0" w:firstLine="281" w:firstLineChars="10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（三）施工现场安全要求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现场工作需要配合物业公司做好现场作业安全管控。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对操作工进行安全教育，提高全体员工的安全保护意识。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所有员工必须服从施工现场的安全管理，进入施工现场，不准吸烟，要戴好安全帽，防止坠物打击。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新进场的材料必须按指定的地方堆放整齐,不得乱摆放,影响车辆也入与人员通行,现场动用火源应先征得甲方同意,并配置灭火器。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施工过程中做好产品保护工作。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为了保持大厦内道路的洁净，在二次运输的道路上做好防护措施。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施工现场必须天天清理，做到工后场清。</w:t>
      </w:r>
    </w:p>
    <w:p>
      <w:pPr>
        <w:pStyle w:val="5"/>
        <w:numPr>
          <w:ilvl w:val="0"/>
          <w:numId w:val="1"/>
        </w:numPr>
        <w:spacing w:line="480" w:lineRule="auto"/>
        <w:ind w:left="425" w:leftChars="0" w:hanging="425" w:firstLineChars="0"/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指派现场负责人监控施工质量及安全管理。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569C52"/>
    <w:multiLevelType w:val="singleLevel"/>
    <w:tmpl w:val="29569C5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8349D3"/>
    <w:rsid w:val="097E0879"/>
    <w:rsid w:val="318349D3"/>
    <w:rsid w:val="3A417D7B"/>
    <w:rsid w:val="5E4C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DY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2025-02-26T07:58:00Z</dcterms:created>
  <dc:creator>刘书含</dc:creator>
  <cp:lastModifiedBy>刘书含</cp:lastModifiedBy>
  <dcterms:modified xsi:type="dcterms:W3CDTF">2025-02-26T07:59:29Z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2C0247838A1F4EF0B3C87F69DDA39F37</vt:lpwstr>
  </property>
</Properties>
</file>