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before="313" w:beforeLines="100" w:after="312" w:afterLines="100" w:line="360" w:lineRule="auto"/>
        <w:jc w:val="center"/>
        <w:textAlignment w:val="auto"/>
        <w:rPr>
          <w:rFonts w:hint="eastAsia" w:ascii="黑体" w:hAnsi="黑体" w:eastAsia="黑体"/>
          <w:sz w:val="32"/>
          <w:lang w:eastAsia="zh-CN"/>
        </w:rPr>
      </w:pPr>
      <w:r>
        <w:rPr>
          <w:rFonts w:hint="eastAsia" w:ascii="黑体" w:hAnsi="黑体" w:eastAsia="黑体" w:cs="黑体"/>
          <w:sz w:val="24"/>
        </w:rPr>
        <w:t>运行公司</w:t>
      </w:r>
      <w:r>
        <w:rPr>
          <w:rFonts w:hint="eastAsia" w:ascii="黑体" w:hAnsi="黑体" w:eastAsia="黑体" w:cs="黑体"/>
          <w:sz w:val="24"/>
          <w:lang w:val="en-US" w:eastAsia="zh-CN"/>
        </w:rPr>
        <w:t>阳蓄项目部及水工水情中心</w:t>
      </w:r>
      <w:r>
        <w:rPr>
          <w:rFonts w:hint="eastAsia" w:ascii="黑体" w:hAnsi="黑体" w:eastAsia="黑体" w:cs="黑体"/>
          <w:sz w:val="24"/>
          <w:lang w:val="en-US" w:eastAsia="zh-CN"/>
        </w:rPr>
        <w:br w:type="textWrapping"/>
      </w:r>
      <w:r>
        <w:rPr>
          <w:rFonts w:hint="eastAsia" w:ascii="黑体" w:hAnsi="黑体" w:eastAsia="黑体" w:cs="黑体"/>
          <w:sz w:val="24"/>
        </w:rPr>
        <w:t>202</w:t>
      </w:r>
      <w:r>
        <w:rPr>
          <w:rFonts w:hint="eastAsia" w:ascii="黑体" w:hAnsi="黑体" w:eastAsia="黑体" w:cs="黑体"/>
          <w:sz w:val="24"/>
          <w:lang w:val="en-US" w:eastAsia="zh-CN"/>
        </w:rPr>
        <w:t>5</w:t>
      </w:r>
      <w:r>
        <w:rPr>
          <w:rFonts w:hint="eastAsia" w:ascii="黑体" w:hAnsi="黑体" w:eastAsia="黑体" w:cs="黑体"/>
          <w:sz w:val="24"/>
        </w:rPr>
        <w:t>年工器具补充试验检验技术服务采购</w:t>
      </w:r>
      <w:r>
        <w:rPr>
          <w:rFonts w:hint="eastAsia" w:ascii="黑体" w:hAnsi="黑体" w:eastAsia="黑体" w:cs="黑体"/>
          <w:sz w:val="24"/>
          <w:lang w:val="en-US" w:eastAsia="zh-CN"/>
        </w:rPr>
        <w:t>项目清单</w:t>
      </w:r>
    </w:p>
    <w:tbl>
      <w:tblPr>
        <w:tblStyle w:val="6"/>
        <w:tblW w:w="4998"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hemeFill="background1"/>
        <w:tblLayout w:type="autofit"/>
        <w:tblCellMar>
          <w:top w:w="0" w:type="dxa"/>
          <w:left w:w="108" w:type="dxa"/>
          <w:bottom w:w="0" w:type="dxa"/>
          <w:right w:w="108" w:type="dxa"/>
        </w:tblCellMar>
      </w:tblPr>
      <w:tblGrid>
        <w:gridCol w:w="464"/>
        <w:gridCol w:w="1173"/>
        <w:gridCol w:w="2867"/>
        <w:gridCol w:w="1096"/>
        <w:gridCol w:w="1055"/>
        <w:gridCol w:w="931"/>
        <w:gridCol w:w="933"/>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hemeFill="background1"/>
          <w:tblCellMar>
            <w:top w:w="0" w:type="dxa"/>
            <w:left w:w="108" w:type="dxa"/>
            <w:bottom w:w="0" w:type="dxa"/>
            <w:right w:w="108" w:type="dxa"/>
          </w:tblCellMar>
        </w:tblPrEx>
        <w:trPr>
          <w:trHeight w:val="850" w:hRule="atLeast"/>
          <w:jc w:val="center"/>
        </w:trPr>
        <w:tc>
          <w:tcPr>
            <w:tcW w:w="272" w:type="pct"/>
            <w:tcBorders>
              <w:top w:val="single" w:color="auto" w:sz="8" w:space="0"/>
              <w:left w:val="single" w:color="auto" w:sz="8" w:space="0"/>
              <w:bottom w:val="single" w:color="auto" w:sz="8" w:space="0"/>
              <w:right w:val="single" w:color="auto" w:sz="8" w:space="0"/>
              <w:tl2br w:val="nil"/>
              <w:tr2bl w:val="nil"/>
            </w:tcBorders>
            <w:shd w:val="clear" w:color="auto" w:fill="auto"/>
            <w:vAlign w:val="center"/>
          </w:tcPr>
          <w:p>
            <w:pPr>
              <w:rPr>
                <w:rFonts w:hAnsi="宋体"/>
                <w:b/>
                <w:sz w:val="18"/>
              </w:rPr>
            </w:pPr>
            <w:r>
              <w:rPr>
                <w:rFonts w:hAnsi="宋体"/>
                <w:b/>
                <w:sz w:val="18"/>
              </w:rPr>
              <w:t>序号</w:t>
            </w:r>
          </w:p>
        </w:tc>
        <w:tc>
          <w:tcPr>
            <w:tcW w:w="688" w:type="pct"/>
            <w:tcBorders>
              <w:top w:val="single" w:color="auto" w:sz="8" w:space="0"/>
              <w:left w:val="single" w:color="auto" w:sz="8" w:space="0"/>
              <w:bottom w:val="single" w:color="auto" w:sz="8" w:space="0"/>
              <w:right w:val="single" w:color="auto" w:sz="8" w:space="0"/>
              <w:tl2br w:val="nil"/>
              <w:tr2bl w:val="nil"/>
            </w:tcBorders>
            <w:shd w:val="clear" w:color="auto" w:fill="auto"/>
            <w:vAlign w:val="center"/>
          </w:tcPr>
          <w:p>
            <w:pPr>
              <w:jc w:val="center"/>
              <w:rPr>
                <w:rFonts w:hAnsi="宋体"/>
                <w:b/>
                <w:sz w:val="18"/>
              </w:rPr>
            </w:pPr>
            <w:r>
              <w:rPr>
                <w:rFonts w:hAnsi="宋体"/>
                <w:b/>
                <w:sz w:val="18"/>
              </w:rPr>
              <w:t>名称</w:t>
            </w:r>
          </w:p>
        </w:tc>
        <w:tc>
          <w:tcPr>
            <w:tcW w:w="1682" w:type="pct"/>
            <w:tcBorders>
              <w:top w:val="single" w:color="auto" w:sz="8" w:space="0"/>
              <w:left w:val="single" w:color="auto" w:sz="8" w:space="0"/>
              <w:bottom w:val="single" w:color="auto" w:sz="8" w:space="0"/>
              <w:right w:val="single" w:color="auto" w:sz="8" w:space="0"/>
              <w:tl2br w:val="nil"/>
              <w:tr2bl w:val="nil"/>
            </w:tcBorders>
            <w:shd w:val="clear" w:color="auto" w:fill="auto"/>
            <w:vAlign w:val="center"/>
          </w:tcPr>
          <w:p>
            <w:pPr>
              <w:jc w:val="center"/>
              <w:rPr>
                <w:rFonts w:hAnsi="宋体"/>
                <w:b/>
                <w:sz w:val="18"/>
              </w:rPr>
            </w:pPr>
            <w:r>
              <w:rPr>
                <w:rFonts w:hAnsi="宋体"/>
                <w:b/>
                <w:sz w:val="18"/>
              </w:rPr>
              <w:t>规格型号/项目特征</w:t>
            </w:r>
          </w:p>
        </w:tc>
        <w:tc>
          <w:tcPr>
            <w:tcW w:w="643" w:type="pct"/>
            <w:tcBorders>
              <w:top w:val="single" w:color="auto" w:sz="8" w:space="0"/>
              <w:left w:val="single" w:color="auto" w:sz="8" w:space="0"/>
              <w:bottom w:val="single" w:color="auto" w:sz="8" w:space="0"/>
              <w:right w:val="single" w:color="auto" w:sz="8" w:space="0"/>
              <w:tl2br w:val="nil"/>
              <w:tr2bl w:val="nil"/>
            </w:tcBorders>
            <w:shd w:val="clear" w:color="auto" w:fill="auto"/>
            <w:vAlign w:val="center"/>
          </w:tcPr>
          <w:p>
            <w:pPr>
              <w:jc w:val="center"/>
              <w:rPr>
                <w:rFonts w:hAnsi="宋体"/>
                <w:b/>
                <w:sz w:val="18"/>
              </w:rPr>
            </w:pPr>
            <w:r>
              <w:rPr>
                <w:rFonts w:hAnsi="宋体"/>
                <w:b/>
                <w:sz w:val="18"/>
              </w:rPr>
              <w:t>供货期/工期要求</w:t>
            </w:r>
          </w:p>
        </w:tc>
        <w:tc>
          <w:tcPr>
            <w:tcW w:w="619" w:type="pct"/>
            <w:tcBorders>
              <w:top w:val="single" w:color="auto" w:sz="8" w:space="0"/>
              <w:left w:val="single" w:color="auto" w:sz="8" w:space="0"/>
              <w:bottom w:val="single" w:color="auto" w:sz="8" w:space="0"/>
              <w:right w:val="single" w:color="auto" w:sz="8" w:space="0"/>
              <w:tl2br w:val="nil"/>
              <w:tr2bl w:val="nil"/>
            </w:tcBorders>
            <w:shd w:val="clear" w:color="auto" w:fill="auto"/>
            <w:vAlign w:val="center"/>
          </w:tcPr>
          <w:p>
            <w:pPr>
              <w:jc w:val="center"/>
              <w:rPr>
                <w:rFonts w:hAnsi="宋体"/>
                <w:b/>
                <w:sz w:val="18"/>
              </w:rPr>
            </w:pPr>
            <w:r>
              <w:rPr>
                <w:rFonts w:hAnsi="宋体"/>
                <w:b/>
                <w:sz w:val="18"/>
              </w:rPr>
              <w:t>送货地点/施工地点</w:t>
            </w:r>
          </w:p>
        </w:tc>
        <w:tc>
          <w:tcPr>
            <w:tcW w:w="546" w:type="pct"/>
            <w:tcBorders>
              <w:top w:val="single" w:color="auto" w:sz="8" w:space="0"/>
              <w:left w:val="single" w:color="auto" w:sz="8" w:space="0"/>
              <w:bottom w:val="single" w:color="auto" w:sz="8" w:space="0"/>
              <w:right w:val="single" w:color="auto" w:sz="8" w:space="0"/>
              <w:tl2br w:val="nil"/>
              <w:tr2bl w:val="nil"/>
            </w:tcBorders>
            <w:shd w:val="clear" w:color="auto" w:fill="auto"/>
            <w:vAlign w:val="center"/>
          </w:tcPr>
          <w:p>
            <w:pPr>
              <w:jc w:val="center"/>
              <w:rPr>
                <w:rFonts w:hint="eastAsia" w:hAnsi="宋体" w:eastAsia="宋体"/>
                <w:b/>
                <w:sz w:val="18"/>
                <w:lang w:eastAsia="zh-CN"/>
              </w:rPr>
            </w:pPr>
            <w:r>
              <w:rPr>
                <w:rFonts w:hint="eastAsia" w:ascii="宋体" w:hAnsi="宋体" w:eastAsia="宋体" w:cs="宋体"/>
                <w:b/>
                <w:sz w:val="18"/>
                <w:lang w:val="en-US" w:eastAsia="zh-CN"/>
              </w:rPr>
              <w:t>数量</w:t>
            </w:r>
          </w:p>
        </w:tc>
        <w:tc>
          <w:tcPr>
            <w:tcW w:w="547" w:type="pct"/>
            <w:tcBorders>
              <w:top w:val="single" w:color="auto" w:sz="8" w:space="0"/>
              <w:left w:val="single" w:color="auto" w:sz="8" w:space="0"/>
              <w:bottom w:val="single" w:color="auto" w:sz="8" w:space="0"/>
              <w:right w:val="single" w:color="auto" w:sz="8" w:space="0"/>
              <w:tl2br w:val="nil"/>
              <w:tr2bl w:val="nil"/>
            </w:tcBorders>
            <w:shd w:val="clear" w:color="auto" w:fill="auto"/>
            <w:vAlign w:val="center"/>
          </w:tcPr>
          <w:p>
            <w:pPr>
              <w:jc w:val="center"/>
              <w:rPr>
                <w:rFonts w:hint="eastAsia" w:hAnsi="宋体" w:eastAsia="宋体"/>
                <w:b/>
                <w:sz w:val="18"/>
                <w:lang w:eastAsia="zh-CN"/>
              </w:rPr>
            </w:pPr>
            <w:r>
              <w:rPr>
                <w:rFonts w:hint="eastAsia" w:hAnsi="宋体" w:eastAsia="宋体"/>
                <w:b/>
                <w:sz w:val="18"/>
                <w:lang w:val="en-US" w:eastAsia="zh-CN"/>
              </w:rPr>
              <w:t>单位</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850" w:hRule="atLeast"/>
          <w:jc w:val="center"/>
        </w:trPr>
        <w:tc>
          <w:tcPr>
            <w:tcW w:w="272" w:type="pct"/>
            <w:tcBorders>
              <w:top w:val="single" w:color="auto" w:sz="8" w:space="0"/>
              <w:left w:val="single" w:color="auto" w:sz="8" w:space="0"/>
              <w:bottom w:val="single" w:color="auto" w:sz="8" w:space="0"/>
              <w:right w:val="single" w:color="auto" w:sz="8" w:space="0"/>
              <w:tl2br w:val="nil"/>
              <w:tr2bl w:val="nil"/>
            </w:tcBorders>
            <w:shd w:val="clear" w:color="auto" w:fill="auto"/>
            <w:vAlign w:val="center"/>
          </w:tcPr>
          <w:p>
            <w:pPr>
              <w:jc w:val="center"/>
              <w:textAlignment w:val="center"/>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1</w:t>
            </w:r>
          </w:p>
        </w:tc>
        <w:tc>
          <w:tcPr>
            <w:tcW w:w="688" w:type="pct"/>
            <w:tcBorders>
              <w:top w:val="single" w:color="auto" w:sz="8" w:space="0"/>
              <w:left w:val="single" w:color="auto" w:sz="8" w:space="0"/>
              <w:bottom w:val="single" w:color="auto" w:sz="8" w:space="0"/>
              <w:right w:val="single" w:color="auto" w:sz="8" w:space="0"/>
              <w:tl2br w:val="nil"/>
              <w:tr2bl w:val="nil"/>
            </w:tcBorders>
            <w:shd w:val="clear" w:color="auto" w:fill="auto"/>
            <w:vAlign w:val="center"/>
          </w:tcPr>
          <w:p>
            <w:pPr>
              <w:keepNext w:val="0"/>
              <w:keepLines w:val="0"/>
              <w:widowControl/>
              <w:suppressLineNumbers w:val="0"/>
              <w:jc w:val="left"/>
              <w:textAlignment w:val="center"/>
              <w:rPr>
                <w:rFonts w:hint="default" w:ascii="宋体" w:hAnsi="宋体" w:eastAsia="宋体" w:cs="宋体"/>
                <w:b/>
                <w:color w:val="000000"/>
                <w:sz w:val="18"/>
                <w:szCs w:val="18"/>
                <w:lang w:val="en-US"/>
              </w:rPr>
            </w:pPr>
            <w:r>
              <w:rPr>
                <w:rFonts w:hint="eastAsia" w:ascii="宋体" w:hAnsi="宋体" w:eastAsia="宋体" w:cs="宋体"/>
                <w:i w:val="0"/>
                <w:iCs w:val="0"/>
                <w:color w:val="000000"/>
                <w:kern w:val="0"/>
                <w:sz w:val="18"/>
                <w:szCs w:val="18"/>
                <w:u w:val="none"/>
                <w:lang w:val="en-US" w:eastAsia="zh-CN" w:bidi="ar"/>
              </w:rPr>
              <w:t>力矩扳手</w:t>
            </w:r>
          </w:p>
        </w:tc>
        <w:tc>
          <w:tcPr>
            <w:tcW w:w="1682" w:type="pct"/>
            <w:tcBorders>
              <w:top w:val="single" w:color="auto" w:sz="8" w:space="0"/>
              <w:left w:val="single" w:color="auto" w:sz="8" w:space="0"/>
              <w:bottom w:val="single" w:color="auto" w:sz="8" w:space="0"/>
              <w:right w:val="single" w:color="auto" w:sz="8" w:space="0"/>
              <w:tl2br w:val="nil"/>
              <w:tr2bl w:val="nil"/>
            </w:tcBorders>
            <w:shd w:val="clear" w:color="auto" w:fill="auto"/>
            <w:vAlign w:val="center"/>
          </w:tcPr>
          <w:p>
            <w:pPr>
              <w:keepNext w:val="0"/>
              <w:keepLines w:val="0"/>
              <w:widowControl/>
              <w:suppressLineNumbers w:val="0"/>
              <w:jc w:val="center"/>
              <w:textAlignment w:val="center"/>
              <w:rPr>
                <w:rFonts w:ascii="宋体" w:hAnsi="宋体" w:eastAsia="宋体" w:cs="宋体"/>
                <w:color w:val="000000"/>
                <w:sz w:val="18"/>
                <w:szCs w:val="18"/>
              </w:rPr>
            </w:pPr>
            <w:r>
              <w:rPr>
                <w:rFonts w:ascii="宋体" w:hAnsi="宋体" w:eastAsia="宋体" w:cs="宋体"/>
                <w:color w:val="000000"/>
                <w:sz w:val="18"/>
                <w:szCs w:val="18"/>
              </w:rPr>
              <w:t>7147124力矩扳手</w:t>
            </w:r>
          </w:p>
        </w:tc>
        <w:tc>
          <w:tcPr>
            <w:tcW w:w="643" w:type="pct"/>
            <w:tcBorders>
              <w:top w:val="single" w:color="auto" w:sz="8" w:space="0"/>
              <w:left w:val="single" w:color="auto" w:sz="8" w:space="0"/>
              <w:bottom w:val="single" w:color="auto" w:sz="8" w:space="0"/>
              <w:right w:val="single" w:color="auto" w:sz="8" w:space="0"/>
              <w:tl2br w:val="nil"/>
              <w:tr2bl w:val="nil"/>
            </w:tcBorders>
            <w:shd w:val="clear" w:color="auto" w:fill="auto"/>
            <w:vAlign w:val="center"/>
          </w:tcPr>
          <w:p>
            <w:pPr>
              <w:jc w:val="center"/>
              <w:rPr>
                <w:rFonts w:hAnsi="宋体"/>
                <w:sz w:val="18"/>
              </w:rPr>
            </w:pPr>
            <w:r>
              <w:rPr>
                <w:rFonts w:hint="eastAsia" w:hAnsi="宋体" w:eastAsia="宋体"/>
                <w:sz w:val="18"/>
                <w:lang w:val="en-US" w:eastAsia="zh-CN"/>
              </w:rPr>
              <w:t>2025-05-30</w:t>
            </w:r>
          </w:p>
        </w:tc>
        <w:tc>
          <w:tcPr>
            <w:tcW w:w="619" w:type="pct"/>
            <w:tcBorders>
              <w:top w:val="single" w:color="auto" w:sz="8" w:space="0"/>
              <w:left w:val="single" w:color="auto" w:sz="8" w:space="0"/>
              <w:bottom w:val="single" w:color="auto" w:sz="8" w:space="0"/>
              <w:right w:val="single" w:color="auto" w:sz="8" w:space="0"/>
              <w:tl2br w:val="nil"/>
              <w:tr2bl w:val="nil"/>
            </w:tcBorders>
            <w:shd w:val="clear" w:color="auto" w:fill="auto"/>
            <w:vAlign w:val="center"/>
          </w:tcPr>
          <w:p>
            <w:pPr>
              <w:jc w:val="center"/>
              <w:rPr>
                <w:rFonts w:hint="default" w:hAnsi="宋体" w:eastAsia="宋体"/>
                <w:sz w:val="18"/>
                <w:lang w:val="en-US" w:eastAsia="zh-CN"/>
              </w:rPr>
            </w:pPr>
            <w:r>
              <w:rPr>
                <w:rFonts w:hint="default" w:hAnsi="宋体" w:eastAsia="宋体"/>
                <w:sz w:val="18"/>
                <w:lang w:eastAsia="zh-CN"/>
              </w:rPr>
              <w:t>阳蓄电站</w:t>
            </w:r>
          </w:p>
        </w:tc>
        <w:tc>
          <w:tcPr>
            <w:tcW w:w="546" w:type="pct"/>
            <w:tcBorders>
              <w:top w:val="single" w:color="auto" w:sz="8" w:space="0"/>
              <w:left w:val="single" w:color="auto" w:sz="8" w:space="0"/>
              <w:bottom w:val="single" w:color="auto" w:sz="8" w:space="0"/>
              <w:right w:val="single" w:color="auto" w:sz="8" w:space="0"/>
              <w:tl2br w:val="nil"/>
              <w:tr2bl w:val="nil"/>
            </w:tcBorders>
            <w:shd w:val="clear" w:color="auto" w:fill="auto"/>
            <w:vAlign w:val="center"/>
          </w:tcPr>
          <w:p>
            <w:pPr>
              <w:keepNext w:val="0"/>
              <w:keepLines w:val="0"/>
              <w:widowControl/>
              <w:suppressLineNumbers w:val="0"/>
              <w:jc w:val="center"/>
              <w:textAlignment w:val="center"/>
              <w:rPr>
                <w:rFonts w:hint="eastAsia" w:hAnsi="宋体" w:eastAsia="宋体"/>
                <w:sz w:val="18"/>
                <w:szCs w:val="18"/>
                <w:lang w:val="en-US" w:eastAsia="zh-CN"/>
              </w:rPr>
            </w:pPr>
            <w:r>
              <w:rPr>
                <w:rFonts w:hint="eastAsia" w:hAnsi="宋体" w:eastAsia="宋体"/>
                <w:sz w:val="18"/>
                <w:szCs w:val="18"/>
                <w:lang w:val="en-US" w:eastAsia="zh-CN"/>
              </w:rPr>
              <w:t>4</w:t>
            </w:r>
          </w:p>
        </w:tc>
        <w:tc>
          <w:tcPr>
            <w:tcW w:w="547" w:type="pct"/>
            <w:tcBorders>
              <w:top w:val="single" w:color="auto" w:sz="8" w:space="0"/>
              <w:left w:val="single" w:color="auto" w:sz="8" w:space="0"/>
              <w:bottom w:val="single" w:color="auto" w:sz="8" w:space="0"/>
              <w:right w:val="single" w:color="auto" w:sz="8" w:space="0"/>
              <w:tl2br w:val="nil"/>
              <w:tr2bl w:val="nil"/>
            </w:tcBorders>
            <w:shd w:val="clear" w:color="auto" w:fill="auto"/>
            <w:vAlign w:val="center"/>
          </w:tcPr>
          <w:p>
            <w:pPr>
              <w:jc w:val="center"/>
              <w:rPr>
                <w:rFonts w:hint="eastAsia" w:hAnsi="宋体" w:eastAsia="宋体"/>
                <w:sz w:val="18"/>
                <w:lang w:val="en-US" w:eastAsia="zh-CN"/>
              </w:rPr>
            </w:pPr>
            <w:r>
              <w:rPr>
                <w:rFonts w:hint="eastAsia" w:hAnsi="宋体" w:eastAsia="宋体"/>
                <w:sz w:val="18"/>
                <w:lang w:val="en-US" w:eastAsia="zh-CN"/>
              </w:rPr>
              <w:t>把</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850" w:hRule="atLeast"/>
          <w:jc w:val="center"/>
        </w:trPr>
        <w:tc>
          <w:tcPr>
            <w:tcW w:w="272" w:type="pct"/>
            <w:tcBorders>
              <w:top w:val="single" w:color="auto" w:sz="8" w:space="0"/>
              <w:left w:val="single" w:color="auto" w:sz="8" w:space="0"/>
              <w:bottom w:val="single" w:color="auto" w:sz="8" w:space="0"/>
              <w:right w:val="single" w:color="auto" w:sz="8" w:space="0"/>
              <w:tl2br w:val="nil"/>
              <w:tr2bl w:val="nil"/>
            </w:tcBorders>
            <w:shd w:val="clear" w:color="auto" w:fill="auto"/>
            <w:vAlign w:val="center"/>
          </w:tcPr>
          <w:p>
            <w:pPr>
              <w:jc w:val="center"/>
              <w:textAlignment w:val="center"/>
              <w:rPr>
                <w:rFonts w:hint="default" w:ascii="宋体" w:hAnsi="宋体" w:eastAsia="宋体" w:cs="宋体"/>
                <w:color w:val="000000"/>
                <w:kern w:val="0"/>
                <w:sz w:val="18"/>
                <w:szCs w:val="18"/>
                <w:lang w:val="en-US" w:eastAsia="zh-CN" w:bidi="ar"/>
              </w:rPr>
            </w:pPr>
            <w:r>
              <w:rPr>
                <w:rFonts w:hint="eastAsia" w:ascii="宋体" w:hAnsi="宋体" w:eastAsia="宋体" w:cs="宋体"/>
                <w:color w:val="000000"/>
                <w:kern w:val="0"/>
                <w:sz w:val="18"/>
                <w:szCs w:val="18"/>
                <w:lang w:val="en-US" w:eastAsia="zh-CN" w:bidi="ar"/>
              </w:rPr>
              <w:t>2</w:t>
            </w:r>
          </w:p>
        </w:tc>
        <w:tc>
          <w:tcPr>
            <w:tcW w:w="688" w:type="pct"/>
            <w:tcBorders>
              <w:top w:val="single" w:color="auto" w:sz="8" w:space="0"/>
              <w:left w:val="single" w:color="auto" w:sz="8" w:space="0"/>
              <w:bottom w:val="single" w:color="auto" w:sz="8" w:space="0"/>
              <w:right w:val="single" w:color="auto" w:sz="8" w:space="0"/>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力矩扳手</w:t>
            </w:r>
          </w:p>
        </w:tc>
        <w:tc>
          <w:tcPr>
            <w:tcW w:w="1682" w:type="pct"/>
            <w:tcBorders>
              <w:top w:val="single" w:color="auto" w:sz="8" w:space="0"/>
              <w:left w:val="single" w:color="auto" w:sz="8" w:space="0"/>
              <w:bottom w:val="single" w:color="auto" w:sz="8" w:space="0"/>
              <w:right w:val="single" w:color="auto" w:sz="8" w:space="0"/>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7147122 力矩扳手</w:t>
            </w:r>
          </w:p>
        </w:tc>
        <w:tc>
          <w:tcPr>
            <w:tcW w:w="643" w:type="pct"/>
            <w:tcBorders>
              <w:top w:val="single" w:color="auto" w:sz="8" w:space="0"/>
              <w:left w:val="single" w:color="auto" w:sz="8" w:space="0"/>
              <w:bottom w:val="single" w:color="auto" w:sz="8" w:space="0"/>
              <w:right w:val="single" w:color="auto" w:sz="8" w:space="0"/>
              <w:tl2br w:val="nil"/>
              <w:tr2bl w:val="nil"/>
            </w:tcBorders>
            <w:shd w:val="clear" w:color="auto" w:fill="auto"/>
            <w:vAlign w:val="center"/>
          </w:tcPr>
          <w:p>
            <w:pPr>
              <w:jc w:val="center"/>
              <w:rPr>
                <w:rFonts w:hint="eastAsia" w:hAnsi="宋体" w:eastAsia="宋体"/>
                <w:sz w:val="18"/>
                <w:lang w:val="en-US" w:eastAsia="zh-CN"/>
              </w:rPr>
            </w:pPr>
            <w:r>
              <w:rPr>
                <w:rFonts w:hint="eastAsia" w:hAnsi="宋体" w:eastAsia="宋体"/>
                <w:sz w:val="18"/>
                <w:lang w:val="en-US" w:eastAsia="zh-CN"/>
              </w:rPr>
              <w:t>2025-05-30</w:t>
            </w:r>
          </w:p>
        </w:tc>
        <w:tc>
          <w:tcPr>
            <w:tcW w:w="619" w:type="pct"/>
            <w:tcBorders>
              <w:top w:val="single" w:color="auto" w:sz="8" w:space="0"/>
              <w:left w:val="single" w:color="auto" w:sz="8" w:space="0"/>
              <w:bottom w:val="single" w:color="auto" w:sz="8" w:space="0"/>
              <w:right w:val="single" w:color="auto" w:sz="8" w:space="0"/>
              <w:tl2br w:val="nil"/>
              <w:tr2bl w:val="nil"/>
            </w:tcBorders>
            <w:shd w:val="clear" w:color="auto" w:fill="auto"/>
            <w:vAlign w:val="center"/>
          </w:tcPr>
          <w:p>
            <w:pPr>
              <w:jc w:val="center"/>
              <w:rPr>
                <w:rFonts w:hint="default" w:hAnsi="宋体" w:eastAsia="宋体"/>
                <w:sz w:val="18"/>
                <w:lang w:val="en-US" w:eastAsia="zh-CN"/>
              </w:rPr>
            </w:pPr>
            <w:r>
              <w:rPr>
                <w:rFonts w:hint="default" w:hAnsi="宋体" w:eastAsia="宋体"/>
                <w:sz w:val="18"/>
                <w:lang w:eastAsia="zh-CN"/>
              </w:rPr>
              <w:t>阳蓄电站</w:t>
            </w:r>
          </w:p>
        </w:tc>
        <w:tc>
          <w:tcPr>
            <w:tcW w:w="546" w:type="pct"/>
            <w:tcBorders>
              <w:top w:val="single" w:color="auto" w:sz="8" w:space="0"/>
              <w:left w:val="single" w:color="auto" w:sz="8" w:space="0"/>
              <w:bottom w:val="single" w:color="auto" w:sz="8" w:space="0"/>
              <w:right w:val="single" w:color="auto" w:sz="8" w:space="0"/>
              <w:tl2br w:val="nil"/>
              <w:tr2bl w:val="nil"/>
            </w:tcBorders>
            <w:shd w:val="clear" w:color="auto" w:fill="auto"/>
            <w:vAlign w:val="center"/>
          </w:tcPr>
          <w:p>
            <w:pPr>
              <w:keepNext w:val="0"/>
              <w:keepLines w:val="0"/>
              <w:widowControl/>
              <w:suppressLineNumbers w:val="0"/>
              <w:jc w:val="center"/>
              <w:textAlignment w:val="center"/>
              <w:rPr>
                <w:rFonts w:hAnsi="宋体" w:eastAsia="宋体"/>
                <w:sz w:val="18"/>
                <w:szCs w:val="18"/>
              </w:rPr>
            </w:pPr>
            <w:r>
              <w:rPr>
                <w:rFonts w:hint="eastAsia" w:hAnsi="宋体" w:eastAsia="宋体"/>
                <w:sz w:val="18"/>
                <w:szCs w:val="18"/>
                <w:lang w:val="en-US" w:eastAsia="zh-CN"/>
              </w:rPr>
              <w:t>6</w:t>
            </w:r>
          </w:p>
        </w:tc>
        <w:tc>
          <w:tcPr>
            <w:tcW w:w="547" w:type="pct"/>
            <w:tcBorders>
              <w:top w:val="single" w:color="auto" w:sz="8" w:space="0"/>
              <w:left w:val="single" w:color="auto" w:sz="8" w:space="0"/>
              <w:bottom w:val="single" w:color="auto" w:sz="8" w:space="0"/>
              <w:right w:val="single" w:color="auto" w:sz="8" w:space="0"/>
              <w:tl2br w:val="nil"/>
              <w:tr2bl w:val="nil"/>
            </w:tcBorders>
            <w:shd w:val="clear" w:color="auto" w:fill="auto"/>
            <w:vAlign w:val="center"/>
          </w:tcPr>
          <w:p>
            <w:pPr>
              <w:keepNext w:val="0"/>
              <w:keepLines w:val="0"/>
              <w:widowControl/>
              <w:suppressLineNumbers w:val="0"/>
              <w:jc w:val="center"/>
              <w:textAlignment w:val="center"/>
              <w:rPr>
                <w:rFonts w:hint="eastAsia" w:hAnsi="宋体" w:eastAsia="宋体"/>
                <w:sz w:val="18"/>
                <w:lang w:val="en-US" w:eastAsia="zh-CN"/>
              </w:rPr>
            </w:pPr>
            <w:r>
              <w:rPr>
                <w:rFonts w:hint="eastAsia" w:hAnsi="宋体" w:eastAsia="宋体"/>
                <w:sz w:val="18"/>
                <w:lang w:val="en-US" w:eastAsia="zh-CN"/>
              </w:rPr>
              <w:t>把</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850" w:hRule="atLeast"/>
          <w:jc w:val="center"/>
        </w:trPr>
        <w:tc>
          <w:tcPr>
            <w:tcW w:w="272" w:type="pct"/>
            <w:tcBorders>
              <w:top w:val="single" w:color="auto" w:sz="8" w:space="0"/>
              <w:left w:val="single" w:color="auto" w:sz="8" w:space="0"/>
              <w:bottom w:val="single" w:color="auto" w:sz="8" w:space="0"/>
              <w:right w:val="single" w:color="auto" w:sz="8" w:space="0"/>
              <w:tl2br w:val="nil"/>
              <w:tr2bl w:val="nil"/>
            </w:tcBorders>
            <w:shd w:val="clear" w:color="auto" w:fill="auto"/>
            <w:vAlign w:val="center"/>
          </w:tcPr>
          <w:p>
            <w:pPr>
              <w:ind w:left="0" w:leftChars="0" w:firstLine="0" w:firstLineChars="0"/>
              <w:jc w:val="center"/>
              <w:textAlignment w:val="center"/>
              <w:rPr>
                <w:rFonts w:hint="default" w:ascii="宋体" w:hAnsi="宋体" w:eastAsia="宋体" w:cs="宋体"/>
                <w:color w:val="000000"/>
                <w:kern w:val="0"/>
                <w:sz w:val="18"/>
                <w:szCs w:val="18"/>
                <w:lang w:eastAsia="zh-CN" w:bidi="ar"/>
              </w:rPr>
            </w:pPr>
            <w:r>
              <w:rPr>
                <w:rFonts w:hint="default" w:ascii="宋体" w:hAnsi="宋体" w:eastAsia="宋体" w:cs="宋体"/>
                <w:color w:val="000000"/>
                <w:kern w:val="0"/>
                <w:sz w:val="18"/>
                <w:szCs w:val="18"/>
                <w:lang w:eastAsia="zh-CN" w:bidi="ar"/>
              </w:rPr>
              <w:t>3</w:t>
            </w:r>
          </w:p>
        </w:tc>
        <w:tc>
          <w:tcPr>
            <w:tcW w:w="688" w:type="pct"/>
            <w:tcBorders>
              <w:top w:val="single" w:color="auto" w:sz="8" w:space="0"/>
              <w:left w:val="single" w:color="auto" w:sz="8" w:space="0"/>
              <w:bottom w:val="single" w:color="auto" w:sz="8" w:space="0"/>
              <w:right w:val="single" w:color="auto" w:sz="8" w:space="0"/>
              <w:tl2br w:val="nil"/>
              <w:tr2bl w:val="nil"/>
            </w:tcBorders>
            <w:shd w:val="clear" w:color="auto" w:fill="auto"/>
            <w:vAlign w:val="center"/>
          </w:tcPr>
          <w:p>
            <w:pPr>
              <w:keepNext w:val="0"/>
              <w:keepLines w:val="0"/>
              <w:widowControl/>
              <w:suppressLineNumbers w:val="0"/>
              <w:ind w:left="0" w:leftChars="0" w:firstLine="0" w:firstLineChars="0"/>
              <w:jc w:val="left"/>
              <w:textAlignment w:val="center"/>
              <w:rPr>
                <w:rFonts w:hint="default" w:ascii="宋体" w:hAnsi="宋体" w:eastAsia="宋体" w:cs="宋体"/>
                <w:i w:val="0"/>
                <w:iCs w:val="0"/>
                <w:color w:val="000000"/>
                <w:kern w:val="0"/>
                <w:sz w:val="18"/>
                <w:szCs w:val="18"/>
                <w:u w:val="none"/>
                <w:lang w:eastAsia="zh-CN" w:bidi="ar"/>
              </w:rPr>
            </w:pPr>
            <w:r>
              <w:rPr>
                <w:rFonts w:hint="default" w:ascii="宋体" w:hAnsi="宋体" w:eastAsia="宋体" w:cs="宋体"/>
                <w:i w:val="0"/>
                <w:iCs w:val="0"/>
                <w:color w:val="000000"/>
                <w:kern w:val="0"/>
                <w:sz w:val="18"/>
                <w:szCs w:val="18"/>
                <w:u w:val="none"/>
                <w:lang w:eastAsia="zh-CN" w:bidi="ar"/>
              </w:rPr>
              <w:t>综合读数仪</w:t>
            </w:r>
          </w:p>
        </w:tc>
        <w:tc>
          <w:tcPr>
            <w:tcW w:w="1682" w:type="pct"/>
            <w:tcBorders>
              <w:top w:val="single" w:color="auto" w:sz="8" w:space="0"/>
              <w:left w:val="single" w:color="auto" w:sz="8" w:space="0"/>
              <w:bottom w:val="single" w:color="auto" w:sz="8" w:space="0"/>
              <w:right w:val="single" w:color="auto" w:sz="8" w:space="0"/>
              <w:tl2br w:val="nil"/>
              <w:tr2bl w:val="nil"/>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kern w:val="0"/>
                <w:sz w:val="18"/>
                <w:szCs w:val="18"/>
                <w:u w:val="none"/>
                <w:lang w:eastAsia="zh-CN" w:bidi="ar"/>
              </w:rPr>
            </w:pPr>
            <w:r>
              <w:rPr>
                <w:rFonts w:hint="default" w:ascii="宋体" w:hAnsi="宋体" w:eastAsia="宋体" w:cs="宋体"/>
                <w:i w:val="0"/>
                <w:iCs w:val="0"/>
                <w:color w:val="000000"/>
                <w:kern w:val="0"/>
                <w:sz w:val="18"/>
                <w:szCs w:val="18"/>
                <w:u w:val="none"/>
                <w:lang w:eastAsia="zh-CN" w:bidi="ar"/>
              </w:rPr>
              <w:t>B</w:t>
            </w:r>
            <w:r>
              <w:rPr>
                <w:rFonts w:hint="eastAsia" w:ascii="宋体" w:hAnsi="宋体" w:eastAsia="宋体" w:cs="宋体"/>
                <w:i w:val="0"/>
                <w:iCs w:val="0"/>
                <w:color w:val="000000"/>
                <w:kern w:val="0"/>
                <w:sz w:val="18"/>
                <w:szCs w:val="18"/>
                <w:u w:val="none"/>
                <w:lang w:val="en-US" w:eastAsia="zh-CN" w:bidi="ar"/>
              </w:rPr>
              <w:t>GK-408</w:t>
            </w:r>
            <w:r>
              <w:rPr>
                <w:rFonts w:hint="default" w:ascii="宋体" w:hAnsi="宋体" w:eastAsia="宋体" w:cs="宋体"/>
                <w:i w:val="0"/>
                <w:iCs w:val="0"/>
                <w:color w:val="000000"/>
                <w:kern w:val="0"/>
                <w:sz w:val="18"/>
                <w:szCs w:val="18"/>
                <w:u w:val="none"/>
                <w:lang w:eastAsia="zh-CN" w:bidi="ar"/>
              </w:rPr>
              <w:t xml:space="preserve"> 综合读数仪</w:t>
            </w:r>
          </w:p>
        </w:tc>
        <w:tc>
          <w:tcPr>
            <w:tcW w:w="643" w:type="pct"/>
            <w:tcBorders>
              <w:top w:val="single" w:color="auto" w:sz="8" w:space="0"/>
              <w:left w:val="single" w:color="auto" w:sz="8" w:space="0"/>
              <w:bottom w:val="single" w:color="auto" w:sz="8" w:space="0"/>
              <w:right w:val="single" w:color="auto" w:sz="8" w:space="0"/>
              <w:tl2br w:val="nil"/>
              <w:tr2bl w:val="nil"/>
            </w:tcBorders>
            <w:shd w:val="clear" w:color="auto" w:fill="auto"/>
            <w:vAlign w:val="center"/>
          </w:tcPr>
          <w:p>
            <w:pPr>
              <w:ind w:left="0" w:leftChars="0" w:firstLine="0" w:firstLineChars="0"/>
              <w:jc w:val="center"/>
              <w:rPr>
                <w:rFonts w:hint="default" w:hAnsi="宋体" w:eastAsia="宋体"/>
                <w:sz w:val="18"/>
                <w:lang w:eastAsia="zh-CN"/>
              </w:rPr>
            </w:pPr>
            <w:r>
              <w:rPr>
                <w:rFonts w:hint="eastAsia" w:hAnsi="宋体" w:eastAsia="宋体"/>
                <w:sz w:val="18"/>
                <w:lang w:val="en-US" w:eastAsia="zh-CN"/>
              </w:rPr>
              <w:t>2025-05-30</w:t>
            </w:r>
          </w:p>
        </w:tc>
        <w:tc>
          <w:tcPr>
            <w:tcW w:w="619" w:type="pct"/>
            <w:tcBorders>
              <w:top w:val="single" w:color="auto" w:sz="8" w:space="0"/>
              <w:left w:val="single" w:color="auto" w:sz="8" w:space="0"/>
              <w:bottom w:val="single" w:color="auto" w:sz="8" w:space="0"/>
              <w:right w:val="single" w:color="auto" w:sz="8" w:space="0"/>
              <w:tl2br w:val="nil"/>
              <w:tr2bl w:val="nil"/>
            </w:tcBorders>
            <w:shd w:val="clear" w:color="auto" w:fill="auto"/>
            <w:vAlign w:val="center"/>
          </w:tcPr>
          <w:p>
            <w:pPr>
              <w:ind w:left="0" w:leftChars="0" w:firstLine="0" w:firstLineChars="0"/>
              <w:jc w:val="center"/>
              <w:rPr>
                <w:rFonts w:hint="default" w:hAnsi="宋体" w:eastAsia="宋体"/>
                <w:sz w:val="18"/>
                <w:lang w:eastAsia="zh-CN"/>
              </w:rPr>
            </w:pPr>
            <w:r>
              <w:rPr>
                <w:rFonts w:hint="default" w:hAnsi="宋体" w:eastAsia="宋体"/>
                <w:sz w:val="18"/>
                <w:lang w:eastAsia="zh-CN"/>
              </w:rPr>
              <w:t>深蓄电站</w:t>
            </w:r>
          </w:p>
        </w:tc>
        <w:tc>
          <w:tcPr>
            <w:tcW w:w="546" w:type="pct"/>
            <w:tcBorders>
              <w:top w:val="single" w:color="auto" w:sz="8" w:space="0"/>
              <w:left w:val="single" w:color="auto" w:sz="8" w:space="0"/>
              <w:bottom w:val="single" w:color="auto" w:sz="8" w:space="0"/>
              <w:right w:val="single" w:color="auto" w:sz="8" w:space="0"/>
              <w:tl2br w:val="nil"/>
              <w:tr2bl w:val="nil"/>
            </w:tcBorders>
            <w:shd w:val="clear" w:color="auto" w:fill="auto"/>
            <w:vAlign w:val="center"/>
          </w:tcPr>
          <w:p>
            <w:pPr>
              <w:keepNext w:val="0"/>
              <w:keepLines w:val="0"/>
              <w:widowControl/>
              <w:suppressLineNumbers w:val="0"/>
              <w:ind w:left="0" w:leftChars="0" w:firstLine="0" w:firstLineChars="0"/>
              <w:jc w:val="center"/>
              <w:textAlignment w:val="center"/>
              <w:rPr>
                <w:rFonts w:hint="default" w:hAnsi="宋体" w:eastAsia="宋体"/>
                <w:sz w:val="18"/>
                <w:szCs w:val="18"/>
                <w:lang w:eastAsia="zh-CN"/>
              </w:rPr>
            </w:pPr>
            <w:r>
              <w:rPr>
                <w:rFonts w:hint="default" w:hAnsi="宋体" w:eastAsia="宋体"/>
                <w:sz w:val="18"/>
                <w:szCs w:val="18"/>
                <w:lang w:eastAsia="zh-CN"/>
              </w:rPr>
              <w:t>1</w:t>
            </w:r>
          </w:p>
        </w:tc>
        <w:tc>
          <w:tcPr>
            <w:tcW w:w="547" w:type="pct"/>
            <w:tcBorders>
              <w:top w:val="single" w:color="auto" w:sz="8" w:space="0"/>
              <w:left w:val="single" w:color="auto" w:sz="8" w:space="0"/>
              <w:bottom w:val="single" w:color="auto" w:sz="8" w:space="0"/>
              <w:right w:val="single" w:color="auto" w:sz="8" w:space="0"/>
              <w:tl2br w:val="nil"/>
              <w:tr2bl w:val="nil"/>
            </w:tcBorders>
            <w:shd w:val="clear" w:color="auto" w:fill="auto"/>
            <w:vAlign w:val="center"/>
          </w:tcPr>
          <w:p>
            <w:pPr>
              <w:keepNext w:val="0"/>
              <w:keepLines w:val="0"/>
              <w:widowControl/>
              <w:suppressLineNumbers w:val="0"/>
              <w:ind w:left="0" w:leftChars="0" w:firstLine="0" w:firstLineChars="0"/>
              <w:jc w:val="center"/>
              <w:textAlignment w:val="center"/>
              <w:rPr>
                <w:rFonts w:hint="default" w:hAnsi="宋体" w:eastAsia="宋体"/>
                <w:sz w:val="18"/>
                <w:lang w:eastAsia="zh-CN"/>
              </w:rPr>
            </w:pPr>
            <w:r>
              <w:rPr>
                <w:rFonts w:hint="default" w:hAnsi="宋体" w:eastAsia="宋体"/>
                <w:sz w:val="18"/>
                <w:lang w:eastAsia="zh-CN"/>
              </w:rPr>
              <w:t>台</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850" w:hRule="atLeast"/>
          <w:jc w:val="center"/>
        </w:trPr>
        <w:tc>
          <w:tcPr>
            <w:tcW w:w="272" w:type="pct"/>
            <w:tcBorders>
              <w:top w:val="single" w:color="auto" w:sz="8" w:space="0"/>
              <w:left w:val="single" w:color="auto" w:sz="8" w:space="0"/>
              <w:bottom w:val="single" w:color="auto" w:sz="8" w:space="0"/>
              <w:right w:val="single" w:color="auto" w:sz="8" w:space="0"/>
              <w:tl2br w:val="nil"/>
              <w:tr2bl w:val="nil"/>
            </w:tcBorders>
            <w:shd w:val="clear" w:color="auto" w:fill="auto"/>
            <w:vAlign w:val="center"/>
          </w:tcPr>
          <w:p>
            <w:pPr>
              <w:ind w:left="0" w:leftChars="0" w:firstLine="0" w:firstLineChars="0"/>
              <w:jc w:val="center"/>
              <w:textAlignment w:val="center"/>
              <w:rPr>
                <w:rFonts w:hint="default" w:ascii="宋体" w:hAnsi="宋体" w:eastAsia="宋体" w:cs="宋体"/>
                <w:color w:val="000000"/>
                <w:kern w:val="0"/>
                <w:sz w:val="18"/>
                <w:szCs w:val="18"/>
                <w:lang w:eastAsia="zh-CN" w:bidi="ar"/>
              </w:rPr>
            </w:pPr>
            <w:r>
              <w:rPr>
                <w:rFonts w:hint="default" w:ascii="宋体" w:hAnsi="宋体" w:eastAsia="宋体" w:cs="宋体"/>
                <w:color w:val="000000"/>
                <w:kern w:val="0"/>
                <w:sz w:val="18"/>
                <w:szCs w:val="18"/>
                <w:lang w:eastAsia="zh-CN" w:bidi="ar"/>
              </w:rPr>
              <w:t>4</w:t>
            </w:r>
          </w:p>
        </w:tc>
        <w:tc>
          <w:tcPr>
            <w:tcW w:w="688" w:type="pct"/>
            <w:tcBorders>
              <w:top w:val="single" w:color="auto" w:sz="8" w:space="0"/>
              <w:left w:val="single" w:color="auto" w:sz="8" w:space="0"/>
              <w:bottom w:val="single" w:color="auto" w:sz="8" w:space="0"/>
              <w:right w:val="single" w:color="auto" w:sz="8" w:space="0"/>
              <w:tl2br w:val="nil"/>
              <w:tr2bl w:val="nil"/>
            </w:tcBorders>
            <w:shd w:val="clear" w:color="auto" w:fill="auto"/>
            <w:vAlign w:val="center"/>
          </w:tcPr>
          <w:p>
            <w:pPr>
              <w:keepNext w:val="0"/>
              <w:keepLines w:val="0"/>
              <w:widowControl/>
              <w:suppressLineNumbers w:val="0"/>
              <w:ind w:left="0" w:leftChars="0" w:firstLine="0" w:firstLineChars="0"/>
              <w:jc w:val="left"/>
              <w:textAlignment w:val="center"/>
              <w:rPr>
                <w:rFonts w:hint="default" w:ascii="宋体" w:hAnsi="宋体" w:eastAsia="宋体" w:cs="宋体"/>
                <w:i w:val="0"/>
                <w:iCs w:val="0"/>
                <w:color w:val="000000"/>
                <w:kern w:val="0"/>
                <w:sz w:val="18"/>
                <w:szCs w:val="18"/>
                <w:u w:val="none"/>
                <w:lang w:eastAsia="zh-CN" w:bidi="ar"/>
              </w:rPr>
            </w:pPr>
            <w:r>
              <w:rPr>
                <w:rFonts w:hint="default" w:ascii="宋体" w:hAnsi="宋体" w:eastAsia="宋体" w:cs="宋体"/>
                <w:i w:val="0"/>
                <w:iCs w:val="0"/>
                <w:color w:val="000000"/>
                <w:kern w:val="0"/>
                <w:sz w:val="18"/>
                <w:szCs w:val="18"/>
                <w:u w:val="none"/>
                <w:lang w:eastAsia="zh-CN" w:bidi="ar"/>
              </w:rPr>
              <w:t>安全监测多功能读数仪</w:t>
            </w:r>
          </w:p>
        </w:tc>
        <w:tc>
          <w:tcPr>
            <w:tcW w:w="1682" w:type="pct"/>
            <w:tcBorders>
              <w:top w:val="single" w:color="auto" w:sz="8" w:space="0"/>
              <w:left w:val="single" w:color="auto" w:sz="8" w:space="0"/>
              <w:bottom w:val="single" w:color="auto" w:sz="8" w:space="0"/>
              <w:right w:val="single" w:color="auto" w:sz="8" w:space="0"/>
              <w:tl2br w:val="nil"/>
              <w:tr2bl w:val="nil"/>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kern w:val="0"/>
                <w:sz w:val="18"/>
                <w:szCs w:val="18"/>
                <w:u w:val="none"/>
                <w:lang w:eastAsia="zh-CN" w:bidi="ar"/>
              </w:rPr>
            </w:pPr>
            <w:r>
              <w:rPr>
                <w:rFonts w:hint="eastAsia" w:ascii="宋体" w:hAnsi="宋体" w:eastAsia="宋体" w:cs="宋体"/>
                <w:i w:val="0"/>
                <w:iCs w:val="0"/>
                <w:color w:val="000000"/>
                <w:kern w:val="0"/>
                <w:sz w:val="18"/>
                <w:szCs w:val="18"/>
                <w:u w:val="none"/>
                <w:lang w:val="en-US" w:eastAsia="zh-CN" w:bidi="ar"/>
              </w:rPr>
              <w:t>NDA2011</w:t>
            </w:r>
            <w:r>
              <w:rPr>
                <w:rFonts w:hint="default" w:ascii="宋体" w:hAnsi="宋体" w:eastAsia="宋体" w:cs="宋体"/>
                <w:i w:val="0"/>
                <w:iCs w:val="0"/>
                <w:color w:val="000000"/>
                <w:kern w:val="0"/>
                <w:sz w:val="18"/>
                <w:szCs w:val="18"/>
                <w:u w:val="none"/>
                <w:lang w:eastAsia="zh-CN" w:bidi="ar"/>
              </w:rPr>
              <w:t xml:space="preserve"> 安全监测多功能读数仪</w:t>
            </w:r>
          </w:p>
        </w:tc>
        <w:tc>
          <w:tcPr>
            <w:tcW w:w="643" w:type="pct"/>
            <w:tcBorders>
              <w:top w:val="single" w:color="auto" w:sz="8" w:space="0"/>
              <w:left w:val="single" w:color="auto" w:sz="8" w:space="0"/>
              <w:bottom w:val="single" w:color="auto" w:sz="8" w:space="0"/>
              <w:right w:val="single" w:color="auto" w:sz="8" w:space="0"/>
              <w:tl2br w:val="nil"/>
              <w:tr2bl w:val="nil"/>
            </w:tcBorders>
            <w:shd w:val="clear" w:color="auto" w:fill="auto"/>
            <w:vAlign w:val="center"/>
          </w:tcPr>
          <w:p>
            <w:pPr>
              <w:ind w:left="0" w:leftChars="0" w:firstLine="0" w:firstLineChars="0"/>
              <w:jc w:val="center"/>
              <w:rPr>
                <w:rFonts w:hint="default" w:hAnsi="宋体" w:eastAsia="宋体"/>
                <w:sz w:val="18"/>
                <w:lang w:eastAsia="zh-CN"/>
              </w:rPr>
            </w:pPr>
            <w:r>
              <w:rPr>
                <w:rFonts w:hint="eastAsia" w:hAnsi="宋体" w:eastAsia="宋体"/>
                <w:sz w:val="18"/>
                <w:lang w:val="en-US" w:eastAsia="zh-CN"/>
              </w:rPr>
              <w:t>2025-05-30</w:t>
            </w:r>
          </w:p>
        </w:tc>
        <w:tc>
          <w:tcPr>
            <w:tcW w:w="619" w:type="pct"/>
            <w:tcBorders>
              <w:top w:val="single" w:color="auto" w:sz="8" w:space="0"/>
              <w:left w:val="single" w:color="auto" w:sz="8" w:space="0"/>
              <w:bottom w:val="single" w:color="auto" w:sz="8" w:space="0"/>
              <w:right w:val="single" w:color="auto" w:sz="8" w:space="0"/>
              <w:tl2br w:val="nil"/>
              <w:tr2bl w:val="nil"/>
            </w:tcBorders>
            <w:shd w:val="clear" w:color="auto" w:fill="auto"/>
            <w:vAlign w:val="center"/>
          </w:tcPr>
          <w:p>
            <w:pPr>
              <w:ind w:left="0" w:leftChars="0" w:firstLine="0" w:firstLineChars="0"/>
              <w:jc w:val="center"/>
              <w:rPr>
                <w:rFonts w:hint="default" w:hAnsi="宋体" w:eastAsia="宋体"/>
                <w:sz w:val="18"/>
                <w:lang w:eastAsia="zh-CN"/>
              </w:rPr>
            </w:pPr>
            <w:r>
              <w:rPr>
                <w:rFonts w:hint="default" w:hAnsi="宋体" w:eastAsia="宋体"/>
                <w:sz w:val="18"/>
                <w:lang w:eastAsia="zh-CN"/>
              </w:rPr>
              <w:t>惠蓄电站</w:t>
            </w:r>
          </w:p>
        </w:tc>
        <w:tc>
          <w:tcPr>
            <w:tcW w:w="546" w:type="pct"/>
            <w:tcBorders>
              <w:top w:val="single" w:color="auto" w:sz="8" w:space="0"/>
              <w:left w:val="single" w:color="auto" w:sz="8" w:space="0"/>
              <w:bottom w:val="single" w:color="auto" w:sz="8" w:space="0"/>
              <w:right w:val="single" w:color="auto" w:sz="8" w:space="0"/>
              <w:tl2br w:val="nil"/>
              <w:tr2bl w:val="nil"/>
            </w:tcBorders>
            <w:shd w:val="clear" w:color="auto" w:fill="auto"/>
            <w:vAlign w:val="center"/>
          </w:tcPr>
          <w:p>
            <w:pPr>
              <w:keepNext w:val="0"/>
              <w:keepLines w:val="0"/>
              <w:widowControl/>
              <w:suppressLineNumbers w:val="0"/>
              <w:ind w:left="0" w:leftChars="0" w:firstLine="0" w:firstLineChars="0"/>
              <w:jc w:val="center"/>
              <w:textAlignment w:val="center"/>
              <w:rPr>
                <w:rFonts w:hint="default" w:hAnsi="宋体" w:eastAsia="宋体"/>
                <w:sz w:val="18"/>
                <w:szCs w:val="18"/>
                <w:lang w:eastAsia="zh-CN"/>
              </w:rPr>
            </w:pPr>
            <w:r>
              <w:rPr>
                <w:rFonts w:hint="default" w:hAnsi="宋体" w:eastAsia="宋体"/>
                <w:sz w:val="18"/>
                <w:szCs w:val="18"/>
                <w:lang w:eastAsia="zh-CN"/>
              </w:rPr>
              <w:t>1</w:t>
            </w:r>
          </w:p>
        </w:tc>
        <w:tc>
          <w:tcPr>
            <w:tcW w:w="547" w:type="pct"/>
            <w:tcBorders>
              <w:top w:val="single" w:color="auto" w:sz="8" w:space="0"/>
              <w:left w:val="single" w:color="auto" w:sz="8" w:space="0"/>
              <w:bottom w:val="single" w:color="auto" w:sz="8" w:space="0"/>
              <w:right w:val="single" w:color="auto" w:sz="8" w:space="0"/>
              <w:tl2br w:val="nil"/>
              <w:tr2bl w:val="nil"/>
            </w:tcBorders>
            <w:shd w:val="clear" w:color="auto" w:fill="auto"/>
            <w:vAlign w:val="center"/>
          </w:tcPr>
          <w:p>
            <w:pPr>
              <w:keepNext w:val="0"/>
              <w:keepLines w:val="0"/>
              <w:widowControl/>
              <w:suppressLineNumbers w:val="0"/>
              <w:ind w:left="0" w:leftChars="0" w:firstLine="0" w:firstLineChars="0"/>
              <w:jc w:val="center"/>
              <w:textAlignment w:val="center"/>
              <w:rPr>
                <w:rFonts w:hint="default" w:hAnsi="宋体" w:eastAsia="宋体"/>
                <w:sz w:val="18"/>
                <w:lang w:eastAsia="zh-CN"/>
              </w:rPr>
            </w:pPr>
            <w:r>
              <w:rPr>
                <w:rFonts w:hint="default" w:hAnsi="宋体" w:eastAsia="宋体"/>
                <w:sz w:val="18"/>
                <w:lang w:eastAsia="zh-CN"/>
              </w:rPr>
              <w:t>台</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hemeFill="background1"/>
          <w:tblCellMar>
            <w:top w:w="0" w:type="dxa"/>
            <w:left w:w="108" w:type="dxa"/>
            <w:bottom w:w="0" w:type="dxa"/>
            <w:right w:w="108" w:type="dxa"/>
          </w:tblCellMar>
        </w:tblPrEx>
        <w:trPr>
          <w:trHeight w:val="850" w:hRule="atLeast"/>
          <w:jc w:val="center"/>
        </w:trPr>
        <w:tc>
          <w:tcPr>
            <w:tcW w:w="272" w:type="pct"/>
            <w:tcBorders>
              <w:top w:val="single" w:color="auto" w:sz="8" w:space="0"/>
              <w:left w:val="single" w:color="auto" w:sz="8" w:space="0"/>
              <w:bottom w:val="single" w:color="auto" w:sz="8" w:space="0"/>
              <w:right w:val="single" w:color="auto" w:sz="8" w:space="0"/>
              <w:tl2br w:val="nil"/>
              <w:tr2bl w:val="nil"/>
            </w:tcBorders>
            <w:shd w:val="clear" w:color="auto" w:fill="auto"/>
            <w:vAlign w:val="center"/>
          </w:tcPr>
          <w:p>
            <w:pPr>
              <w:ind w:left="0" w:leftChars="0" w:firstLine="0" w:firstLineChars="0"/>
              <w:jc w:val="center"/>
              <w:textAlignment w:val="center"/>
              <w:rPr>
                <w:rFonts w:hint="default" w:ascii="宋体" w:hAnsi="宋体" w:eastAsia="宋体" w:cs="宋体"/>
                <w:color w:val="000000"/>
                <w:kern w:val="0"/>
                <w:sz w:val="18"/>
                <w:szCs w:val="18"/>
                <w:lang w:eastAsia="zh-CN" w:bidi="ar"/>
              </w:rPr>
            </w:pPr>
            <w:r>
              <w:rPr>
                <w:rFonts w:hint="default" w:ascii="宋体" w:hAnsi="宋体" w:eastAsia="宋体" w:cs="宋体"/>
                <w:color w:val="000000"/>
                <w:kern w:val="0"/>
                <w:sz w:val="18"/>
                <w:szCs w:val="18"/>
                <w:lang w:eastAsia="zh-CN" w:bidi="ar"/>
              </w:rPr>
              <w:t>5</w:t>
            </w:r>
          </w:p>
        </w:tc>
        <w:tc>
          <w:tcPr>
            <w:tcW w:w="688" w:type="pct"/>
            <w:tcBorders>
              <w:top w:val="single" w:color="auto" w:sz="8" w:space="0"/>
              <w:left w:val="single" w:color="auto" w:sz="8" w:space="0"/>
              <w:bottom w:val="single" w:color="auto" w:sz="8" w:space="0"/>
              <w:right w:val="single" w:color="auto" w:sz="8" w:space="0"/>
              <w:tl2br w:val="nil"/>
              <w:tr2bl w:val="nil"/>
            </w:tcBorders>
            <w:shd w:val="clear" w:color="auto" w:fill="auto"/>
            <w:vAlign w:val="center"/>
          </w:tcPr>
          <w:p>
            <w:pPr>
              <w:keepNext w:val="0"/>
              <w:keepLines w:val="0"/>
              <w:widowControl/>
              <w:suppressLineNumbers w:val="0"/>
              <w:ind w:left="0" w:leftChars="0" w:firstLine="0" w:firstLineChars="0"/>
              <w:jc w:val="left"/>
              <w:textAlignment w:val="center"/>
              <w:rPr>
                <w:rFonts w:hint="default" w:ascii="宋体" w:hAnsi="宋体" w:eastAsia="宋体" w:cs="宋体"/>
                <w:i w:val="0"/>
                <w:iCs w:val="0"/>
                <w:color w:val="000000"/>
                <w:kern w:val="0"/>
                <w:sz w:val="18"/>
                <w:szCs w:val="18"/>
                <w:u w:val="none"/>
                <w:lang w:eastAsia="zh-CN" w:bidi="ar"/>
              </w:rPr>
            </w:pPr>
            <w:r>
              <w:rPr>
                <w:rFonts w:hint="default" w:ascii="宋体" w:hAnsi="宋体" w:eastAsia="宋体" w:cs="宋体"/>
                <w:i w:val="0"/>
                <w:iCs w:val="0"/>
                <w:color w:val="000000"/>
                <w:kern w:val="0"/>
                <w:sz w:val="18"/>
                <w:szCs w:val="18"/>
                <w:u w:val="none"/>
                <w:lang w:eastAsia="zh-CN" w:bidi="ar"/>
              </w:rPr>
              <w:t>温湿度大气压力表</w:t>
            </w:r>
          </w:p>
        </w:tc>
        <w:tc>
          <w:tcPr>
            <w:tcW w:w="1682" w:type="pct"/>
            <w:tcBorders>
              <w:top w:val="single" w:color="auto" w:sz="8" w:space="0"/>
              <w:left w:val="single" w:color="auto" w:sz="8" w:space="0"/>
              <w:bottom w:val="single" w:color="auto" w:sz="8" w:space="0"/>
              <w:right w:val="single" w:color="auto" w:sz="8" w:space="0"/>
              <w:tl2br w:val="nil"/>
              <w:tr2bl w:val="nil"/>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kern w:val="0"/>
                <w:sz w:val="18"/>
                <w:szCs w:val="18"/>
                <w:u w:val="none"/>
                <w:lang w:eastAsia="zh-CN" w:bidi="ar"/>
              </w:rPr>
            </w:pPr>
            <w:r>
              <w:rPr>
                <w:rFonts w:hint="eastAsia" w:ascii="宋体" w:hAnsi="宋体" w:eastAsia="宋体" w:cs="宋体"/>
                <w:i w:val="0"/>
                <w:iCs w:val="0"/>
                <w:color w:val="000000"/>
                <w:kern w:val="0"/>
                <w:sz w:val="18"/>
                <w:szCs w:val="18"/>
                <w:u w:val="none"/>
                <w:lang w:val="en-US" w:eastAsia="zh-CN" w:bidi="ar"/>
              </w:rPr>
              <w:t>机械式</w:t>
            </w:r>
            <w:r>
              <w:rPr>
                <w:rFonts w:hint="default" w:ascii="宋体" w:hAnsi="宋体" w:eastAsia="宋体" w:cs="宋体"/>
                <w:i w:val="0"/>
                <w:iCs w:val="0"/>
                <w:color w:val="000000"/>
                <w:kern w:val="0"/>
                <w:sz w:val="18"/>
                <w:szCs w:val="18"/>
                <w:u w:val="none"/>
                <w:lang w:eastAsia="zh-CN" w:bidi="ar"/>
              </w:rPr>
              <w:t>三合一 温湿度大气压力表</w:t>
            </w:r>
          </w:p>
        </w:tc>
        <w:tc>
          <w:tcPr>
            <w:tcW w:w="643" w:type="pct"/>
            <w:tcBorders>
              <w:top w:val="single" w:color="auto" w:sz="8" w:space="0"/>
              <w:left w:val="single" w:color="auto" w:sz="8" w:space="0"/>
              <w:bottom w:val="single" w:color="auto" w:sz="8" w:space="0"/>
              <w:right w:val="single" w:color="auto" w:sz="8" w:space="0"/>
              <w:tl2br w:val="nil"/>
              <w:tr2bl w:val="nil"/>
            </w:tcBorders>
            <w:shd w:val="clear" w:color="auto" w:fill="auto"/>
            <w:vAlign w:val="center"/>
          </w:tcPr>
          <w:p>
            <w:pPr>
              <w:ind w:left="0" w:leftChars="0" w:firstLine="0" w:firstLineChars="0"/>
              <w:jc w:val="center"/>
              <w:rPr>
                <w:rFonts w:hint="default" w:hAnsi="宋体" w:eastAsia="宋体"/>
                <w:sz w:val="18"/>
                <w:lang w:eastAsia="zh-CN"/>
              </w:rPr>
            </w:pPr>
            <w:r>
              <w:rPr>
                <w:rFonts w:hint="eastAsia" w:hAnsi="宋体" w:eastAsia="宋体"/>
                <w:sz w:val="18"/>
                <w:lang w:val="en-US" w:eastAsia="zh-CN"/>
              </w:rPr>
              <w:t>2025-05-30</w:t>
            </w:r>
          </w:p>
        </w:tc>
        <w:tc>
          <w:tcPr>
            <w:tcW w:w="619" w:type="pct"/>
            <w:tcBorders>
              <w:top w:val="single" w:color="auto" w:sz="8" w:space="0"/>
              <w:left w:val="single" w:color="auto" w:sz="8" w:space="0"/>
              <w:bottom w:val="single" w:color="auto" w:sz="8" w:space="0"/>
              <w:right w:val="single" w:color="auto" w:sz="8" w:space="0"/>
              <w:tl2br w:val="nil"/>
              <w:tr2bl w:val="nil"/>
            </w:tcBorders>
            <w:shd w:val="clear" w:color="auto" w:fill="auto"/>
            <w:vAlign w:val="center"/>
          </w:tcPr>
          <w:p>
            <w:pPr>
              <w:ind w:left="0" w:leftChars="0" w:firstLine="0" w:firstLineChars="0"/>
              <w:jc w:val="center"/>
              <w:rPr>
                <w:rFonts w:hint="default" w:hAnsi="宋体" w:eastAsia="宋体"/>
                <w:sz w:val="18"/>
                <w:lang w:eastAsia="zh-CN"/>
              </w:rPr>
            </w:pPr>
            <w:r>
              <w:rPr>
                <w:rFonts w:hint="default" w:hAnsi="宋体" w:eastAsia="宋体"/>
                <w:sz w:val="18"/>
                <w:lang w:eastAsia="zh-CN"/>
              </w:rPr>
              <w:t>阳蓄电站</w:t>
            </w:r>
          </w:p>
        </w:tc>
        <w:tc>
          <w:tcPr>
            <w:tcW w:w="546" w:type="pct"/>
            <w:tcBorders>
              <w:top w:val="single" w:color="auto" w:sz="8" w:space="0"/>
              <w:left w:val="single" w:color="auto" w:sz="8" w:space="0"/>
              <w:bottom w:val="single" w:color="auto" w:sz="8" w:space="0"/>
              <w:right w:val="single" w:color="auto" w:sz="8" w:space="0"/>
              <w:tl2br w:val="nil"/>
              <w:tr2bl w:val="nil"/>
            </w:tcBorders>
            <w:shd w:val="clear" w:color="auto" w:fill="auto"/>
            <w:vAlign w:val="center"/>
          </w:tcPr>
          <w:p>
            <w:pPr>
              <w:keepNext w:val="0"/>
              <w:keepLines w:val="0"/>
              <w:widowControl/>
              <w:suppressLineNumbers w:val="0"/>
              <w:ind w:left="0" w:leftChars="0" w:firstLine="0" w:firstLineChars="0"/>
              <w:jc w:val="center"/>
              <w:textAlignment w:val="center"/>
              <w:rPr>
                <w:rFonts w:hint="default" w:hAnsi="宋体" w:eastAsia="宋体"/>
                <w:sz w:val="18"/>
                <w:szCs w:val="18"/>
                <w:lang w:eastAsia="zh-CN"/>
              </w:rPr>
            </w:pPr>
            <w:r>
              <w:rPr>
                <w:rFonts w:hint="default" w:hAnsi="宋体" w:eastAsia="宋体"/>
                <w:sz w:val="18"/>
                <w:szCs w:val="18"/>
                <w:lang w:eastAsia="zh-CN"/>
              </w:rPr>
              <w:t>3</w:t>
            </w:r>
          </w:p>
        </w:tc>
        <w:tc>
          <w:tcPr>
            <w:tcW w:w="547" w:type="pct"/>
            <w:tcBorders>
              <w:top w:val="single" w:color="auto" w:sz="8" w:space="0"/>
              <w:left w:val="single" w:color="auto" w:sz="8" w:space="0"/>
              <w:bottom w:val="single" w:color="auto" w:sz="8" w:space="0"/>
              <w:right w:val="single" w:color="auto" w:sz="8" w:space="0"/>
              <w:tl2br w:val="nil"/>
              <w:tr2bl w:val="nil"/>
            </w:tcBorders>
            <w:shd w:val="clear" w:color="auto" w:fill="auto"/>
            <w:vAlign w:val="center"/>
          </w:tcPr>
          <w:p>
            <w:pPr>
              <w:keepNext w:val="0"/>
              <w:keepLines w:val="0"/>
              <w:widowControl/>
              <w:suppressLineNumbers w:val="0"/>
              <w:ind w:left="0" w:leftChars="0" w:firstLine="0" w:firstLineChars="0"/>
              <w:jc w:val="center"/>
              <w:textAlignment w:val="center"/>
              <w:rPr>
                <w:rFonts w:hint="default" w:hAnsi="宋体" w:eastAsia="宋体"/>
                <w:sz w:val="18"/>
                <w:lang w:eastAsia="zh-CN"/>
              </w:rPr>
            </w:pPr>
            <w:r>
              <w:rPr>
                <w:rFonts w:hint="default" w:hAnsi="宋体" w:eastAsia="宋体"/>
                <w:sz w:val="18"/>
                <w:lang w:eastAsia="zh-CN"/>
              </w:rPr>
              <w:t>台</w:t>
            </w:r>
          </w:p>
        </w:tc>
      </w:tr>
    </w:tbl>
    <w:p>
      <w:pPr>
        <w:ind w:right="223" w:rightChars="106"/>
        <w:jc w:val="left"/>
      </w:pPr>
    </w:p>
    <w:p>
      <w:pPr>
        <w:pStyle w:val="2"/>
        <w:keepNext w:val="0"/>
        <w:keepLines w:val="0"/>
        <w:pageBreakBefore w:val="0"/>
        <w:widowControl w:val="0"/>
        <w:kinsoku/>
        <w:wordWrap/>
        <w:overflowPunct/>
        <w:topLinePunct w:val="0"/>
        <w:autoSpaceDE/>
        <w:autoSpaceDN/>
        <w:bidi w:val="0"/>
        <w:adjustRightInd/>
        <w:snapToGrid/>
        <w:spacing w:before="0" w:after="0"/>
        <w:textAlignment w:val="auto"/>
        <w:rPr>
          <w:rFonts w:hint="eastAsia" w:eastAsia="宋体"/>
          <w:sz w:val="18"/>
          <w:szCs w:val="18"/>
          <w:lang w:val="en-US" w:eastAsia="zh-CN"/>
        </w:rPr>
      </w:pPr>
      <w:r>
        <w:rPr>
          <w:rFonts w:hint="eastAsia" w:eastAsia="宋体"/>
          <w:sz w:val="18"/>
          <w:szCs w:val="18"/>
          <w:lang w:val="en-US" w:eastAsia="zh-CN"/>
        </w:rPr>
        <w:t>备注：</w:t>
      </w:r>
    </w:p>
    <w:p>
      <w:pPr>
        <w:numPr>
          <w:ilvl w:val="0"/>
          <w:numId w:val="0"/>
        </w:numPr>
        <w:jc w:val="left"/>
        <w:rPr>
          <w:rFonts w:hint="eastAsia" w:ascii="宋体" w:hAnsi="宋体" w:eastAsia="宋体" w:cs="宋体"/>
          <w:b w:val="0"/>
          <w:bCs/>
          <w:color w:val="000000"/>
          <w:kern w:val="0"/>
          <w:sz w:val="18"/>
          <w:szCs w:val="18"/>
          <w:lang w:eastAsia="zh-CN" w:bidi="ar"/>
        </w:rPr>
      </w:pPr>
      <w:r>
        <w:rPr>
          <w:rFonts w:hint="eastAsia" w:ascii="宋体" w:hAnsi="宋体" w:eastAsia="宋体" w:cs="宋体"/>
          <w:b w:val="0"/>
          <w:bCs/>
          <w:color w:val="000000"/>
          <w:kern w:val="0"/>
          <w:sz w:val="18"/>
          <w:szCs w:val="18"/>
          <w:lang w:val="en-US" w:eastAsia="zh-CN" w:bidi="ar"/>
        </w:rPr>
        <w:t>1、2025年05月30日前需出具检测报告（CNAS认证）并返回工器具；</w:t>
      </w:r>
    </w:p>
    <w:p>
      <w:pPr>
        <w:numPr>
          <w:ilvl w:val="0"/>
          <w:numId w:val="0"/>
        </w:numPr>
        <w:jc w:val="left"/>
        <w:rPr>
          <w:rFonts w:hint="eastAsia" w:ascii="宋体" w:hAnsi="宋体" w:eastAsia="宋体" w:cs="宋体"/>
          <w:b w:val="0"/>
          <w:bCs/>
          <w:color w:val="000000"/>
          <w:kern w:val="0"/>
          <w:sz w:val="18"/>
          <w:szCs w:val="18"/>
          <w:lang w:val="en-US" w:eastAsia="zh-CN" w:bidi="ar"/>
        </w:rPr>
      </w:pPr>
      <w:r>
        <w:rPr>
          <w:rFonts w:hint="eastAsia" w:ascii="宋体" w:hAnsi="宋体" w:eastAsia="宋体" w:cs="宋体"/>
          <w:b w:val="0"/>
          <w:bCs/>
          <w:color w:val="000000"/>
          <w:kern w:val="0"/>
          <w:sz w:val="18"/>
          <w:szCs w:val="18"/>
          <w:lang w:val="en-US" w:eastAsia="zh-CN" w:bidi="ar"/>
        </w:rPr>
        <w:t>2、可选择现场开展试验检验或是运输至投标人实验室开展相关工作。如需要运输至承包人实验室，运输由承包人负全责。如须在承包人现场开展作业，承包人应对现场作业人员开展安</w:t>
      </w:r>
      <w:bookmarkStart w:id="0" w:name="_GoBack"/>
      <w:bookmarkEnd w:id="0"/>
      <w:r>
        <w:rPr>
          <w:rFonts w:hint="eastAsia" w:ascii="宋体" w:hAnsi="宋体" w:eastAsia="宋体" w:cs="宋体"/>
          <w:b w:val="0"/>
          <w:bCs/>
          <w:color w:val="000000"/>
          <w:kern w:val="0"/>
          <w:sz w:val="18"/>
          <w:szCs w:val="18"/>
          <w:lang w:val="en-US" w:eastAsia="zh-CN" w:bidi="ar"/>
        </w:rPr>
        <w:t>全教育，经发包人批准后，按照承包人现场安全工作规程要求开展作业，承包人对现场作业安全负全责。</w:t>
      </w:r>
    </w:p>
    <w:p>
      <w:pPr>
        <w:numPr>
          <w:ilvl w:val="0"/>
          <w:numId w:val="0"/>
        </w:numPr>
        <w:jc w:val="left"/>
        <w:rPr>
          <w:rFonts w:hint="eastAsia" w:ascii="宋体" w:hAnsi="宋体" w:eastAsia="宋体" w:cs="宋体"/>
          <w:b w:val="0"/>
          <w:bCs/>
          <w:color w:val="000000"/>
          <w:kern w:val="0"/>
          <w:sz w:val="18"/>
          <w:szCs w:val="18"/>
          <w:lang w:val="en-US" w:eastAsia="zh-CN" w:bidi="ar"/>
        </w:rPr>
      </w:pPr>
      <w:r>
        <w:rPr>
          <w:rFonts w:hint="eastAsia" w:ascii="宋体" w:hAnsi="宋体" w:eastAsia="宋体" w:cs="宋体"/>
          <w:b w:val="0"/>
          <w:bCs/>
          <w:color w:val="000000"/>
          <w:kern w:val="0"/>
          <w:sz w:val="18"/>
          <w:szCs w:val="18"/>
          <w:lang w:val="en-US" w:eastAsia="zh-CN" w:bidi="ar"/>
        </w:rPr>
        <w:t>3、由于作业不当或质量问题而引起工程量增加或造成人员伤亡和财产损失等情况，均由承包人负全责。</w:t>
      </w:r>
    </w:p>
    <w:p>
      <w:pPr>
        <w:pStyle w:val="3"/>
        <w:keepNext w:val="0"/>
        <w:keepLines w:val="0"/>
        <w:pageBreakBefore w:val="0"/>
        <w:widowControl/>
        <w:kinsoku/>
        <w:wordWrap/>
        <w:overflowPunct/>
        <w:topLinePunct w:val="0"/>
        <w:autoSpaceDE/>
        <w:autoSpaceDN/>
        <w:bidi w:val="0"/>
        <w:adjustRightInd/>
        <w:snapToGrid/>
        <w:spacing w:before="0" w:after="0"/>
        <w:jc w:val="left"/>
        <w:textAlignment w:val="auto"/>
        <w:rPr>
          <w:rFonts w:hint="eastAsia"/>
          <w:b w:val="0"/>
          <w:bCs/>
          <w:sz w:val="18"/>
          <w:szCs w:val="18"/>
          <w:lang w:val="en-US" w:eastAsia="zh-CN"/>
        </w:rPr>
      </w:pPr>
      <w:r>
        <w:rPr>
          <w:rFonts w:hint="eastAsia" w:ascii="宋体" w:hAnsi="宋体" w:eastAsia="宋体" w:cs="宋体"/>
          <w:b w:val="0"/>
          <w:bCs/>
          <w:color w:val="000000"/>
          <w:kern w:val="0"/>
          <w:sz w:val="18"/>
          <w:szCs w:val="18"/>
          <w:lang w:val="en-US" w:eastAsia="zh-CN" w:bidi="ar"/>
        </w:rPr>
        <w:t>4、承包人提供技术服务所产生的其他费用，如人员交通、食宿、仪器仪表、工器具、耗材、防疫等费用，均由承包人自行负责，费用由承包人在投标报价中予以考虑。</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4"/>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IwYWQ4ZGUxN2YyNzM3YTNhZjliNWJlZTI2MjliMTgifQ=="/>
  </w:docVars>
  <w:rsids>
    <w:rsidRoot w:val="00CF22F0"/>
    <w:rsid w:val="00683FCC"/>
    <w:rsid w:val="00CF22F0"/>
    <w:rsid w:val="00D77B7D"/>
    <w:rsid w:val="00E70290"/>
    <w:rsid w:val="01074F35"/>
    <w:rsid w:val="02110FEC"/>
    <w:rsid w:val="033546D2"/>
    <w:rsid w:val="04756E77"/>
    <w:rsid w:val="04B2114F"/>
    <w:rsid w:val="05F11AFB"/>
    <w:rsid w:val="06A17EE7"/>
    <w:rsid w:val="06E951B8"/>
    <w:rsid w:val="070F1849"/>
    <w:rsid w:val="092A4A47"/>
    <w:rsid w:val="095D72BB"/>
    <w:rsid w:val="09C25E0C"/>
    <w:rsid w:val="0A586B51"/>
    <w:rsid w:val="0A6831E9"/>
    <w:rsid w:val="0AB81992"/>
    <w:rsid w:val="0AD215F9"/>
    <w:rsid w:val="0C797022"/>
    <w:rsid w:val="0CB027D7"/>
    <w:rsid w:val="0DFE77A5"/>
    <w:rsid w:val="0F7430C0"/>
    <w:rsid w:val="0FA20AF2"/>
    <w:rsid w:val="0FA26583"/>
    <w:rsid w:val="1410789B"/>
    <w:rsid w:val="15C9732D"/>
    <w:rsid w:val="17733009"/>
    <w:rsid w:val="186F3E34"/>
    <w:rsid w:val="19AD3F79"/>
    <w:rsid w:val="1A562AD9"/>
    <w:rsid w:val="1A797E8E"/>
    <w:rsid w:val="1B340C0E"/>
    <w:rsid w:val="1BD923BC"/>
    <w:rsid w:val="1D4B2EC0"/>
    <w:rsid w:val="20394436"/>
    <w:rsid w:val="217619E7"/>
    <w:rsid w:val="23063FB2"/>
    <w:rsid w:val="23A45380"/>
    <w:rsid w:val="23C50BFB"/>
    <w:rsid w:val="23D64232"/>
    <w:rsid w:val="24F22A5F"/>
    <w:rsid w:val="26753AFD"/>
    <w:rsid w:val="27F12C96"/>
    <w:rsid w:val="28574E0B"/>
    <w:rsid w:val="28AE52F5"/>
    <w:rsid w:val="28B863BF"/>
    <w:rsid w:val="28BA3373"/>
    <w:rsid w:val="2A872616"/>
    <w:rsid w:val="2AED7F51"/>
    <w:rsid w:val="2B9C39FE"/>
    <w:rsid w:val="2EF93C1C"/>
    <w:rsid w:val="30A0424B"/>
    <w:rsid w:val="320F60BC"/>
    <w:rsid w:val="34B273DE"/>
    <w:rsid w:val="351F073E"/>
    <w:rsid w:val="355544E3"/>
    <w:rsid w:val="380401E7"/>
    <w:rsid w:val="38BF1E47"/>
    <w:rsid w:val="39AC74FD"/>
    <w:rsid w:val="3A857BC6"/>
    <w:rsid w:val="3FE315E8"/>
    <w:rsid w:val="40453586"/>
    <w:rsid w:val="419F3002"/>
    <w:rsid w:val="423563AB"/>
    <w:rsid w:val="425112FB"/>
    <w:rsid w:val="42A571A8"/>
    <w:rsid w:val="439158EA"/>
    <w:rsid w:val="43CF7E17"/>
    <w:rsid w:val="442D7DA2"/>
    <w:rsid w:val="44C35EC8"/>
    <w:rsid w:val="45CD7C62"/>
    <w:rsid w:val="46273642"/>
    <w:rsid w:val="46A30F11"/>
    <w:rsid w:val="47FE0EDA"/>
    <w:rsid w:val="49503AFA"/>
    <w:rsid w:val="4BD83564"/>
    <w:rsid w:val="4C102424"/>
    <w:rsid w:val="4C1A0FFE"/>
    <w:rsid w:val="4C2B6F9E"/>
    <w:rsid w:val="4C8B5C04"/>
    <w:rsid w:val="4C9B1C93"/>
    <w:rsid w:val="4DB17571"/>
    <w:rsid w:val="4E0F579A"/>
    <w:rsid w:val="4E397415"/>
    <w:rsid w:val="53A055E9"/>
    <w:rsid w:val="54E51172"/>
    <w:rsid w:val="56FD4ED2"/>
    <w:rsid w:val="579E2363"/>
    <w:rsid w:val="57CA0861"/>
    <w:rsid w:val="58550535"/>
    <w:rsid w:val="58AD7CEC"/>
    <w:rsid w:val="59181DDC"/>
    <w:rsid w:val="5C32314D"/>
    <w:rsid w:val="5EDD7771"/>
    <w:rsid w:val="60A61537"/>
    <w:rsid w:val="60A962B3"/>
    <w:rsid w:val="60E814E0"/>
    <w:rsid w:val="61032A58"/>
    <w:rsid w:val="611658B6"/>
    <w:rsid w:val="61F1591C"/>
    <w:rsid w:val="62502C81"/>
    <w:rsid w:val="626A35C1"/>
    <w:rsid w:val="634B10FB"/>
    <w:rsid w:val="63E45237"/>
    <w:rsid w:val="64406BBC"/>
    <w:rsid w:val="68514D9C"/>
    <w:rsid w:val="68531583"/>
    <w:rsid w:val="6AF027B5"/>
    <w:rsid w:val="6BB25969"/>
    <w:rsid w:val="6BD97AFD"/>
    <w:rsid w:val="6DF40107"/>
    <w:rsid w:val="6E4730F9"/>
    <w:rsid w:val="6FFB723F"/>
    <w:rsid w:val="73E2763E"/>
    <w:rsid w:val="746B194D"/>
    <w:rsid w:val="753670F6"/>
    <w:rsid w:val="753B49B4"/>
    <w:rsid w:val="76D177A8"/>
    <w:rsid w:val="77791324"/>
    <w:rsid w:val="77DFF6D3"/>
    <w:rsid w:val="789376F5"/>
    <w:rsid w:val="79120B69"/>
    <w:rsid w:val="7972655A"/>
    <w:rsid w:val="797775F3"/>
    <w:rsid w:val="79A577D4"/>
    <w:rsid w:val="79BB7720"/>
    <w:rsid w:val="7CBA0514"/>
    <w:rsid w:val="7E012DC3"/>
    <w:rsid w:val="7E7F414F"/>
    <w:rsid w:val="7ECA6858"/>
    <w:rsid w:val="7EF9F685"/>
    <w:rsid w:val="7FB56B8F"/>
    <w:rsid w:val="7FDD0CB4"/>
    <w:rsid w:val="9CF9F7CC"/>
    <w:rsid w:val="E0F88A04"/>
    <w:rsid w:val="EF59DEFB"/>
    <w:rsid w:val="FFDCE712"/>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iPriority="99"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unhideWhenUsed/>
    <w:qFormat/>
    <w:uiPriority w:val="0"/>
    <w:pPr>
      <w:jc w:val="both"/>
    </w:pPr>
    <w:rPr>
      <w:rFonts w:ascii="Times New Roman" w:hAnsi="Times New Roman" w:eastAsia="Times New Roman" w:cs="Times New Roman"/>
      <w:kern w:val="2"/>
      <w:sz w:val="21"/>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w:basedOn w:val="3"/>
    <w:next w:val="3"/>
    <w:unhideWhenUsed/>
    <w:qFormat/>
    <w:uiPriority w:val="99"/>
    <w:pPr>
      <w:widowControl w:val="0"/>
      <w:spacing w:after="120"/>
      <w:jc w:val="both"/>
    </w:pPr>
    <w:rPr>
      <w:sz w:val="21"/>
    </w:rPr>
  </w:style>
  <w:style w:type="paragraph" w:styleId="3">
    <w:name w:val="Title"/>
    <w:basedOn w:val="1"/>
    <w:next w:val="1"/>
    <w:unhideWhenUsed/>
    <w:qFormat/>
    <w:uiPriority w:val="99"/>
    <w:pPr>
      <w:spacing w:before="240" w:after="60"/>
      <w:jc w:val="center"/>
      <w:outlineLvl w:val="0"/>
    </w:pPr>
    <w:rPr>
      <w:rFonts w:hAnsi="Arial"/>
      <w:b/>
      <w:sz w:val="32"/>
    </w:rPr>
  </w:style>
  <w:style w:type="paragraph" w:styleId="4">
    <w:name w:val="footer"/>
    <w:basedOn w:val="1"/>
    <w:unhideWhenUsed/>
    <w:qFormat/>
    <w:uiPriority w:val="99"/>
    <w:pPr>
      <w:tabs>
        <w:tab w:val="center" w:pos="4153"/>
        <w:tab w:val="right" w:pos="8306"/>
      </w:tabs>
      <w:snapToGrid w:val="0"/>
      <w:jc w:val="left"/>
    </w:pPr>
    <w:rPr>
      <w:sz w:val="18"/>
    </w:rPr>
  </w:style>
  <w:style w:type="paragraph" w:styleId="5">
    <w:name w:val="header"/>
    <w:basedOn w:val="1"/>
    <w:link w:val="10"/>
    <w:qFormat/>
    <w:uiPriority w:val="0"/>
    <w:pPr>
      <w:pBdr>
        <w:bottom w:val="single" w:color="auto" w:sz="6" w:space="1"/>
      </w:pBdr>
      <w:tabs>
        <w:tab w:val="center" w:pos="4153"/>
        <w:tab w:val="right" w:pos="8306"/>
      </w:tabs>
      <w:snapToGrid w:val="0"/>
      <w:jc w:val="center"/>
    </w:pPr>
    <w:rPr>
      <w:sz w:val="18"/>
      <w:szCs w:val="18"/>
    </w:rPr>
  </w:style>
  <w:style w:type="character" w:customStyle="1" w:styleId="8">
    <w:name w:val="font41"/>
    <w:basedOn w:val="7"/>
    <w:qFormat/>
    <w:uiPriority w:val="0"/>
    <w:rPr>
      <w:rFonts w:hint="eastAsia" w:ascii="宋体" w:hAnsi="宋体" w:eastAsia="宋体" w:cs="宋体"/>
      <w:b/>
      <w:color w:val="000000"/>
      <w:sz w:val="18"/>
      <w:szCs w:val="18"/>
      <w:u w:val="none"/>
    </w:rPr>
  </w:style>
  <w:style w:type="character" w:customStyle="1" w:styleId="9">
    <w:name w:val="font11"/>
    <w:basedOn w:val="7"/>
    <w:qFormat/>
    <w:uiPriority w:val="0"/>
    <w:rPr>
      <w:rFonts w:hint="eastAsia" w:ascii="宋体" w:hAnsi="宋体" w:eastAsia="宋体" w:cs="宋体"/>
      <w:color w:val="000000"/>
      <w:sz w:val="18"/>
      <w:szCs w:val="18"/>
      <w:u w:val="none"/>
    </w:rPr>
  </w:style>
  <w:style w:type="character" w:customStyle="1" w:styleId="10">
    <w:name w:val="页眉 字符"/>
    <w:basedOn w:val="7"/>
    <w:link w:val="5"/>
    <w:qFormat/>
    <w:uiPriority w:val="0"/>
    <w:rPr>
      <w:rFonts w:eastAsia="Times New Roman"/>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Pages>
  <Words>144</Words>
  <Characters>822</Characters>
  <Lines>6</Lines>
  <Paragraphs>1</Paragraphs>
  <TotalTime>0</TotalTime>
  <ScaleCrop>false</ScaleCrop>
  <LinksUpToDate>false</LinksUpToDate>
  <CharactersWithSpaces>965</CharactersWithSpaces>
  <Application>WPS Office_11.8.2.11716_F1E327BC-269C-435d-A152-05C5408002CA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2014-10-30T04:08:00Z</dcterms:created>
  <dc:creator>HX</dc:creator>
  <cp:lastModifiedBy>李晓平</cp:lastModifiedBy>
  <dcterms:modified xsi:type="dcterms:W3CDTF">2025-03-27T07:30:36Z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2052-11.8.2.11716</vt:lpwstr>
  </property>
  <property fmtid="{D5CDD505-2E9C-101B-9397-08002B2CF9AE}" pid="3" name="ICV">
    <vt:lpwstr>A11EC13151F84CF4A1805822E2E051BC_13</vt:lpwstr>
  </property>
</Properties>
</file>