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南方电网通用航空服务有限公司报价书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南方电网通用航空服务有限公司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范兴凯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13694324397 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highlight w:val="none"/>
          <w:u w:val="single"/>
          <w:lang w:val="en-US" w:eastAsia="zh-CN"/>
        </w:rPr>
        <w:t xml:space="preserve">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4"/>
        <w:tblpPr w:leftFromText="180" w:rightFromText="180" w:vertAnchor="text" w:horzAnchor="page" w:tblpX="928" w:tblpY="225"/>
        <w:tblOverlap w:val="never"/>
        <w:tblW w:w="1022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407"/>
        <w:gridCol w:w="741"/>
        <w:gridCol w:w="587"/>
        <w:gridCol w:w="692"/>
        <w:gridCol w:w="1024"/>
        <w:gridCol w:w="1020"/>
        <w:gridCol w:w="42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1951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827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1" w:hRule="atLeast"/>
        </w:trPr>
        <w:tc>
          <w:tcPr>
            <w:tcW w:w="1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27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南方电网通用航空服务有限公司2025年创新中心实验室改造项目监理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服务采购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南方电网通用航空服务有限公司2025年创新中心实验室改造项目监理服务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/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南方电网通用航空服务有限公司2025年创新中心实验室改造项目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改造的面积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约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为 1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482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vertAlign w:val="baseline"/>
                <w:lang w:val="en-US" w:eastAsia="zh-CN"/>
              </w:rPr>
              <w:t>。监理服务包括但不限于施工准备、施工、</w:t>
            </w:r>
            <w:bookmarkStart w:id="1" w:name="_GoBack"/>
            <w:bookmarkEnd w:id="1"/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vertAlign w:val="baseline"/>
                <w:lang w:val="en-US" w:eastAsia="zh-CN"/>
              </w:rPr>
              <w:t xml:space="preserve">中间验收、竣工验收结算、缺陷责任期、电子化移交的全过程监理。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04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</w:t>
      </w:r>
      <w:r>
        <w:rPr>
          <w:rFonts w:hint="eastAsia"/>
          <w:b/>
          <w:bCs/>
          <w:color w:val="auto"/>
          <w:highlight w:val="none"/>
          <w:lang w:val="en-US" w:eastAsia="zh-CN"/>
        </w:rPr>
        <w:t>2025年6月30日</w:t>
      </w:r>
      <w:r>
        <w:rPr>
          <w:rFonts w:hint="eastAsia"/>
          <w:lang w:val="en-US" w:eastAsia="zh-CN"/>
        </w:rPr>
        <w:t>前完成各项工作。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2025年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企业资质</w:t>
      </w:r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业绩证明</w:t>
      </w:r>
    </w:p>
    <w:p>
      <w:pPr>
        <w:pStyle w:val="2"/>
        <w:rPr>
          <w:lang w:val="en-US" w:eastAsia="zh-CN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jc w:val="center"/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</w:p>
    <w:p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投入本项目监理人员情况</w:t>
      </w:r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微软雅黑" w:eastAsia="微软雅黑"/>
          <w:sz w:val="32"/>
          <w:szCs w:val="32"/>
          <w:highlight w:val="none"/>
        </w:rPr>
        <w:t>廉洁</w:t>
      </w:r>
      <w:r>
        <w:rPr>
          <w:rFonts w:hint="eastAsia" w:ascii="微软雅黑" w:eastAsia="微软雅黑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1" w:fontKey="{AA8C2816-0346-4CAD-9CBC-AF04C073EA36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3F6C5BDE-2DE1-4536-96D3-C33C3D3CCCA6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3" w:fontKey="{A450DBDC-D385-41B0-A25F-A4700C169074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2A421586-D45B-43DC-9CB0-7DE8741AB68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A8C17F51-1456-4A65-BA7F-CA100BB64498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94B55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237150"/>
    <w:rsid w:val="154E794C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BC453FA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1400B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46AA8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5B5F54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7B72A5A"/>
    <w:rsid w:val="48637284"/>
    <w:rsid w:val="4895529D"/>
    <w:rsid w:val="493365DE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7DA471E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341CC9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5DE433D"/>
    <w:rsid w:val="66176767"/>
    <w:rsid w:val="66A7086B"/>
    <w:rsid w:val="67B27DA9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5E1C68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78453C9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widowControl/>
      <w:ind w:firstLine="420" w:firstLineChars="200"/>
      <w:jc w:val="left"/>
    </w:pPr>
    <w:rPr>
      <w:rFonts w:ascii="Calibri" w:hAnsi="Calibri"/>
      <w:kern w:val="0"/>
      <w:sz w:val="24"/>
      <w:szCs w:val="20"/>
      <w:lang w:eastAsia="en-US" w:bidi="en-US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939</Words>
  <Characters>998</Characters>
  <Lines>0</Lines>
  <Paragraphs>0</Paragraphs>
  <TotalTime>0</TotalTime>
  <ScaleCrop>false</ScaleCrop>
  <LinksUpToDate>false</LinksUpToDate>
  <CharactersWithSpaces>1330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范兴凯</cp:lastModifiedBy>
  <cp:lastPrinted>2024-03-06T06:33:00Z</cp:lastPrinted>
  <dcterms:modified xsi:type="dcterms:W3CDTF">2025-03-27T07:42:52Z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ECC1146B8FED4AA69EE2A5BBE2F9AAFF_13</vt:lpwstr>
  </property>
  <property fmtid="{D5CDD505-2E9C-101B-9397-08002B2CF9AE}" pid="4" name="KSOTemplateDocerSaveRecord">
    <vt:lpwstr>eyJoZGlkIjoiZDE5YWMzYWIzYzY4YTk0ZDlhMDE0ZjZiMTY5Mzc1MzAiLCJ1c2VySWQiOiIzODY2MDc3NjgifQ==</vt:lpwstr>
  </property>
</Properties>
</file>