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玉林</w:t>
      </w:r>
      <w:r>
        <w:rPr>
          <w:rFonts w:hint="eastAsia" w:ascii="黑体" w:hAnsi="黑体" w:eastAsia="黑体"/>
          <w:sz w:val="44"/>
          <w:szCs w:val="44"/>
          <w:lang w:eastAsia="zh-CN"/>
        </w:rPr>
        <w:t>供电局</w:t>
      </w:r>
      <w:r>
        <w:rPr>
          <w:rFonts w:hint="eastAsia" w:ascii="黑体" w:hAnsi="黑体" w:eastAsia="黑体"/>
          <w:sz w:val="44"/>
          <w:szCs w:val="44"/>
        </w:rPr>
        <w:t>202</w:t>
      </w:r>
      <w:r>
        <w:rPr>
          <w:rFonts w:hint="eastAsia" w:ascii="黑体" w:hAnsi="黑体" w:eastAsia="黑体"/>
          <w:sz w:val="44"/>
          <w:szCs w:val="44"/>
          <w:lang w:val="en-US" w:eastAsia="zh-CN"/>
        </w:rPr>
        <w:t>5</w:t>
      </w:r>
      <w:r>
        <w:rPr>
          <w:rFonts w:hint="eastAsia" w:ascii="黑体" w:hAnsi="黑体" w:eastAsia="黑体"/>
          <w:sz w:val="44"/>
          <w:szCs w:val="44"/>
        </w:rPr>
        <w:t>年</w:t>
      </w:r>
      <w:r>
        <w:rPr>
          <w:rFonts w:hint="eastAsia" w:ascii="黑体" w:hAnsi="黑体" w:eastAsia="黑体"/>
          <w:sz w:val="44"/>
          <w:szCs w:val="44"/>
          <w:lang w:val="en-US" w:eastAsia="zh-CN"/>
        </w:rPr>
        <w:t>信息机房蓄电池组</w:t>
      </w:r>
    </w:p>
    <w:p>
      <w:pPr>
        <w:jc w:val="center"/>
        <w:rPr>
          <w:rFonts w:hint="eastAsia" w:ascii="黑体" w:hAnsi="黑体" w:eastAsia="黑体"/>
          <w:sz w:val="44"/>
          <w:szCs w:val="44"/>
        </w:rPr>
      </w:pPr>
      <w:r>
        <w:rPr>
          <w:rFonts w:hint="eastAsia" w:ascii="黑体" w:hAnsi="黑体" w:eastAsia="黑体"/>
          <w:sz w:val="44"/>
          <w:szCs w:val="44"/>
          <w:lang w:val="en-US" w:eastAsia="zh-CN"/>
        </w:rPr>
        <w:t>更换安装</w:t>
      </w:r>
      <w:r>
        <w:rPr>
          <w:rFonts w:hint="eastAsia" w:ascii="黑体" w:hAnsi="黑体" w:eastAsia="黑体"/>
          <w:sz w:val="44"/>
          <w:szCs w:val="44"/>
        </w:rPr>
        <w:t>项目</w:t>
      </w:r>
    </w:p>
    <w:p>
      <w:pPr>
        <w:jc w:val="center"/>
        <w:rPr>
          <w:rFonts w:hint="eastAsia" w:ascii="黑体" w:hAnsi="黑体" w:eastAsia="黑体"/>
          <w:sz w:val="44"/>
          <w:szCs w:val="44"/>
        </w:rPr>
      </w:pPr>
    </w:p>
    <w:p>
      <w:pPr>
        <w:jc w:val="center"/>
        <w:rPr>
          <w:rFonts w:ascii="黑体" w:hAnsi="黑体" w:eastAsia="黑体"/>
          <w:sz w:val="44"/>
          <w:szCs w:val="44"/>
        </w:rPr>
      </w:pPr>
      <w:r>
        <w:rPr>
          <w:rFonts w:hint="eastAsia" w:ascii="黑体" w:hAnsi="黑体" w:eastAsia="黑体"/>
          <w:sz w:val="44"/>
          <w:szCs w:val="44"/>
        </w:rPr>
        <w:t>技术规范书</w:t>
      </w:r>
    </w:p>
    <w:p>
      <w:pPr>
        <w:pStyle w:val="15"/>
        <w:spacing w:line="360" w:lineRule="auto"/>
        <w:rPr>
          <w:rFonts w:ascii="宋体" w:hAnsi="宋体" w:eastAsia="宋体"/>
          <w:sz w:val="44"/>
          <w:szCs w:val="44"/>
        </w:rPr>
      </w:pPr>
    </w:p>
    <w:p>
      <w:pPr>
        <w:pStyle w:val="15"/>
        <w:spacing w:line="360" w:lineRule="auto"/>
        <w:rPr>
          <w:rFonts w:ascii="宋体" w:hAnsi="宋体" w:eastAsia="宋体"/>
          <w:sz w:val="44"/>
          <w:szCs w:val="44"/>
        </w:rPr>
      </w:pPr>
    </w:p>
    <w:p>
      <w:pPr>
        <w:pStyle w:val="15"/>
        <w:spacing w:line="360" w:lineRule="auto"/>
        <w:rPr>
          <w:rFonts w:ascii="宋体" w:hAnsi="宋体" w:eastAsia="宋体"/>
          <w:sz w:val="44"/>
          <w:szCs w:val="44"/>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pStyle w:val="15"/>
        <w:spacing w:line="360" w:lineRule="auto"/>
        <w:rPr>
          <w:rFonts w:ascii="宋体" w:hAnsi="宋体" w:eastAsia="宋体"/>
          <w:sz w:val="48"/>
          <w:szCs w:val="48"/>
        </w:rPr>
      </w:pPr>
    </w:p>
    <w:p>
      <w:pPr>
        <w:jc w:val="center"/>
        <w:rPr>
          <w:rFonts w:hint="eastAsia" w:eastAsiaTheme="minorEastAsia"/>
          <w:sz w:val="32"/>
          <w:szCs w:val="32"/>
          <w:lang w:eastAsia="zh-CN"/>
        </w:rPr>
      </w:pPr>
      <w:r>
        <w:rPr>
          <w:rFonts w:hint="eastAsia"/>
          <w:sz w:val="32"/>
          <w:szCs w:val="32"/>
          <w:lang w:eastAsia="zh-CN"/>
        </w:rPr>
        <w:t>广西电网公司</w:t>
      </w:r>
      <w:r>
        <w:rPr>
          <w:rFonts w:hint="eastAsia"/>
          <w:sz w:val="32"/>
          <w:szCs w:val="32"/>
          <w:lang w:val="en-US" w:eastAsia="zh-CN"/>
        </w:rPr>
        <w:t>玉林</w:t>
      </w:r>
      <w:r>
        <w:rPr>
          <w:rFonts w:hint="eastAsia"/>
          <w:sz w:val="32"/>
          <w:szCs w:val="32"/>
          <w:lang w:eastAsia="zh-CN"/>
        </w:rPr>
        <w:t>供电局</w:t>
      </w:r>
    </w:p>
    <w:p>
      <w:pPr>
        <w:jc w:val="center"/>
        <w:rPr>
          <w:sz w:val="32"/>
          <w:szCs w:val="32"/>
        </w:rPr>
      </w:pPr>
      <w:r>
        <w:rPr>
          <w:rFonts w:hint="eastAsia"/>
          <w:sz w:val="32"/>
          <w:szCs w:val="32"/>
        </w:rPr>
        <w:t>202</w:t>
      </w:r>
      <w:r>
        <w:rPr>
          <w:rFonts w:hint="eastAsia"/>
          <w:sz w:val="32"/>
          <w:szCs w:val="32"/>
          <w:lang w:val="en-US" w:eastAsia="zh-CN"/>
        </w:rPr>
        <w:t>5</w:t>
      </w:r>
      <w:r>
        <w:rPr>
          <w:rFonts w:hint="eastAsia"/>
          <w:sz w:val="32"/>
          <w:szCs w:val="32"/>
        </w:rPr>
        <w:t>年</w:t>
      </w:r>
      <w:r>
        <w:rPr>
          <w:rFonts w:hint="eastAsia"/>
          <w:sz w:val="32"/>
          <w:szCs w:val="32"/>
          <w:lang w:val="en-US" w:eastAsia="zh-CN"/>
        </w:rPr>
        <w:t>4</w:t>
      </w:r>
      <w:r>
        <w:rPr>
          <w:rFonts w:hint="eastAsia"/>
          <w:sz w:val="32"/>
          <w:szCs w:val="32"/>
        </w:rPr>
        <w:t>月</w:t>
      </w:r>
    </w:p>
    <w:p>
      <w:pPr>
        <w:pStyle w:val="16"/>
        <w:widowControl/>
        <w:numPr>
          <w:ilvl w:val="0"/>
          <w:numId w:val="2"/>
        </w:numPr>
        <w:ind w:firstLineChars="0"/>
        <w:jc w:val="left"/>
        <w:outlineLvl w:val="0"/>
        <w:rPr>
          <w:rStyle w:val="17"/>
        </w:rPr>
      </w:pPr>
      <w:r>
        <w:br w:type="page"/>
      </w:r>
      <w:r>
        <w:rPr>
          <w:rStyle w:val="17"/>
        </w:rPr>
        <w:t>总则</w:t>
      </w:r>
    </w:p>
    <w:p>
      <w:pPr>
        <w:pStyle w:val="3"/>
        <w:numPr>
          <w:ilvl w:val="1"/>
          <w:numId w:val="3"/>
        </w:numPr>
        <w:tabs>
          <w:tab w:val="left" w:pos="993"/>
          <w:tab w:val="clear" w:pos="567"/>
        </w:tabs>
        <w:snapToGrid w:val="0"/>
        <w:spacing w:before="0" w:after="0" w:line="480" w:lineRule="atLeast"/>
        <w:ind w:left="0" w:firstLine="643" w:firstLineChars="200"/>
      </w:pPr>
      <w:bookmarkStart w:id="0" w:name="_Toc24665"/>
      <w:r>
        <w:rPr>
          <w:rFonts w:hint="eastAsia"/>
        </w:rPr>
        <w:t>投标要求</w:t>
      </w:r>
      <w:bookmarkEnd w:id="0"/>
    </w:p>
    <w:p>
      <w:pPr>
        <w:pStyle w:val="20"/>
        <w:numPr>
          <w:ilvl w:val="2"/>
          <w:numId w:val="4"/>
        </w:numPr>
        <w:ind w:firstLine="360"/>
      </w:pPr>
      <w:r>
        <w:rPr>
          <w:rFonts w:hint="eastAsia"/>
        </w:rPr>
        <w:t>投标方必须认真阅读本技术条款内容，以免造成投标失败。</w:t>
      </w:r>
    </w:p>
    <w:p>
      <w:pPr>
        <w:pStyle w:val="20"/>
        <w:numPr>
          <w:ilvl w:val="2"/>
          <w:numId w:val="4"/>
        </w:numPr>
        <w:ind w:firstLine="360"/>
      </w:pPr>
      <w:r>
        <w:rPr>
          <w:rFonts w:hint="eastAsia"/>
        </w:rPr>
        <w:t>本技术规范书主要描述</w:t>
      </w:r>
      <w:r>
        <w:rPr>
          <w:rFonts w:hint="eastAsia"/>
          <w:highlight w:val="none"/>
          <w:lang w:eastAsia="zh-CN"/>
        </w:rPr>
        <w:t>玉林供电局</w:t>
      </w:r>
      <w:r>
        <w:rPr>
          <w:rFonts w:hint="eastAsia"/>
          <w:highlight w:val="none"/>
        </w:rPr>
        <w:t>202</w:t>
      </w:r>
      <w:r>
        <w:rPr>
          <w:rFonts w:hint="eastAsia"/>
          <w:highlight w:val="none"/>
          <w:lang w:val="en-US" w:eastAsia="zh-CN"/>
        </w:rPr>
        <w:t>5</w:t>
      </w:r>
      <w:r>
        <w:rPr>
          <w:rFonts w:hint="eastAsia"/>
          <w:highlight w:val="none"/>
        </w:rPr>
        <w:t>年信息机房蓄电池组更换安装项目</w:t>
      </w:r>
      <w:r>
        <w:rPr>
          <w:rFonts w:hint="eastAsia"/>
        </w:rPr>
        <w:t>要求有关事项。</w:t>
      </w:r>
    </w:p>
    <w:p>
      <w:pPr>
        <w:pStyle w:val="20"/>
        <w:numPr>
          <w:ilvl w:val="2"/>
          <w:numId w:val="4"/>
        </w:numPr>
        <w:ind w:firstLine="360"/>
      </w:pPr>
      <w:r>
        <w:rPr>
          <w:rFonts w:hint="eastAsia"/>
        </w:rPr>
        <w:t>本技术规范书提出的是最低限度的技术要求, 并未对一切技术细节作出规定，也未充分引述有关标准和规范的条文。投标方应提供符合本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0"/>
        <w:numPr>
          <w:ilvl w:val="2"/>
          <w:numId w:val="4"/>
        </w:numPr>
        <w:ind w:firstLine="360"/>
      </w:pPr>
      <w:r>
        <w:rPr>
          <w:rFonts w:hint="eastAsia"/>
        </w:rPr>
        <w:t>投标方应提供满足本技术规范书要求的实施方案及报价，实施方案必须满足本技术规范的主要要求，否则将被认作没有回答。投标方认为需特殊说明的部分，应附详细的技术资料，否则因评标理解不同而产生的后果由投标方负责。</w:t>
      </w:r>
    </w:p>
    <w:p>
      <w:pPr>
        <w:pStyle w:val="20"/>
        <w:numPr>
          <w:ilvl w:val="2"/>
          <w:numId w:val="4"/>
        </w:numPr>
        <w:ind w:firstLine="360"/>
      </w:pPr>
      <w:r>
        <w:rPr>
          <w:rFonts w:hint="eastAsia"/>
        </w:rPr>
        <w:t>如果投标方认为本技术条款所描述技术要求等存在不合理性或不明白的，可在响应原要求后陈述相关建议。</w:t>
      </w:r>
    </w:p>
    <w:p>
      <w:pPr>
        <w:pStyle w:val="20"/>
        <w:numPr>
          <w:ilvl w:val="2"/>
          <w:numId w:val="4"/>
        </w:numPr>
        <w:ind w:firstLine="360"/>
      </w:pPr>
      <w:r>
        <w:rPr>
          <w:rFonts w:hint="eastAsia"/>
        </w:rPr>
        <w:t>投标方也可提出满足本技术规范书要求，且技术先进、成熟、价格合理的其他建议，供招标方选择。</w:t>
      </w:r>
    </w:p>
    <w:p>
      <w:pPr>
        <w:pStyle w:val="20"/>
        <w:numPr>
          <w:ilvl w:val="2"/>
          <w:numId w:val="4"/>
        </w:numPr>
        <w:ind w:firstLine="360"/>
      </w:pPr>
      <w:r>
        <w:rPr>
          <w:rFonts w:hint="eastAsia"/>
        </w:rPr>
        <w:t>投标方应提供满足本技术规范书要求的完整的服务、工作产品，满足国家及用户提出的有关质量标准要求。所有工作产品必须具有在中国境内的合法使用权。</w:t>
      </w:r>
    </w:p>
    <w:p>
      <w:pPr>
        <w:pStyle w:val="20"/>
        <w:numPr>
          <w:ilvl w:val="2"/>
          <w:numId w:val="4"/>
        </w:numPr>
        <w:ind w:firstLine="360"/>
      </w:pPr>
      <w:r>
        <w:rPr>
          <w:rFonts w:hint="eastAsia"/>
        </w:rPr>
        <w:t>本技术规范书所使用的标准如与投标方所执行的标准不一致，按较高标准执行。</w:t>
      </w:r>
    </w:p>
    <w:p>
      <w:pPr>
        <w:pStyle w:val="20"/>
        <w:numPr>
          <w:ilvl w:val="2"/>
          <w:numId w:val="4"/>
        </w:numPr>
        <w:ind w:firstLine="360"/>
      </w:pPr>
      <w:r>
        <w:rPr>
          <w:rFonts w:hint="eastAsia"/>
        </w:rPr>
        <w:t>如果因为无法提供的原因而提供其他产品、服务，投标方应明确说明并提出质量保证承诺。</w:t>
      </w:r>
    </w:p>
    <w:p>
      <w:pPr>
        <w:pStyle w:val="20"/>
        <w:numPr>
          <w:ilvl w:val="2"/>
          <w:numId w:val="4"/>
        </w:numPr>
        <w:ind w:firstLine="360"/>
      </w:pPr>
      <w:r>
        <w:rPr>
          <w:rFonts w:hint="eastAsia"/>
        </w:rPr>
        <w:t>投标方应对本次投标所有文件保密，不得向其他单位公布或泄漏招标项目的有关信息。</w:t>
      </w:r>
    </w:p>
    <w:p>
      <w:pPr>
        <w:pStyle w:val="20"/>
        <w:numPr>
          <w:ilvl w:val="2"/>
          <w:numId w:val="4"/>
        </w:numPr>
        <w:ind w:firstLine="360"/>
      </w:pPr>
      <w:r>
        <w:rPr>
          <w:rFonts w:hint="eastAsia"/>
        </w:rPr>
        <w:t>招标方保留技术规范书修改的权利，可以提出变更的意见和建议，最终签订的技术协议与合同具有同等效力。</w:t>
      </w:r>
    </w:p>
    <w:p>
      <w:pPr>
        <w:pStyle w:val="20"/>
        <w:numPr>
          <w:ilvl w:val="2"/>
          <w:numId w:val="4"/>
        </w:numPr>
        <w:ind w:firstLine="360"/>
      </w:pPr>
      <w:r>
        <w:rPr>
          <w:rFonts w:hint="eastAsia"/>
        </w:rPr>
        <w:t>在不超出本技术规范书要求的情况下，投标方应对招标方提出的所有细化要求予以满足。</w:t>
      </w:r>
    </w:p>
    <w:p>
      <w:pPr>
        <w:pStyle w:val="20"/>
        <w:numPr>
          <w:ilvl w:val="2"/>
          <w:numId w:val="4"/>
        </w:numPr>
        <w:ind w:firstLine="360"/>
      </w:pPr>
      <w:r>
        <w:rPr>
          <w:rFonts w:hint="eastAsia"/>
        </w:rPr>
        <w:t>有文件、图纸、通信的均使用中文。所有计算、说明、图纸文件、手册等使用国际单位制。</w:t>
      </w:r>
    </w:p>
    <w:p>
      <w:pPr>
        <w:pStyle w:val="3"/>
        <w:numPr>
          <w:ilvl w:val="1"/>
          <w:numId w:val="3"/>
        </w:numPr>
        <w:tabs>
          <w:tab w:val="left" w:pos="993"/>
          <w:tab w:val="clear" w:pos="567"/>
        </w:tabs>
        <w:snapToGrid w:val="0"/>
        <w:spacing w:before="0" w:after="0" w:line="480" w:lineRule="atLeast"/>
        <w:ind w:left="0" w:firstLine="482" w:firstLineChars="200"/>
        <w:rPr>
          <w:rFonts w:ascii="宋体" w:hAnsi="宋体" w:eastAsia="宋体" w:cs="Times New Roman"/>
          <w:sz w:val="24"/>
          <w:szCs w:val="24"/>
        </w:rPr>
      </w:pPr>
      <w:bookmarkStart w:id="1" w:name="_Toc2588"/>
      <w:r>
        <w:rPr>
          <w:rFonts w:hint="eastAsia" w:ascii="宋体" w:hAnsi="宋体" w:eastAsia="宋体" w:cs="Times New Roman"/>
          <w:sz w:val="24"/>
          <w:szCs w:val="24"/>
        </w:rPr>
        <w:t>投标方职责</w:t>
      </w:r>
      <w:bookmarkEnd w:id="1"/>
    </w:p>
    <w:p>
      <w:pPr>
        <w:autoSpaceDE w:val="0"/>
        <w:autoSpaceDN w:val="0"/>
        <w:spacing w:line="360" w:lineRule="auto"/>
        <w:ind w:firstLine="480" w:firstLineChars="200"/>
        <w:rPr>
          <w:sz w:val="24"/>
          <w:szCs w:val="24"/>
        </w:rPr>
      </w:pPr>
      <w:r>
        <w:rPr>
          <w:rFonts w:hint="eastAsia"/>
          <w:sz w:val="24"/>
          <w:szCs w:val="24"/>
        </w:rPr>
        <w:t>1）投标方须提供的施工方法和技术要求应符合国标和南方电网的企业标准。</w:t>
      </w:r>
    </w:p>
    <w:p>
      <w:pPr>
        <w:autoSpaceDE w:val="0"/>
        <w:autoSpaceDN w:val="0"/>
        <w:spacing w:line="360" w:lineRule="auto"/>
        <w:ind w:firstLine="440"/>
        <w:rPr>
          <w:sz w:val="24"/>
          <w:szCs w:val="24"/>
        </w:rPr>
      </w:pPr>
      <w:r>
        <w:rPr>
          <w:rFonts w:hint="eastAsia"/>
          <w:sz w:val="24"/>
          <w:szCs w:val="24"/>
        </w:rPr>
        <w:t>2）中标人应按照施工方案和合同约定，保质保量完成现场工作。</w:t>
      </w:r>
    </w:p>
    <w:p>
      <w:pPr>
        <w:autoSpaceDE w:val="0"/>
        <w:autoSpaceDN w:val="0"/>
        <w:spacing w:line="360" w:lineRule="auto"/>
        <w:ind w:firstLine="440"/>
        <w:rPr>
          <w:sz w:val="24"/>
          <w:szCs w:val="24"/>
        </w:rPr>
      </w:pPr>
      <w:r>
        <w:rPr>
          <w:rFonts w:hint="eastAsia"/>
          <w:sz w:val="24"/>
          <w:szCs w:val="24"/>
        </w:rPr>
        <w:t>3）中标人应遵守电力安全规程的各项规定，在确保安全的情况下开展工作。作业现场必须随时接受招标人代表的检查与指导，对一切不安全行为及时予以纠正。</w:t>
      </w:r>
    </w:p>
    <w:p>
      <w:pPr>
        <w:autoSpaceDE w:val="0"/>
        <w:autoSpaceDN w:val="0"/>
        <w:spacing w:line="360" w:lineRule="auto"/>
        <w:ind w:firstLine="440"/>
        <w:rPr>
          <w:sz w:val="24"/>
          <w:szCs w:val="24"/>
        </w:rPr>
      </w:pPr>
      <w:r>
        <w:rPr>
          <w:rFonts w:hint="eastAsia"/>
          <w:sz w:val="24"/>
          <w:szCs w:val="24"/>
        </w:rPr>
        <w:t>4）确保现场施工安全，有序组织施工人员、设备厂家完成现场施工作业。</w:t>
      </w:r>
    </w:p>
    <w:p>
      <w:pPr>
        <w:autoSpaceDE w:val="0"/>
        <w:autoSpaceDN w:val="0"/>
        <w:spacing w:line="360" w:lineRule="auto"/>
        <w:ind w:firstLine="440"/>
        <w:rPr>
          <w:sz w:val="24"/>
          <w:szCs w:val="24"/>
        </w:rPr>
      </w:pPr>
      <w:r>
        <w:rPr>
          <w:rFonts w:hint="eastAsia"/>
          <w:sz w:val="24"/>
          <w:szCs w:val="24"/>
        </w:rPr>
        <w:t>5）委派1-2名项目技术负责人，项目施工服务时，项目技术负责人应常驻现场，负责现场安全施工以及与招标方对接等相关事宜。项目技术负责人及其它主要人员必须有安装和调试同类设备3 年以上工作经验，如招标人认为该人员不胜任时可以要求更换，中标人应按照招标人要求及时更换。</w:t>
      </w:r>
    </w:p>
    <w:p>
      <w:pPr>
        <w:autoSpaceDE w:val="0"/>
        <w:autoSpaceDN w:val="0"/>
        <w:spacing w:line="360" w:lineRule="auto"/>
        <w:ind w:firstLine="440"/>
        <w:rPr>
          <w:sz w:val="24"/>
          <w:szCs w:val="24"/>
        </w:rPr>
      </w:pPr>
      <w:r>
        <w:rPr>
          <w:rFonts w:hint="eastAsia"/>
          <w:sz w:val="24"/>
          <w:szCs w:val="24"/>
        </w:rPr>
        <w:t>6）在保证质量的前提下，有计划推进项目进度，工期滞后于计划时，应及时、合理的调整进度计划，补充人力、物力、财力资源，确保项目按时竣工。</w:t>
      </w:r>
    </w:p>
    <w:p>
      <w:pPr>
        <w:autoSpaceDE w:val="0"/>
        <w:autoSpaceDN w:val="0"/>
        <w:spacing w:line="360" w:lineRule="auto"/>
        <w:ind w:firstLine="440"/>
        <w:rPr>
          <w:sz w:val="24"/>
          <w:szCs w:val="24"/>
        </w:rPr>
      </w:pPr>
      <w:r>
        <w:rPr>
          <w:rFonts w:hint="eastAsia"/>
          <w:sz w:val="24"/>
          <w:szCs w:val="24"/>
        </w:rPr>
        <w:t>7）配合招标人做好隐蔽工程验收。</w:t>
      </w:r>
    </w:p>
    <w:p>
      <w:pPr>
        <w:autoSpaceDE w:val="0"/>
        <w:autoSpaceDN w:val="0"/>
        <w:spacing w:line="360" w:lineRule="auto"/>
        <w:ind w:firstLine="440"/>
        <w:rPr>
          <w:sz w:val="24"/>
          <w:szCs w:val="24"/>
        </w:rPr>
      </w:pPr>
      <w:r>
        <w:rPr>
          <w:rFonts w:hint="eastAsia"/>
          <w:sz w:val="24"/>
          <w:szCs w:val="24"/>
        </w:rPr>
        <w:t>8）负责整个项目资料的整理与移交，确保资料的完整性、正确性。</w:t>
      </w:r>
    </w:p>
    <w:p>
      <w:pPr>
        <w:autoSpaceDE w:val="0"/>
        <w:autoSpaceDN w:val="0"/>
        <w:spacing w:line="360" w:lineRule="auto"/>
        <w:ind w:firstLine="440"/>
        <w:rPr>
          <w:sz w:val="24"/>
          <w:szCs w:val="24"/>
        </w:rPr>
      </w:pPr>
      <w:r>
        <w:rPr>
          <w:rFonts w:hint="eastAsia"/>
          <w:sz w:val="24"/>
          <w:szCs w:val="24"/>
        </w:rPr>
        <w:t>9）项目验收合格后，提供两年免费质保服务，中标人应积极、及时处理现场故障，以免影响招标人的正常运行。</w:t>
      </w:r>
    </w:p>
    <w:p>
      <w:pPr>
        <w:pStyle w:val="3"/>
        <w:numPr>
          <w:ilvl w:val="1"/>
          <w:numId w:val="3"/>
        </w:numPr>
        <w:tabs>
          <w:tab w:val="left" w:pos="993"/>
          <w:tab w:val="clear" w:pos="567"/>
        </w:tabs>
        <w:snapToGrid w:val="0"/>
        <w:spacing w:before="0" w:after="0" w:line="480" w:lineRule="atLeast"/>
        <w:ind w:left="0" w:firstLine="482" w:firstLineChars="200"/>
      </w:pPr>
      <w:bookmarkStart w:id="2" w:name="_Toc26255"/>
      <w:r>
        <w:rPr>
          <w:rFonts w:hint="eastAsia" w:ascii="宋体" w:hAnsi="宋体" w:eastAsia="宋体" w:cs="Times New Roman"/>
          <w:sz w:val="24"/>
          <w:szCs w:val="24"/>
        </w:rPr>
        <w:t>招标方职责</w:t>
      </w:r>
      <w:bookmarkEnd w:id="2"/>
    </w:p>
    <w:p>
      <w:pPr>
        <w:autoSpaceDE w:val="0"/>
        <w:autoSpaceDN w:val="0"/>
        <w:spacing w:line="360" w:lineRule="auto"/>
        <w:ind w:firstLine="440"/>
        <w:rPr>
          <w:sz w:val="24"/>
          <w:szCs w:val="24"/>
        </w:rPr>
      </w:pPr>
      <w:r>
        <w:rPr>
          <w:rFonts w:hint="eastAsia"/>
          <w:sz w:val="24"/>
          <w:szCs w:val="24"/>
        </w:rPr>
        <w:t>1）负责对本技术规范书进行解释。</w:t>
      </w:r>
    </w:p>
    <w:p>
      <w:pPr>
        <w:autoSpaceDE w:val="0"/>
        <w:autoSpaceDN w:val="0"/>
        <w:spacing w:line="360" w:lineRule="auto"/>
        <w:ind w:firstLine="440"/>
        <w:rPr>
          <w:sz w:val="24"/>
          <w:szCs w:val="24"/>
        </w:rPr>
      </w:pPr>
      <w:r>
        <w:rPr>
          <w:rFonts w:hint="eastAsia"/>
          <w:sz w:val="24"/>
          <w:szCs w:val="24"/>
        </w:rPr>
        <w:t>2）保留对本技术规范书增删、修改的权利。</w:t>
      </w:r>
    </w:p>
    <w:p>
      <w:pPr>
        <w:autoSpaceDE w:val="0"/>
        <w:autoSpaceDN w:val="0"/>
        <w:spacing w:line="360" w:lineRule="auto"/>
        <w:ind w:firstLine="440"/>
        <w:rPr>
          <w:sz w:val="24"/>
          <w:szCs w:val="24"/>
        </w:rPr>
      </w:pPr>
      <w:r>
        <w:rPr>
          <w:rFonts w:hint="eastAsia"/>
          <w:sz w:val="24"/>
          <w:szCs w:val="24"/>
        </w:rPr>
        <w:t>3）有权对投标方的技术建议内容进行取舍。</w:t>
      </w:r>
    </w:p>
    <w:p>
      <w:pPr>
        <w:autoSpaceDE w:val="0"/>
        <w:autoSpaceDN w:val="0"/>
        <w:spacing w:line="360" w:lineRule="auto"/>
        <w:ind w:firstLine="440"/>
        <w:rPr>
          <w:sz w:val="24"/>
          <w:szCs w:val="24"/>
        </w:rPr>
      </w:pPr>
      <w:r>
        <w:rPr>
          <w:rFonts w:hint="eastAsia"/>
          <w:sz w:val="24"/>
          <w:szCs w:val="24"/>
        </w:rPr>
        <w:t>4）协助中标方开展现场相关工作。</w:t>
      </w:r>
    </w:p>
    <w:p>
      <w:pPr>
        <w:autoSpaceDE w:val="0"/>
        <w:autoSpaceDN w:val="0"/>
        <w:spacing w:line="360" w:lineRule="auto"/>
        <w:ind w:firstLine="440"/>
        <w:rPr>
          <w:sz w:val="24"/>
          <w:szCs w:val="24"/>
        </w:rPr>
      </w:pPr>
      <w:r>
        <w:rPr>
          <w:rFonts w:hint="eastAsia"/>
          <w:sz w:val="24"/>
          <w:szCs w:val="24"/>
        </w:rPr>
        <w:t>5）确认投标方提供的相关资料和文件。</w:t>
      </w:r>
    </w:p>
    <w:p>
      <w:pPr>
        <w:autoSpaceDE w:val="0"/>
        <w:autoSpaceDN w:val="0"/>
        <w:spacing w:line="360" w:lineRule="auto"/>
        <w:ind w:firstLine="440"/>
        <w:rPr>
          <w:sz w:val="24"/>
          <w:szCs w:val="24"/>
        </w:rPr>
      </w:pPr>
      <w:r>
        <w:rPr>
          <w:rFonts w:hint="eastAsia"/>
          <w:sz w:val="24"/>
          <w:szCs w:val="24"/>
        </w:rPr>
        <w:t>6）负责提供现场施工的条件及必要的支持。</w:t>
      </w:r>
    </w:p>
    <w:p>
      <w:pPr>
        <w:autoSpaceDE w:val="0"/>
        <w:autoSpaceDN w:val="0"/>
        <w:spacing w:line="360" w:lineRule="auto"/>
        <w:ind w:firstLine="440"/>
        <w:rPr>
          <w:sz w:val="24"/>
          <w:szCs w:val="24"/>
        </w:rPr>
      </w:pPr>
      <w:r>
        <w:rPr>
          <w:rFonts w:hint="eastAsia"/>
          <w:sz w:val="24"/>
          <w:szCs w:val="24"/>
        </w:rPr>
        <w:t>7）协助现场设备布置及沟通与协调。</w:t>
      </w:r>
    </w:p>
    <w:p>
      <w:pPr>
        <w:autoSpaceDE w:val="0"/>
        <w:autoSpaceDN w:val="0"/>
        <w:spacing w:line="360" w:lineRule="auto"/>
        <w:ind w:firstLine="440"/>
        <w:rPr>
          <w:sz w:val="24"/>
          <w:szCs w:val="24"/>
        </w:rPr>
      </w:pPr>
      <w:r>
        <w:rPr>
          <w:rFonts w:hint="eastAsia"/>
          <w:sz w:val="24"/>
          <w:szCs w:val="24"/>
        </w:rPr>
        <w:t>8）组织现场验收。</w:t>
      </w:r>
    </w:p>
    <w:p>
      <w:pPr>
        <w:pStyle w:val="2"/>
        <w:numPr>
          <w:ilvl w:val="0"/>
          <w:numId w:val="0"/>
        </w:numPr>
        <w:ind w:leftChars="0"/>
        <w:outlineLvl w:val="0"/>
      </w:pPr>
      <w:r>
        <w:rPr>
          <w:rFonts w:hint="eastAsia"/>
        </w:rPr>
        <w:t>2.应遵循的主要标准</w:t>
      </w:r>
    </w:p>
    <w:p>
      <w:pPr>
        <w:spacing w:line="360" w:lineRule="auto"/>
        <w:rPr>
          <w:rFonts w:ascii="宋体" w:hAnsi="Times New Roman" w:eastAsia="宋体" w:cs="Times New Roman"/>
          <w:sz w:val="24"/>
          <w:szCs w:val="24"/>
        </w:rPr>
      </w:pPr>
      <w:r>
        <w:rPr>
          <w:rFonts w:hint="eastAsia" w:ascii="宋体" w:hAnsi="Times New Roman" w:eastAsia="宋体" w:cs="Times New Roman"/>
          <w:sz w:val="24"/>
          <w:szCs w:val="24"/>
        </w:rPr>
        <w:t>本项目的工作应遵循以下标准和文件要求：</w:t>
      </w:r>
    </w:p>
    <w:p>
      <w:pPr>
        <w:ind w:firstLine="480" w:firstLineChars="200"/>
        <w:rPr>
          <w:rFonts w:ascii="宋体" w:hAnsi="Times New Roman" w:eastAsia="宋体" w:cs="Times New Roman"/>
          <w:sz w:val="24"/>
          <w:szCs w:val="24"/>
        </w:rPr>
      </w:pPr>
    </w:p>
    <w:p>
      <w:pPr>
        <w:pStyle w:val="16"/>
        <w:widowControl/>
        <w:ind w:firstLine="0" w:firstLineChars="0"/>
        <w:jc w:val="left"/>
        <w:outlineLvl w:val="9"/>
        <w:rPr>
          <w:b/>
          <w:sz w:val="24"/>
          <w:szCs w:val="24"/>
        </w:rPr>
      </w:pPr>
      <w:r>
        <w:rPr>
          <w:b/>
          <w:sz w:val="24"/>
          <w:szCs w:val="24"/>
        </w:rPr>
        <w:t>通用标准与规范</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《智能建筑设计标准》（GB 50314-2015）</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《智能建筑工程质量验收规范》（GB50339-2013）</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《通信管道与通信工程设计规范》（GB 50373-2006）</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《低压配电设计规范》（GB 50054-2011）</w:t>
      </w:r>
    </w:p>
    <w:p>
      <w:pPr>
        <w:widowControl/>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《供配电系统设计规范》（GB 50052-2009）</w:t>
      </w:r>
    </w:p>
    <w:p>
      <w:pPr>
        <w:widowControl/>
        <w:spacing w:line="360" w:lineRule="auto"/>
        <w:ind w:firstLine="480" w:firstLineChars="200"/>
        <w:jc w:val="lef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eastAsia="zh-CN"/>
        </w:rPr>
        <w:t>《</w:t>
      </w:r>
      <w:r>
        <w:rPr>
          <w:rFonts w:hint="eastAsia" w:asciiTheme="minorEastAsia" w:hAnsiTheme="minorEastAsia"/>
          <w:sz w:val="24"/>
          <w:szCs w:val="24"/>
          <w:lang w:val="en-US" w:eastAsia="zh-CN"/>
        </w:rPr>
        <w:t>电气装置安装工程蓄电池施工及验收标准》（DL/T 5892-2024）</w:t>
      </w:r>
    </w:p>
    <w:p>
      <w:pPr>
        <w:pStyle w:val="16"/>
        <w:widowControl/>
        <w:ind w:firstLine="0" w:firstLineChars="0"/>
        <w:jc w:val="left"/>
        <w:outlineLvl w:val="9"/>
        <w:rPr>
          <w:b/>
          <w:sz w:val="24"/>
          <w:szCs w:val="24"/>
        </w:rPr>
      </w:pPr>
      <w:r>
        <w:rPr>
          <w:rFonts w:hint="eastAsia"/>
          <w:b/>
          <w:sz w:val="24"/>
          <w:szCs w:val="24"/>
        </w:rPr>
        <w:t>综合布线系统相关标准与规范</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《综合布线系统工程设计规范》（GB 50311-2016）</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《综合布线系统工程服务及验收规范》（GB 50312-2007）</w:t>
      </w:r>
    </w:p>
    <w:p>
      <w:pPr>
        <w:pStyle w:val="16"/>
        <w:widowControl/>
        <w:ind w:firstLine="0" w:firstLineChars="0"/>
        <w:jc w:val="left"/>
        <w:outlineLvl w:val="9"/>
        <w:rPr>
          <w:b/>
          <w:sz w:val="24"/>
          <w:szCs w:val="24"/>
        </w:rPr>
      </w:pPr>
      <w:r>
        <w:rPr>
          <w:rFonts w:hint="eastAsia"/>
          <w:b/>
          <w:sz w:val="24"/>
          <w:szCs w:val="24"/>
        </w:rPr>
        <w:t>机房工程相关标准与规范</w:t>
      </w:r>
    </w:p>
    <w:p>
      <w:pPr>
        <w:widowControl/>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《计算机场地通用规范》（GB/T 2881-2011）</w:t>
      </w:r>
    </w:p>
    <w:p>
      <w:pPr>
        <w:widowControl/>
        <w:spacing w:line="360" w:lineRule="auto"/>
        <w:ind w:firstLine="480" w:firstLineChars="200"/>
        <w:jc w:val="lef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eastAsia="zh-CN"/>
        </w:rPr>
        <w:t>《数据中心基础设施施工及验收标准》</w:t>
      </w:r>
      <w:r>
        <w:rPr>
          <w:rFonts w:hint="eastAsia" w:asciiTheme="minorEastAsia" w:hAnsiTheme="minorEastAsia"/>
          <w:sz w:val="24"/>
          <w:szCs w:val="24"/>
          <w:lang w:val="en-US" w:eastAsia="zh-CN"/>
        </w:rPr>
        <w:t>（</w:t>
      </w:r>
      <w:r>
        <w:rPr>
          <w:rFonts w:hint="eastAsia" w:asciiTheme="minorEastAsia" w:hAnsiTheme="minorEastAsia"/>
          <w:sz w:val="24"/>
          <w:szCs w:val="24"/>
          <w:lang w:eastAsia="zh-CN"/>
        </w:rPr>
        <w:t>GB50462-2024）</w:t>
      </w:r>
    </w:p>
    <w:p>
      <w:pPr>
        <w:pStyle w:val="16"/>
        <w:widowControl/>
        <w:ind w:firstLine="0" w:firstLineChars="0"/>
        <w:jc w:val="left"/>
        <w:outlineLvl w:val="9"/>
        <w:rPr>
          <w:b/>
          <w:sz w:val="24"/>
          <w:szCs w:val="24"/>
        </w:rPr>
      </w:pPr>
      <w:r>
        <w:rPr>
          <w:rFonts w:hint="eastAsia"/>
          <w:b/>
          <w:sz w:val="24"/>
          <w:szCs w:val="24"/>
        </w:rPr>
        <w:t>安全技术防范系统相关标准与规范</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《安全防范工程技术规范》（GB 50348-20</w:t>
      </w:r>
      <w:r>
        <w:rPr>
          <w:rFonts w:asciiTheme="minorEastAsia" w:hAnsiTheme="minorEastAsia"/>
          <w:sz w:val="24"/>
          <w:szCs w:val="24"/>
        </w:rPr>
        <w:t>18</w:t>
      </w:r>
      <w:r>
        <w:rPr>
          <w:rFonts w:hint="eastAsia" w:asciiTheme="minorEastAsia" w:hAnsiTheme="minorEastAsia"/>
          <w:sz w:val="24"/>
          <w:szCs w:val="24"/>
        </w:rPr>
        <w:t>）</w:t>
      </w:r>
    </w:p>
    <w:p>
      <w:pPr>
        <w:pStyle w:val="16"/>
        <w:widowControl/>
        <w:ind w:firstLine="0" w:firstLineChars="0"/>
        <w:jc w:val="left"/>
        <w:outlineLvl w:val="9"/>
        <w:rPr>
          <w:b/>
          <w:sz w:val="24"/>
          <w:szCs w:val="24"/>
        </w:rPr>
      </w:pPr>
      <w:r>
        <w:rPr>
          <w:rFonts w:hint="eastAsia"/>
          <w:b/>
          <w:sz w:val="24"/>
          <w:szCs w:val="24"/>
        </w:rPr>
        <w:t>信息系统防雷与接地相关标准与规范</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《建筑物防雷设计规范》（GB 50057-2010）</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《建筑物电子信息系统防雷技术规范》(GB 50343-2012)</w:t>
      </w:r>
    </w:p>
    <w:p>
      <w:pPr>
        <w:widowControl/>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《电子设备雷击保护守则》（GB 7450-87）</w:t>
      </w:r>
    </w:p>
    <w:p>
      <w:pPr>
        <w:ind w:firstLine="480" w:firstLineChars="200"/>
        <w:rPr>
          <w:rFonts w:ascii="宋体" w:hAnsi="Times New Roman" w:eastAsia="宋体" w:cs="Times New Roman"/>
          <w:sz w:val="24"/>
          <w:szCs w:val="24"/>
        </w:rPr>
      </w:pPr>
    </w:p>
    <w:p>
      <w:pPr>
        <w:pStyle w:val="16"/>
        <w:widowControl/>
        <w:ind w:left="420" w:firstLine="0" w:firstLineChars="0"/>
        <w:jc w:val="left"/>
      </w:pPr>
    </w:p>
    <w:p>
      <w:pPr>
        <w:pStyle w:val="2"/>
        <w:numPr>
          <w:ilvl w:val="0"/>
          <w:numId w:val="0"/>
        </w:numPr>
        <w:ind w:leftChars="0"/>
        <w:outlineLvl w:val="0"/>
      </w:pPr>
      <w:r>
        <w:rPr>
          <w:rFonts w:hint="eastAsia"/>
        </w:rPr>
        <w:t>3.</w:t>
      </w:r>
      <w:r>
        <w:rPr>
          <w:rFonts w:hint="eastAsia"/>
          <w:lang w:eastAsia="zh-CN"/>
        </w:rPr>
        <w:t>采购</w:t>
      </w:r>
      <w:r>
        <w:rPr>
          <w:rFonts w:hint="eastAsia"/>
        </w:rPr>
        <w:t>范围</w:t>
      </w:r>
    </w:p>
    <w:p>
      <w:pPr>
        <w:pStyle w:val="16"/>
        <w:widowControl/>
        <w:ind w:firstLine="0" w:firstLineChars="0"/>
        <w:jc w:val="left"/>
        <w:outlineLvl w:val="1"/>
        <w:rPr>
          <w:b/>
          <w:sz w:val="24"/>
          <w:szCs w:val="24"/>
        </w:rPr>
      </w:pPr>
      <w:r>
        <w:rPr>
          <w:rFonts w:hint="eastAsia"/>
          <w:b/>
          <w:sz w:val="24"/>
          <w:szCs w:val="24"/>
        </w:rPr>
        <w:t>3.1</w:t>
      </w:r>
      <w:r>
        <w:rPr>
          <w:rFonts w:hint="eastAsia"/>
          <w:b/>
          <w:sz w:val="24"/>
          <w:szCs w:val="24"/>
          <w:lang w:eastAsia="zh-CN"/>
        </w:rPr>
        <w:t>采购</w:t>
      </w:r>
      <w:r>
        <w:rPr>
          <w:b/>
          <w:sz w:val="24"/>
          <w:szCs w:val="24"/>
        </w:rPr>
        <w:t>工作范围</w:t>
      </w:r>
    </w:p>
    <w:p>
      <w:pPr>
        <w:widowControl/>
        <w:spacing w:line="360" w:lineRule="auto"/>
        <w:jc w:val="left"/>
        <w:rPr>
          <w:sz w:val="24"/>
          <w:szCs w:val="24"/>
        </w:rPr>
      </w:pPr>
      <w:r>
        <w:rPr>
          <w:sz w:val="24"/>
          <w:szCs w:val="24"/>
        </w:rPr>
        <w:t>投标人必须负责完成本项目以下工作内容</w:t>
      </w:r>
      <w:r>
        <w:rPr>
          <w:rFonts w:hint="eastAsia"/>
          <w:sz w:val="24"/>
          <w:szCs w:val="24"/>
        </w:rPr>
        <w:t>：</w:t>
      </w:r>
    </w:p>
    <w:p>
      <w:pPr>
        <w:widowControl/>
        <w:numPr>
          <w:ilvl w:val="0"/>
          <w:numId w:val="5"/>
        </w:numPr>
        <w:spacing w:line="360" w:lineRule="auto"/>
        <w:jc w:val="left"/>
        <w:rPr>
          <w:rFonts w:hint="eastAsia"/>
          <w:sz w:val="24"/>
          <w:szCs w:val="24"/>
          <w:lang w:val="en-US" w:eastAsia="zh-CN"/>
        </w:rPr>
      </w:pPr>
      <w:r>
        <w:rPr>
          <w:rFonts w:hint="eastAsia"/>
          <w:sz w:val="24"/>
          <w:szCs w:val="24"/>
          <w:lang w:eastAsia="zh-CN"/>
        </w:rPr>
        <w:t>按照甲方要求，拆除</w:t>
      </w:r>
      <w:r>
        <w:rPr>
          <w:rFonts w:hint="eastAsia"/>
          <w:sz w:val="24"/>
          <w:szCs w:val="24"/>
          <w:lang w:val="en-US" w:eastAsia="zh-CN"/>
        </w:rPr>
        <w:t>玉林</w:t>
      </w:r>
      <w:r>
        <w:rPr>
          <w:rFonts w:hint="eastAsia"/>
          <w:sz w:val="24"/>
          <w:szCs w:val="24"/>
          <w:lang w:eastAsia="zh-CN"/>
        </w:rPr>
        <w:t>供电局信息机房</w:t>
      </w:r>
      <w:r>
        <w:rPr>
          <w:rFonts w:hint="eastAsia"/>
          <w:sz w:val="24"/>
          <w:szCs w:val="24"/>
          <w:lang w:val="en-US" w:eastAsia="zh-CN"/>
        </w:rPr>
        <w:t>蓄电池室6组蓄电池组共192节蓄电池。</w:t>
      </w:r>
    </w:p>
    <w:p>
      <w:pPr>
        <w:widowControl/>
        <w:numPr>
          <w:ilvl w:val="0"/>
          <w:numId w:val="5"/>
        </w:numPr>
        <w:spacing w:line="360" w:lineRule="auto"/>
        <w:jc w:val="left"/>
        <w:rPr>
          <w:rFonts w:hint="eastAsia" w:eastAsiaTheme="minorEastAsia"/>
          <w:color w:val="auto"/>
          <w:sz w:val="24"/>
          <w:szCs w:val="24"/>
          <w:lang w:val="en-US" w:eastAsia="zh-CN"/>
        </w:rPr>
      </w:pPr>
      <w:r>
        <w:rPr>
          <w:rFonts w:hint="eastAsia"/>
          <w:sz w:val="24"/>
          <w:szCs w:val="24"/>
          <w:lang w:eastAsia="zh-CN"/>
        </w:rPr>
        <w:t>按设计要求完成</w:t>
      </w:r>
      <w:r>
        <w:rPr>
          <w:rFonts w:hint="eastAsia"/>
          <w:sz w:val="24"/>
          <w:szCs w:val="24"/>
        </w:rPr>
        <w:t>安装</w:t>
      </w:r>
      <w:r>
        <w:rPr>
          <w:rFonts w:hint="eastAsia"/>
          <w:sz w:val="24"/>
          <w:szCs w:val="24"/>
          <w:lang w:val="en-US" w:eastAsia="zh-CN"/>
        </w:rPr>
        <w:t>玉林供电局蓄电池室6组蓄电池组共192节蓄电池</w:t>
      </w:r>
      <w:r>
        <w:rPr>
          <w:rFonts w:hint="eastAsia"/>
          <w:sz w:val="24"/>
          <w:szCs w:val="24"/>
        </w:rPr>
        <w:t>；</w:t>
      </w:r>
      <w:r>
        <w:rPr>
          <w:rFonts w:hint="eastAsia"/>
          <w:sz w:val="24"/>
          <w:szCs w:val="24"/>
          <w:lang w:eastAsia="zh-CN"/>
        </w:rPr>
        <w:t>完成调试和投入使用。</w:t>
      </w:r>
    </w:p>
    <w:p>
      <w:pPr>
        <w:widowControl/>
        <w:spacing w:line="360" w:lineRule="auto"/>
        <w:jc w:val="left"/>
        <w:rPr>
          <w:b/>
          <w:sz w:val="24"/>
          <w:szCs w:val="24"/>
        </w:rPr>
      </w:pPr>
      <w:r>
        <w:rPr>
          <w:rFonts w:hint="eastAsia"/>
          <w:sz w:val="24"/>
          <w:szCs w:val="24"/>
        </w:rPr>
        <w:t>（</w:t>
      </w:r>
      <w:r>
        <w:rPr>
          <w:rFonts w:hint="eastAsia"/>
          <w:sz w:val="24"/>
          <w:szCs w:val="24"/>
          <w:lang w:val="en-US" w:eastAsia="zh-CN"/>
        </w:rPr>
        <w:t>3</w:t>
      </w:r>
      <w:r>
        <w:rPr>
          <w:rFonts w:hint="eastAsia"/>
          <w:sz w:val="24"/>
          <w:szCs w:val="24"/>
        </w:rPr>
        <w:t>）</w:t>
      </w:r>
      <w:r>
        <w:rPr>
          <w:rFonts w:hint="eastAsia"/>
          <w:sz w:val="24"/>
          <w:szCs w:val="24"/>
          <w:lang w:eastAsia="zh-CN"/>
        </w:rPr>
        <w:t>将拆除的旧</w:t>
      </w:r>
      <w:r>
        <w:rPr>
          <w:rFonts w:hint="eastAsia"/>
          <w:sz w:val="24"/>
          <w:szCs w:val="24"/>
          <w:lang w:val="en-US" w:eastAsia="zh-CN"/>
        </w:rPr>
        <w:t>蓄电池</w:t>
      </w:r>
      <w:r>
        <w:rPr>
          <w:rFonts w:hint="eastAsia"/>
          <w:sz w:val="24"/>
          <w:szCs w:val="24"/>
          <w:lang w:eastAsia="zh-CN"/>
        </w:rPr>
        <w:t>拉到指定地点。（暂定为玉林供电局</w:t>
      </w:r>
      <w:r>
        <w:rPr>
          <w:rFonts w:hint="eastAsia"/>
          <w:sz w:val="24"/>
          <w:szCs w:val="24"/>
          <w:lang w:val="en-US" w:eastAsia="zh-CN"/>
        </w:rPr>
        <w:t>泉东</w:t>
      </w:r>
      <w:r>
        <w:rPr>
          <w:rFonts w:hint="eastAsia"/>
          <w:sz w:val="24"/>
          <w:szCs w:val="24"/>
          <w:lang w:eastAsia="zh-CN"/>
        </w:rPr>
        <w:t>仓库）</w:t>
      </w:r>
    </w:p>
    <w:p>
      <w:pPr>
        <w:pStyle w:val="16"/>
        <w:widowControl/>
        <w:ind w:firstLine="0" w:firstLineChars="0"/>
        <w:jc w:val="left"/>
        <w:outlineLvl w:val="1"/>
        <w:rPr>
          <w:b/>
          <w:sz w:val="24"/>
          <w:szCs w:val="24"/>
        </w:rPr>
      </w:pPr>
      <w:r>
        <w:rPr>
          <w:rFonts w:hint="eastAsia"/>
          <w:b/>
          <w:sz w:val="24"/>
          <w:szCs w:val="24"/>
        </w:rPr>
        <w:t>3.2项目范围和内容</w:t>
      </w:r>
    </w:p>
    <w:p>
      <w:pPr>
        <w:widowControl/>
        <w:spacing w:line="360" w:lineRule="auto"/>
        <w:ind w:firstLine="480" w:firstLineChars="200"/>
        <w:jc w:val="left"/>
        <w:rPr>
          <w:sz w:val="24"/>
          <w:szCs w:val="24"/>
        </w:rPr>
      </w:pPr>
      <w:r>
        <w:rPr>
          <w:rFonts w:hint="eastAsia"/>
          <w:sz w:val="24"/>
          <w:szCs w:val="24"/>
        </w:rPr>
        <w:t>本次采购的范围和内容如下，乙方应按此进行响应并分项报价，按服务说明提供相关材料，并完成安装：</w:t>
      </w:r>
    </w:p>
    <w:tbl>
      <w:tblPr>
        <w:tblStyle w:val="9"/>
        <w:tblW w:w="8685" w:type="dxa"/>
        <w:tblInd w:w="93" w:type="dxa"/>
        <w:tblLayout w:type="fixed"/>
        <w:tblCellMar>
          <w:top w:w="0" w:type="dxa"/>
          <w:left w:w="108" w:type="dxa"/>
          <w:bottom w:w="0" w:type="dxa"/>
          <w:right w:w="108" w:type="dxa"/>
        </w:tblCellMar>
      </w:tblPr>
      <w:tblGrid>
        <w:gridCol w:w="501"/>
        <w:gridCol w:w="1816"/>
        <w:gridCol w:w="4916"/>
        <w:gridCol w:w="778"/>
        <w:gridCol w:w="674"/>
      </w:tblGrid>
      <w:tr>
        <w:tblPrEx>
          <w:tblCellMar>
            <w:top w:w="0" w:type="dxa"/>
            <w:left w:w="108" w:type="dxa"/>
            <w:bottom w:w="0" w:type="dxa"/>
            <w:right w:w="108" w:type="dxa"/>
          </w:tblCellMar>
        </w:tblPrEx>
        <w:trPr>
          <w:trHeight w:val="285" w:hRule="atLeast"/>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sz w:val="24"/>
                <w:szCs w:val="24"/>
              </w:rPr>
            </w:pPr>
            <w:r>
              <w:rPr>
                <w:rFonts w:hint="eastAsia" w:ascii="宋体" w:hAnsi="宋体" w:eastAsia="宋体" w:cs="宋体"/>
                <w:b/>
                <w:bCs/>
                <w:kern w:val="0"/>
                <w:sz w:val="24"/>
                <w:szCs w:val="24"/>
              </w:rPr>
              <w:t>序号</w:t>
            </w:r>
          </w:p>
        </w:tc>
        <w:tc>
          <w:tcPr>
            <w:tcW w:w="18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sz w:val="24"/>
                <w:szCs w:val="24"/>
              </w:rPr>
            </w:pPr>
            <w:r>
              <w:rPr>
                <w:rFonts w:hint="eastAsia" w:ascii="宋体" w:hAnsi="宋体" w:eastAsia="宋体" w:cs="宋体"/>
                <w:b/>
                <w:bCs/>
                <w:kern w:val="0"/>
                <w:sz w:val="24"/>
                <w:szCs w:val="24"/>
              </w:rPr>
              <w:t>设备名称</w:t>
            </w:r>
          </w:p>
        </w:tc>
        <w:tc>
          <w:tcPr>
            <w:tcW w:w="49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sz w:val="24"/>
                <w:szCs w:val="24"/>
              </w:rPr>
            </w:pPr>
            <w:r>
              <w:rPr>
                <w:rFonts w:hint="eastAsia" w:ascii="宋体" w:hAnsi="宋体" w:eastAsia="宋体" w:cs="宋体"/>
                <w:b/>
                <w:bCs/>
                <w:kern w:val="0"/>
                <w:sz w:val="24"/>
                <w:szCs w:val="24"/>
                <w:lang w:eastAsia="zh-CN"/>
              </w:rPr>
              <w:t>工程服务</w:t>
            </w:r>
            <w:r>
              <w:rPr>
                <w:rFonts w:hint="eastAsia" w:ascii="宋体" w:hAnsi="宋体" w:eastAsia="宋体" w:cs="宋体"/>
                <w:b/>
                <w:bCs/>
                <w:kern w:val="0"/>
                <w:sz w:val="24"/>
                <w:szCs w:val="24"/>
              </w:rPr>
              <w:t>说明</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sz w:val="24"/>
                <w:szCs w:val="24"/>
              </w:rPr>
            </w:pPr>
            <w:r>
              <w:rPr>
                <w:rFonts w:hint="eastAsia" w:ascii="宋体" w:hAnsi="宋体" w:eastAsia="宋体" w:cs="宋体"/>
                <w:b/>
                <w:bCs/>
                <w:kern w:val="0"/>
                <w:sz w:val="24"/>
                <w:szCs w:val="24"/>
              </w:rPr>
              <w:t>数量</w:t>
            </w:r>
          </w:p>
        </w:tc>
        <w:tc>
          <w:tcPr>
            <w:tcW w:w="6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sz w:val="24"/>
                <w:szCs w:val="24"/>
              </w:rPr>
            </w:pPr>
            <w:r>
              <w:rPr>
                <w:rFonts w:hint="eastAsia" w:ascii="宋体" w:hAnsi="宋体" w:eastAsia="宋体" w:cs="宋体"/>
                <w:b/>
                <w:bCs/>
                <w:kern w:val="0"/>
                <w:sz w:val="24"/>
                <w:szCs w:val="24"/>
              </w:rPr>
              <w:t>单位</w:t>
            </w:r>
          </w:p>
        </w:tc>
      </w:tr>
      <w:tr>
        <w:tblPrEx>
          <w:tblCellMar>
            <w:top w:w="0" w:type="dxa"/>
            <w:left w:w="108" w:type="dxa"/>
            <w:bottom w:w="0" w:type="dxa"/>
            <w:right w:w="108" w:type="dxa"/>
          </w:tblCellMar>
        </w:tblPrEx>
        <w:trPr>
          <w:trHeight w:val="480" w:hRule="atLeast"/>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 w:val="20"/>
                <w:szCs w:val="20"/>
              </w:rPr>
            </w:pPr>
            <w:r>
              <w:rPr>
                <w:rFonts w:hint="eastAsia" w:ascii="宋体" w:hAnsi="宋体" w:eastAsia="宋体" w:cs="宋体"/>
                <w:kern w:val="0"/>
                <w:sz w:val="20"/>
                <w:szCs w:val="20"/>
              </w:rPr>
              <w:t>1</w:t>
            </w:r>
          </w:p>
        </w:tc>
        <w:tc>
          <w:tcPr>
            <w:tcW w:w="18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蓄电池拆除</w:t>
            </w:r>
          </w:p>
        </w:tc>
        <w:tc>
          <w:tcPr>
            <w:tcW w:w="49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6"/>
              </w:numPr>
              <w:jc w:val="left"/>
              <w:textAlignment w:val="center"/>
              <w:rPr>
                <w:rFonts w:ascii="宋体" w:hAnsi="宋体" w:eastAsia="宋体" w:cs="宋体"/>
                <w:kern w:val="0"/>
                <w:sz w:val="20"/>
                <w:szCs w:val="20"/>
              </w:rPr>
            </w:pPr>
            <w:r>
              <w:rPr>
                <w:rFonts w:hint="eastAsia" w:ascii="宋体" w:hAnsi="宋体" w:eastAsia="宋体" w:cs="宋体"/>
                <w:kern w:val="0"/>
                <w:sz w:val="20"/>
                <w:szCs w:val="20"/>
              </w:rPr>
              <w:t>竞标方</w:t>
            </w:r>
            <w:r>
              <w:rPr>
                <w:rFonts w:hint="eastAsia" w:ascii="宋体" w:hAnsi="宋体" w:eastAsia="宋体" w:cs="宋体"/>
                <w:kern w:val="0"/>
                <w:sz w:val="20"/>
                <w:szCs w:val="20"/>
                <w:lang w:val="en-US" w:eastAsia="zh-CN"/>
              </w:rPr>
              <w:t>提供</w:t>
            </w:r>
            <w:r>
              <w:rPr>
                <w:rFonts w:hint="eastAsia" w:ascii="宋体" w:hAnsi="宋体" w:eastAsia="宋体" w:cs="宋体"/>
                <w:kern w:val="0"/>
                <w:sz w:val="20"/>
                <w:szCs w:val="20"/>
                <w:lang w:eastAsia="zh-CN"/>
              </w:rPr>
              <w:t>玉林</w:t>
            </w:r>
            <w:r>
              <w:rPr>
                <w:rFonts w:hint="eastAsia" w:ascii="宋体" w:hAnsi="宋体" w:eastAsia="宋体" w:cs="宋体"/>
                <w:kern w:val="0"/>
                <w:sz w:val="20"/>
                <w:szCs w:val="20"/>
                <w:lang w:val="en-US" w:eastAsia="zh-CN"/>
              </w:rPr>
              <w:t>供电局信息机房蓄电池的拆除服务，蓄电池的规格均为贫液阀控式铅酸蓄电池(12V100Ah）</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sz w:val="20"/>
                <w:szCs w:val="20"/>
                <w:lang w:val="en-US" w:eastAsia="zh-CN"/>
              </w:rPr>
            </w:pPr>
            <w:r>
              <w:rPr>
                <w:rFonts w:hint="eastAsia" w:ascii="宋体" w:hAnsi="宋体" w:eastAsia="宋体" w:cs="宋体"/>
                <w:kern w:val="0"/>
                <w:sz w:val="20"/>
                <w:szCs w:val="20"/>
                <w:lang w:val="en-US" w:eastAsia="zh-CN"/>
              </w:rPr>
              <w:t>192</w:t>
            </w:r>
          </w:p>
        </w:tc>
        <w:tc>
          <w:tcPr>
            <w:tcW w:w="6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sz w:val="20"/>
                <w:szCs w:val="20"/>
                <w:lang w:eastAsia="zh-CN"/>
              </w:rPr>
            </w:pPr>
            <w:r>
              <w:rPr>
                <w:rFonts w:hint="eastAsia" w:ascii="宋体" w:hAnsi="宋体" w:eastAsia="宋体" w:cs="宋体"/>
                <w:kern w:val="0"/>
                <w:sz w:val="20"/>
                <w:szCs w:val="20"/>
                <w:lang w:val="en-US" w:eastAsia="zh-CN"/>
              </w:rPr>
              <w:t>节</w:t>
            </w:r>
          </w:p>
        </w:tc>
      </w:tr>
      <w:tr>
        <w:tblPrEx>
          <w:tblCellMar>
            <w:top w:w="0" w:type="dxa"/>
            <w:left w:w="108" w:type="dxa"/>
            <w:bottom w:w="0" w:type="dxa"/>
            <w:right w:w="108" w:type="dxa"/>
          </w:tblCellMar>
        </w:tblPrEx>
        <w:trPr>
          <w:trHeight w:val="480" w:hRule="atLeast"/>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sz w:val="20"/>
                <w:szCs w:val="20"/>
                <w:lang w:eastAsia="zh-CN"/>
              </w:rPr>
            </w:pPr>
            <w:r>
              <w:rPr>
                <w:rFonts w:hint="eastAsia" w:ascii="宋体" w:hAnsi="宋体" w:eastAsia="宋体" w:cs="宋体"/>
                <w:kern w:val="0"/>
                <w:sz w:val="20"/>
                <w:szCs w:val="20"/>
                <w:lang w:val="en-US" w:eastAsia="zh-CN"/>
              </w:rPr>
              <w:t>2</w:t>
            </w:r>
          </w:p>
        </w:tc>
        <w:tc>
          <w:tcPr>
            <w:tcW w:w="18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sz w:val="20"/>
                <w:szCs w:val="20"/>
                <w:lang w:val="en-US" w:eastAsia="zh-CN"/>
              </w:rPr>
            </w:pPr>
            <w:r>
              <w:rPr>
                <w:rFonts w:hint="eastAsia" w:ascii="宋体" w:hAnsi="宋体" w:eastAsia="宋体" w:cs="宋体"/>
                <w:kern w:val="0"/>
                <w:sz w:val="20"/>
                <w:szCs w:val="20"/>
                <w:lang w:val="en-US" w:eastAsia="zh-CN"/>
              </w:rPr>
              <w:t>蓄电池安装、调试</w:t>
            </w:r>
          </w:p>
        </w:tc>
        <w:tc>
          <w:tcPr>
            <w:tcW w:w="49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0"/>
              </w:numPr>
              <w:jc w:val="left"/>
              <w:textAlignment w:val="center"/>
              <w:rPr>
                <w:rFonts w:hint="default" w:ascii="宋体" w:hAnsi="宋体" w:eastAsia="宋体" w:cs="宋体"/>
                <w:kern w:val="0"/>
                <w:sz w:val="20"/>
                <w:szCs w:val="20"/>
                <w:lang w:val="en-US"/>
              </w:rPr>
            </w:pPr>
            <w:r>
              <w:rPr>
                <w:rFonts w:hint="eastAsia" w:ascii="宋体" w:hAnsi="宋体" w:eastAsia="宋体" w:cs="宋体"/>
                <w:kern w:val="0"/>
                <w:sz w:val="20"/>
                <w:szCs w:val="20"/>
                <w:lang w:val="en-US" w:eastAsia="zh-CN"/>
              </w:rPr>
              <w:t>1、</w:t>
            </w:r>
            <w:r>
              <w:rPr>
                <w:rFonts w:hint="eastAsia" w:ascii="宋体" w:hAnsi="宋体" w:eastAsia="宋体" w:cs="宋体"/>
                <w:kern w:val="0"/>
                <w:sz w:val="20"/>
                <w:szCs w:val="20"/>
                <w:lang w:eastAsia="zh-CN"/>
              </w:rPr>
              <w:t>负责完成新采购的</w:t>
            </w:r>
            <w:r>
              <w:rPr>
                <w:rFonts w:hint="eastAsia" w:ascii="宋体" w:hAnsi="宋体" w:eastAsia="宋体" w:cs="宋体"/>
                <w:kern w:val="0"/>
                <w:sz w:val="20"/>
                <w:szCs w:val="20"/>
                <w:lang w:val="en-US" w:eastAsia="zh-CN"/>
              </w:rPr>
              <w:t>192节蓄电池安装。</w:t>
            </w:r>
          </w:p>
          <w:p>
            <w:pPr>
              <w:widowControl/>
              <w:numPr>
                <w:ilvl w:val="0"/>
                <w:numId w:val="0"/>
              </w:numPr>
              <w:jc w:val="left"/>
              <w:textAlignment w:val="center"/>
              <w:rPr>
                <w:rFonts w:hint="default" w:ascii="宋体" w:hAnsi="宋体" w:eastAsia="宋体" w:cs="宋体"/>
                <w:kern w:val="0"/>
                <w:sz w:val="20"/>
                <w:szCs w:val="20"/>
                <w:lang w:val="en-US"/>
              </w:rPr>
            </w:pPr>
            <w:r>
              <w:rPr>
                <w:rFonts w:hint="eastAsia" w:ascii="宋体" w:hAnsi="宋体" w:eastAsia="宋体" w:cs="宋体"/>
                <w:kern w:val="0"/>
                <w:sz w:val="20"/>
                <w:szCs w:val="20"/>
                <w:lang w:val="en-US" w:eastAsia="zh-CN"/>
              </w:rPr>
              <w:t>2、</w:t>
            </w:r>
            <w:r>
              <w:rPr>
                <w:rFonts w:hint="eastAsia" w:ascii="宋体" w:hAnsi="宋体" w:eastAsia="宋体" w:cs="宋体"/>
                <w:kern w:val="0"/>
                <w:sz w:val="20"/>
                <w:szCs w:val="20"/>
                <w:lang w:eastAsia="zh-CN"/>
              </w:rPr>
              <w:t>负责完成安装后的</w:t>
            </w:r>
            <w:r>
              <w:rPr>
                <w:rFonts w:hint="eastAsia" w:ascii="宋体" w:hAnsi="宋体" w:eastAsia="宋体" w:cs="宋体"/>
                <w:kern w:val="0"/>
                <w:sz w:val="20"/>
                <w:szCs w:val="20"/>
                <w:lang w:val="en-US" w:eastAsia="zh-CN"/>
              </w:rPr>
              <w:t>蓄电池以及蓄电池监测设备的测试调试</w:t>
            </w:r>
            <w:r>
              <w:rPr>
                <w:rFonts w:hint="eastAsia" w:ascii="宋体" w:hAnsi="宋体" w:eastAsia="宋体" w:cs="宋体"/>
                <w:kern w:val="0"/>
                <w:sz w:val="20"/>
                <w:szCs w:val="20"/>
                <w:lang w:eastAsia="zh-CN"/>
              </w:rPr>
              <w:t>，达到运行条件后申请验收。</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sz w:val="20"/>
                <w:szCs w:val="20"/>
                <w:lang w:eastAsia="zh-CN"/>
              </w:rPr>
            </w:pPr>
            <w:r>
              <w:rPr>
                <w:rFonts w:hint="eastAsia" w:ascii="宋体" w:hAnsi="宋体" w:eastAsia="宋体" w:cs="宋体"/>
                <w:kern w:val="0"/>
                <w:sz w:val="20"/>
                <w:szCs w:val="20"/>
                <w:lang w:val="en-US" w:eastAsia="zh-CN"/>
              </w:rPr>
              <w:t>192</w:t>
            </w:r>
          </w:p>
        </w:tc>
        <w:tc>
          <w:tcPr>
            <w:tcW w:w="6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sz w:val="20"/>
                <w:szCs w:val="20"/>
                <w:lang w:eastAsia="zh-CN"/>
              </w:rPr>
            </w:pPr>
            <w:r>
              <w:rPr>
                <w:rFonts w:hint="eastAsia" w:ascii="宋体" w:hAnsi="宋体" w:eastAsia="宋体" w:cs="宋体"/>
                <w:kern w:val="0"/>
                <w:sz w:val="20"/>
                <w:szCs w:val="20"/>
                <w:lang w:val="en-US" w:eastAsia="zh-CN"/>
              </w:rPr>
              <w:t>节</w:t>
            </w:r>
          </w:p>
        </w:tc>
      </w:tr>
      <w:tr>
        <w:tblPrEx>
          <w:tblCellMar>
            <w:top w:w="0" w:type="dxa"/>
            <w:left w:w="108" w:type="dxa"/>
            <w:bottom w:w="0" w:type="dxa"/>
            <w:right w:w="108" w:type="dxa"/>
          </w:tblCellMar>
        </w:tblPrEx>
        <w:trPr>
          <w:trHeight w:val="480" w:hRule="atLeast"/>
        </w:trPr>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w:t>
            </w:r>
          </w:p>
        </w:tc>
        <w:tc>
          <w:tcPr>
            <w:tcW w:w="18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蓄电池回收</w:t>
            </w:r>
          </w:p>
        </w:tc>
        <w:tc>
          <w:tcPr>
            <w:tcW w:w="49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0"/>
              </w:numPr>
              <w:jc w:val="left"/>
              <w:textAlignment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1、将已拆除蓄电池拉到指定地点。</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kern w:val="2"/>
                <w:sz w:val="20"/>
                <w:szCs w:val="20"/>
                <w:lang w:val="en-US" w:eastAsia="zh-CN" w:bidi="ar-SA"/>
              </w:rPr>
            </w:pPr>
            <w:r>
              <w:rPr>
                <w:rFonts w:hint="eastAsia" w:ascii="宋体" w:hAnsi="宋体" w:eastAsia="宋体" w:cs="宋体"/>
                <w:kern w:val="0"/>
                <w:sz w:val="20"/>
                <w:szCs w:val="20"/>
                <w:lang w:val="en-US" w:eastAsia="zh-CN"/>
              </w:rPr>
              <w:t>192</w:t>
            </w:r>
          </w:p>
        </w:tc>
        <w:tc>
          <w:tcPr>
            <w:tcW w:w="6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kern w:val="2"/>
                <w:sz w:val="20"/>
                <w:szCs w:val="20"/>
                <w:lang w:val="en-US" w:eastAsia="zh-CN" w:bidi="ar-SA"/>
              </w:rPr>
            </w:pPr>
            <w:r>
              <w:rPr>
                <w:rFonts w:hint="eastAsia" w:ascii="宋体" w:hAnsi="宋体" w:eastAsia="宋体" w:cs="宋体"/>
                <w:kern w:val="0"/>
                <w:sz w:val="20"/>
                <w:szCs w:val="20"/>
                <w:lang w:val="en-US" w:eastAsia="zh-CN"/>
              </w:rPr>
              <w:t>节</w:t>
            </w:r>
          </w:p>
        </w:tc>
      </w:tr>
    </w:tbl>
    <w:p>
      <w:pPr>
        <w:widowControl/>
        <w:jc w:val="left"/>
        <w:rPr>
          <w:b/>
          <w:sz w:val="24"/>
          <w:szCs w:val="24"/>
        </w:rPr>
      </w:pPr>
      <w:r>
        <w:rPr>
          <w:rFonts w:hint="eastAsia"/>
        </w:rPr>
        <w:t xml:space="preserve">  备注：以上</w:t>
      </w:r>
      <w:r>
        <w:rPr>
          <w:rFonts w:hint="eastAsia"/>
          <w:lang w:eastAsia="zh-CN"/>
        </w:rPr>
        <w:t>设备拆除、</w:t>
      </w:r>
      <w:r>
        <w:rPr>
          <w:rFonts w:hint="eastAsia"/>
        </w:rPr>
        <w:t>安装调试服务内容及相关材料为基本估算，以现场实际为准。</w:t>
      </w:r>
      <w:r>
        <w:rPr>
          <w:rFonts w:hint="eastAsia"/>
          <w:lang w:val="en-US" w:eastAsia="zh-CN"/>
        </w:rPr>
        <w:t>新采购蓄电池、</w:t>
      </w:r>
      <w:r>
        <w:rPr>
          <w:rFonts w:hint="eastAsia"/>
        </w:rPr>
        <w:t>蓄电池柜、连接线、蓄电池监测设备由</w:t>
      </w:r>
      <w:r>
        <w:rPr>
          <w:rFonts w:hint="eastAsia"/>
          <w:lang w:val="en-US" w:eastAsia="zh-CN"/>
        </w:rPr>
        <w:t>玉林供电局</w:t>
      </w:r>
      <w:bookmarkStart w:id="11" w:name="_GoBack"/>
      <w:bookmarkEnd w:id="11"/>
      <w:r>
        <w:rPr>
          <w:rFonts w:hint="eastAsia"/>
        </w:rPr>
        <w:t>现场提供。</w:t>
      </w:r>
    </w:p>
    <w:p>
      <w:pPr>
        <w:pStyle w:val="16"/>
        <w:widowControl/>
        <w:ind w:firstLine="0" w:firstLineChars="0"/>
        <w:jc w:val="left"/>
        <w:outlineLvl w:val="1"/>
        <w:rPr>
          <w:b/>
          <w:sz w:val="24"/>
          <w:szCs w:val="24"/>
        </w:rPr>
      </w:pPr>
      <w:r>
        <w:rPr>
          <w:rFonts w:hint="eastAsia"/>
          <w:b/>
          <w:sz w:val="24"/>
          <w:szCs w:val="24"/>
        </w:rPr>
        <w:t>3.3交付时间、地点</w:t>
      </w:r>
    </w:p>
    <w:p>
      <w:pPr>
        <w:pStyle w:val="16"/>
        <w:widowControl/>
        <w:spacing w:line="360" w:lineRule="auto"/>
        <w:ind w:firstLine="0" w:firstLineChars="0"/>
        <w:jc w:val="left"/>
        <w:outlineLvl w:val="2"/>
        <w:rPr>
          <w:rFonts w:asciiTheme="minorEastAsia" w:hAnsiTheme="minorEastAsia"/>
          <w:b/>
          <w:sz w:val="24"/>
          <w:szCs w:val="24"/>
        </w:rPr>
      </w:pPr>
      <w:r>
        <w:rPr>
          <w:rFonts w:hint="eastAsia" w:asciiTheme="minorEastAsia" w:hAnsiTheme="minorEastAsia"/>
          <w:b/>
          <w:sz w:val="24"/>
          <w:szCs w:val="24"/>
        </w:rPr>
        <w:t>3.3.1  交付地点</w:t>
      </w:r>
    </w:p>
    <w:p>
      <w:pPr>
        <w:pStyle w:val="16"/>
        <w:widowControl/>
        <w:spacing w:line="360" w:lineRule="auto"/>
        <w:ind w:firstLine="480"/>
        <w:jc w:val="left"/>
        <w:rPr>
          <w:rFonts w:asciiTheme="minorEastAsia" w:hAnsiTheme="minorEastAsia"/>
          <w:sz w:val="24"/>
          <w:szCs w:val="24"/>
        </w:rPr>
      </w:pPr>
      <w:r>
        <w:rPr>
          <w:rFonts w:hint="eastAsia" w:asciiTheme="minorEastAsia" w:hAnsiTheme="minorEastAsia"/>
          <w:sz w:val="24"/>
          <w:szCs w:val="24"/>
        </w:rPr>
        <w:t>服务</w:t>
      </w:r>
      <w:r>
        <w:rPr>
          <w:rFonts w:asciiTheme="minorEastAsia" w:hAnsiTheme="minorEastAsia"/>
          <w:sz w:val="24"/>
          <w:szCs w:val="24"/>
        </w:rPr>
        <w:t>地点</w:t>
      </w:r>
      <w:r>
        <w:rPr>
          <w:rFonts w:hint="eastAsia" w:asciiTheme="minorEastAsia" w:hAnsiTheme="minorEastAsia"/>
          <w:sz w:val="24"/>
          <w:szCs w:val="24"/>
        </w:rPr>
        <w:t>：</w:t>
      </w:r>
      <w:r>
        <w:rPr>
          <w:rFonts w:hint="eastAsia" w:asciiTheme="minorEastAsia" w:hAnsiTheme="minorEastAsia"/>
          <w:sz w:val="24"/>
          <w:szCs w:val="24"/>
          <w:lang w:eastAsia="zh-CN"/>
        </w:rPr>
        <w:t>玉林供电局</w:t>
      </w:r>
      <w:r>
        <w:rPr>
          <w:rFonts w:hint="eastAsia" w:asciiTheme="minorEastAsia" w:hAnsiTheme="minorEastAsia"/>
          <w:sz w:val="24"/>
          <w:szCs w:val="24"/>
          <w:lang w:val="en-US" w:eastAsia="zh-CN"/>
        </w:rPr>
        <w:t>调度大楼19楼</w:t>
      </w:r>
      <w:r>
        <w:rPr>
          <w:rFonts w:hint="eastAsia" w:asciiTheme="minorEastAsia" w:hAnsiTheme="minorEastAsia"/>
          <w:sz w:val="24"/>
          <w:szCs w:val="24"/>
          <w:lang w:eastAsia="zh-CN"/>
        </w:rPr>
        <w:t>信息机房</w:t>
      </w:r>
      <w:r>
        <w:rPr>
          <w:rFonts w:hint="eastAsia" w:asciiTheme="minorEastAsia" w:hAnsiTheme="minorEastAsia"/>
          <w:sz w:val="24"/>
          <w:szCs w:val="24"/>
          <w:lang w:val="en-US" w:eastAsia="zh-CN"/>
        </w:rPr>
        <w:t>蓄电池室</w:t>
      </w:r>
      <w:r>
        <w:rPr>
          <w:rFonts w:hint="eastAsia" w:asciiTheme="minorEastAsia" w:hAnsiTheme="minorEastAsia"/>
          <w:sz w:val="24"/>
          <w:szCs w:val="24"/>
          <w:lang w:eastAsia="zh-CN"/>
        </w:rPr>
        <w:t>。</w:t>
      </w:r>
    </w:p>
    <w:p>
      <w:pPr>
        <w:pStyle w:val="16"/>
        <w:widowControl/>
        <w:spacing w:line="360" w:lineRule="auto"/>
        <w:ind w:firstLine="0" w:firstLineChars="0"/>
        <w:jc w:val="left"/>
        <w:outlineLvl w:val="2"/>
        <w:rPr>
          <w:rFonts w:asciiTheme="minorEastAsia" w:hAnsiTheme="minorEastAsia"/>
          <w:b/>
          <w:sz w:val="24"/>
          <w:szCs w:val="24"/>
        </w:rPr>
      </w:pPr>
      <w:r>
        <w:rPr>
          <w:rFonts w:hint="eastAsia" w:asciiTheme="minorEastAsia" w:hAnsiTheme="minorEastAsia"/>
          <w:b/>
          <w:sz w:val="24"/>
          <w:szCs w:val="24"/>
        </w:rPr>
        <w:t xml:space="preserve">3.3.2  </w:t>
      </w:r>
      <w:r>
        <w:rPr>
          <w:rFonts w:asciiTheme="minorEastAsia" w:hAnsiTheme="minorEastAsia"/>
          <w:b/>
          <w:sz w:val="24"/>
          <w:szCs w:val="24"/>
        </w:rPr>
        <w:t>交付时间</w:t>
      </w:r>
    </w:p>
    <w:p>
      <w:pPr>
        <w:pStyle w:val="16"/>
        <w:widowControl/>
        <w:spacing w:line="360" w:lineRule="auto"/>
        <w:ind w:firstLine="480"/>
        <w:jc w:val="left"/>
        <w:rPr>
          <w:rFonts w:asciiTheme="minorEastAsia" w:hAnsiTheme="minorEastAsia"/>
          <w:sz w:val="24"/>
          <w:szCs w:val="24"/>
        </w:rPr>
      </w:pPr>
      <w:r>
        <w:rPr>
          <w:rFonts w:hint="eastAsia" w:asciiTheme="minorEastAsia" w:hAnsiTheme="minorEastAsia"/>
          <w:sz w:val="24"/>
          <w:szCs w:val="24"/>
        </w:rPr>
        <w:t>服务周期：</w:t>
      </w:r>
      <w:r>
        <w:rPr>
          <w:rFonts w:hint="eastAsia" w:asciiTheme="minorEastAsia" w:hAnsiTheme="minorEastAsia"/>
          <w:sz w:val="24"/>
          <w:szCs w:val="24"/>
          <w:lang w:eastAsia="zh-CN"/>
        </w:rPr>
        <w:t>甲供物资全部到货后（以甲方通知乙方时间为准）</w:t>
      </w:r>
      <w:r>
        <w:rPr>
          <w:rFonts w:hint="eastAsia" w:asciiTheme="minorEastAsia" w:hAnsiTheme="minorEastAsia"/>
          <w:sz w:val="24"/>
          <w:szCs w:val="24"/>
        </w:rPr>
        <w:t>60</w:t>
      </w:r>
      <w:r>
        <w:rPr>
          <w:rFonts w:asciiTheme="minorEastAsia" w:hAnsiTheme="minorEastAsia"/>
          <w:sz w:val="24"/>
          <w:szCs w:val="24"/>
        </w:rPr>
        <w:t>天内</w:t>
      </w:r>
      <w:r>
        <w:rPr>
          <w:rFonts w:hint="eastAsia" w:asciiTheme="minorEastAsia" w:hAnsiTheme="minorEastAsia"/>
          <w:sz w:val="24"/>
          <w:szCs w:val="24"/>
        </w:rPr>
        <w:t>。本技术规范书范围和内容要求202</w:t>
      </w:r>
      <w:r>
        <w:rPr>
          <w:rFonts w:hint="eastAsia" w:asciiTheme="minorEastAsia" w:hAnsiTheme="minorEastAsia"/>
          <w:sz w:val="24"/>
          <w:szCs w:val="24"/>
          <w:lang w:val="en-US" w:eastAsia="zh-CN"/>
        </w:rPr>
        <w:t>5</w:t>
      </w:r>
      <w:r>
        <w:rPr>
          <w:rFonts w:hint="eastAsia" w:asciiTheme="minorEastAsia" w:hAnsiTheme="minorEastAsia"/>
          <w:sz w:val="24"/>
          <w:szCs w:val="24"/>
        </w:rPr>
        <w:t>年</w:t>
      </w:r>
      <w:r>
        <w:rPr>
          <w:rFonts w:hint="eastAsia" w:asciiTheme="minorEastAsia" w:hAnsiTheme="minorEastAsia"/>
          <w:sz w:val="24"/>
          <w:szCs w:val="24"/>
          <w:lang w:val="en-US" w:eastAsia="zh-CN"/>
        </w:rPr>
        <w:t>6</w:t>
      </w:r>
      <w:r>
        <w:rPr>
          <w:rFonts w:hint="eastAsia" w:asciiTheme="minorEastAsia" w:hAnsiTheme="minorEastAsia"/>
          <w:sz w:val="24"/>
          <w:szCs w:val="24"/>
        </w:rPr>
        <w:t>月30日前完成。</w:t>
      </w:r>
    </w:p>
    <w:p>
      <w:pPr>
        <w:widowControl/>
        <w:spacing w:line="360" w:lineRule="auto"/>
        <w:ind w:left="420"/>
        <w:jc w:val="left"/>
        <w:rPr>
          <w:rFonts w:asciiTheme="minorEastAsia" w:hAnsiTheme="minorEastAsia"/>
          <w:sz w:val="24"/>
          <w:szCs w:val="24"/>
        </w:rPr>
      </w:pPr>
      <w:r>
        <w:rPr>
          <w:rFonts w:asciiTheme="minorEastAsia" w:hAnsiTheme="minorEastAsia"/>
          <w:sz w:val="24"/>
          <w:szCs w:val="24"/>
        </w:rPr>
        <w:t>验收交付时间</w:t>
      </w:r>
      <w:r>
        <w:rPr>
          <w:rFonts w:hint="eastAsia" w:asciiTheme="minorEastAsia" w:hAnsiTheme="minorEastAsia"/>
          <w:sz w:val="24"/>
          <w:szCs w:val="24"/>
        </w:rPr>
        <w:t>：</w:t>
      </w:r>
      <w:r>
        <w:rPr>
          <w:rFonts w:asciiTheme="minorEastAsia" w:hAnsiTheme="minorEastAsia"/>
          <w:sz w:val="24"/>
          <w:szCs w:val="24"/>
        </w:rPr>
        <w:t>以招标人提出的时间要求为准</w:t>
      </w:r>
      <w:r>
        <w:rPr>
          <w:rFonts w:hint="eastAsia" w:asciiTheme="minorEastAsia" w:hAnsiTheme="minorEastAsia"/>
          <w:sz w:val="24"/>
          <w:szCs w:val="24"/>
        </w:rPr>
        <w:t>。</w:t>
      </w:r>
    </w:p>
    <w:p/>
    <w:p>
      <w:pPr>
        <w:pStyle w:val="16"/>
        <w:widowControl/>
        <w:ind w:firstLine="0" w:firstLineChars="0"/>
        <w:jc w:val="left"/>
        <w:outlineLvl w:val="1"/>
        <w:rPr>
          <w:b/>
          <w:sz w:val="24"/>
          <w:szCs w:val="24"/>
        </w:rPr>
      </w:pPr>
      <w:r>
        <w:rPr>
          <w:rFonts w:hint="eastAsia"/>
          <w:b/>
          <w:sz w:val="24"/>
          <w:szCs w:val="24"/>
        </w:rPr>
        <w:t>3.4质量保证期</w:t>
      </w:r>
    </w:p>
    <w:p>
      <w:pPr>
        <w:widowControl/>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本项目投标人</w:t>
      </w:r>
      <w:r>
        <w:rPr>
          <w:rFonts w:hint="eastAsia" w:asciiTheme="minorEastAsia" w:hAnsiTheme="minorEastAsia"/>
          <w:sz w:val="24"/>
          <w:szCs w:val="24"/>
          <w:lang w:eastAsia="zh-CN"/>
        </w:rPr>
        <w:t>完成的</w:t>
      </w:r>
      <w:r>
        <w:rPr>
          <w:rFonts w:hint="eastAsia" w:asciiTheme="minorEastAsia" w:hAnsiTheme="minorEastAsia"/>
          <w:sz w:val="24"/>
          <w:szCs w:val="24"/>
        </w:rPr>
        <w:t>所</w:t>
      </w:r>
      <w:r>
        <w:rPr>
          <w:rFonts w:hint="eastAsia" w:asciiTheme="minorEastAsia" w:hAnsiTheme="minorEastAsia"/>
          <w:sz w:val="24"/>
          <w:szCs w:val="24"/>
          <w:lang w:eastAsia="zh-CN"/>
        </w:rPr>
        <w:t>有工程安装调试</w:t>
      </w:r>
      <w:r>
        <w:rPr>
          <w:rFonts w:hint="eastAsia" w:asciiTheme="minorEastAsia" w:hAnsiTheme="minorEastAsia"/>
          <w:sz w:val="24"/>
          <w:szCs w:val="24"/>
        </w:rPr>
        <w:t>内容提供</w:t>
      </w:r>
      <w:r>
        <w:rPr>
          <w:rFonts w:asciiTheme="minorEastAsia" w:hAnsiTheme="minorEastAsia"/>
          <w:sz w:val="24"/>
          <w:szCs w:val="24"/>
        </w:rPr>
        <w:t>不少于</w:t>
      </w:r>
      <w:r>
        <w:rPr>
          <w:rFonts w:hint="eastAsia" w:asciiTheme="minorEastAsia" w:hAnsiTheme="minorEastAsia"/>
          <w:sz w:val="24"/>
          <w:szCs w:val="24"/>
        </w:rPr>
        <w:t>2</w:t>
      </w:r>
      <w:r>
        <w:rPr>
          <w:rFonts w:asciiTheme="minorEastAsia" w:hAnsiTheme="minorEastAsia"/>
          <w:sz w:val="24"/>
          <w:szCs w:val="24"/>
        </w:rPr>
        <w:t>年的免费保修期</w:t>
      </w:r>
      <w:r>
        <w:rPr>
          <w:rFonts w:hint="eastAsia" w:asciiTheme="minorEastAsia" w:hAnsiTheme="minorEastAsia"/>
          <w:sz w:val="24"/>
          <w:szCs w:val="24"/>
          <w:lang w:eastAsia="zh-CN"/>
        </w:rPr>
        <w:t>（仅安装调试问题）</w:t>
      </w:r>
      <w:r>
        <w:rPr>
          <w:rFonts w:hint="eastAsia" w:asciiTheme="minorEastAsia" w:hAnsiTheme="minorEastAsia"/>
          <w:sz w:val="24"/>
          <w:szCs w:val="24"/>
        </w:rPr>
        <w:t>，</w:t>
      </w:r>
      <w:r>
        <w:rPr>
          <w:rFonts w:asciiTheme="minorEastAsia" w:hAnsiTheme="minorEastAsia"/>
          <w:sz w:val="24"/>
          <w:szCs w:val="24"/>
        </w:rPr>
        <w:t>自项目验收通过移交之日起计</w:t>
      </w:r>
      <w:r>
        <w:rPr>
          <w:rFonts w:hint="eastAsia" w:asciiTheme="minorEastAsia" w:hAnsiTheme="minorEastAsia"/>
          <w:sz w:val="24"/>
          <w:szCs w:val="24"/>
        </w:rPr>
        <w:t>算。</w:t>
      </w:r>
    </w:p>
    <w:p>
      <w:pPr>
        <w:pStyle w:val="16"/>
        <w:widowControl/>
        <w:numPr>
          <w:ilvl w:val="0"/>
          <w:numId w:val="0"/>
        </w:numPr>
        <w:ind w:leftChars="0"/>
        <w:jc w:val="left"/>
        <w:outlineLvl w:val="0"/>
        <w:rPr>
          <w:b/>
          <w:sz w:val="28"/>
          <w:szCs w:val="28"/>
        </w:rPr>
      </w:pPr>
      <w:r>
        <w:rPr>
          <w:rFonts w:hint="eastAsia"/>
          <w:b/>
          <w:sz w:val="28"/>
          <w:szCs w:val="28"/>
          <w:lang w:val="en-US" w:eastAsia="zh-CN"/>
        </w:rPr>
        <w:t>4.</w:t>
      </w:r>
      <w:r>
        <w:rPr>
          <w:b/>
          <w:sz w:val="28"/>
          <w:szCs w:val="28"/>
        </w:rPr>
        <w:t>资格及授权要求</w:t>
      </w:r>
    </w:p>
    <w:p>
      <w:pPr>
        <w:pStyle w:val="16"/>
        <w:widowControl/>
        <w:numPr>
          <w:ilvl w:val="0"/>
          <w:numId w:val="0"/>
        </w:numPr>
        <w:ind w:leftChars="0"/>
        <w:jc w:val="left"/>
        <w:outlineLvl w:val="1"/>
        <w:rPr>
          <w:b/>
          <w:sz w:val="24"/>
          <w:szCs w:val="24"/>
        </w:rPr>
      </w:pPr>
      <w:r>
        <w:rPr>
          <w:rFonts w:hint="eastAsia"/>
          <w:b/>
          <w:sz w:val="24"/>
          <w:szCs w:val="24"/>
          <w:lang w:val="en-US" w:eastAsia="zh-CN"/>
        </w:rPr>
        <w:t>4.1</w:t>
      </w:r>
      <w:r>
        <w:rPr>
          <w:b/>
          <w:sz w:val="24"/>
          <w:szCs w:val="24"/>
        </w:rPr>
        <w:t>投标人通用资格要求</w:t>
      </w:r>
    </w:p>
    <w:p>
      <w:pPr>
        <w:pStyle w:val="16"/>
        <w:numPr>
          <w:ilvl w:val="0"/>
          <w:numId w:val="0"/>
        </w:numPr>
        <w:tabs>
          <w:tab w:val="left" w:pos="735"/>
          <w:tab w:val="left" w:pos="1920"/>
        </w:tabs>
        <w:spacing w:before="120" w:line="360" w:lineRule="auto"/>
        <w:ind w:leftChars="0"/>
        <w:jc w:val="left"/>
        <w:rPr>
          <w:rFonts w:hint="eastAsia" w:ascii="宋体" w:hAnsi="宋体"/>
          <w:kern w:val="0"/>
          <w:sz w:val="24"/>
        </w:rPr>
      </w:pPr>
      <w:r>
        <w:rPr>
          <w:rFonts w:hint="eastAsia" w:ascii="宋体" w:hAnsi="宋体"/>
          <w:kern w:val="0"/>
          <w:sz w:val="24"/>
          <w:lang w:val="en-US" w:eastAsia="zh-CN"/>
        </w:rPr>
        <w:t>4.1.1</w:t>
      </w:r>
      <w:r>
        <w:rPr>
          <w:rFonts w:hint="eastAsia" w:ascii="宋体" w:hAnsi="宋体"/>
          <w:kern w:val="0"/>
          <w:sz w:val="24"/>
        </w:rPr>
        <w:t>投标人必须是中华人民共和国境内注册合法运作的企业法人或其他组织，具有独立承担民事责任的能力、独立承担招标项目的能力和独立履行合同的能力。</w:t>
      </w:r>
    </w:p>
    <w:p>
      <w:pPr>
        <w:pStyle w:val="16"/>
        <w:numPr>
          <w:ilvl w:val="0"/>
          <w:numId w:val="0"/>
        </w:numPr>
        <w:tabs>
          <w:tab w:val="left" w:pos="735"/>
          <w:tab w:val="left" w:pos="1920"/>
        </w:tabs>
        <w:spacing w:before="120" w:line="360" w:lineRule="auto"/>
        <w:ind w:leftChars="0"/>
        <w:jc w:val="left"/>
        <w:rPr>
          <w:rFonts w:ascii="宋体" w:hAnsi="宋体"/>
          <w:kern w:val="0"/>
          <w:sz w:val="24"/>
        </w:rPr>
      </w:pPr>
      <w:r>
        <w:rPr>
          <w:rFonts w:hint="eastAsia" w:ascii="宋体" w:hAnsi="宋体"/>
          <w:kern w:val="0"/>
          <w:sz w:val="24"/>
          <w:lang w:val="en-US" w:eastAsia="zh-CN"/>
        </w:rPr>
        <w:t>4.1.2</w:t>
      </w:r>
      <w:r>
        <w:rPr>
          <w:rFonts w:hint="eastAsia" w:ascii="宋体" w:hAnsi="宋体"/>
          <w:kern w:val="0"/>
          <w:sz w:val="24"/>
        </w:rPr>
        <w:t>投标人在招标人处完整办理完成供应商登记手续，是招标人登记的有效供货商、服务商。</w:t>
      </w:r>
    </w:p>
    <w:p>
      <w:pPr>
        <w:pStyle w:val="16"/>
        <w:numPr>
          <w:ilvl w:val="0"/>
          <w:numId w:val="0"/>
        </w:numPr>
        <w:tabs>
          <w:tab w:val="left" w:pos="735"/>
          <w:tab w:val="left" w:pos="1920"/>
        </w:tabs>
        <w:spacing w:before="120" w:line="360" w:lineRule="auto"/>
        <w:ind w:leftChars="0"/>
        <w:jc w:val="left"/>
        <w:rPr>
          <w:rFonts w:ascii="宋体" w:hAnsi="宋体"/>
          <w:kern w:val="0"/>
          <w:sz w:val="24"/>
        </w:rPr>
      </w:pPr>
      <w:r>
        <w:rPr>
          <w:rFonts w:hint="eastAsia" w:ascii="宋体" w:hAnsi="宋体"/>
          <w:kern w:val="0"/>
          <w:sz w:val="24"/>
          <w:lang w:val="en-US" w:eastAsia="zh-CN"/>
        </w:rPr>
        <w:t>4.1.3</w:t>
      </w:r>
      <w:r>
        <w:rPr>
          <w:rFonts w:ascii="宋体" w:hAnsi="宋体"/>
          <w:kern w:val="0"/>
          <w:sz w:val="24"/>
        </w:rPr>
        <w:t>投标人具备有效的营业执照</w:t>
      </w:r>
      <w:r>
        <w:rPr>
          <w:rFonts w:hint="eastAsia" w:ascii="宋体" w:hAnsi="宋体"/>
          <w:kern w:val="0"/>
          <w:sz w:val="24"/>
        </w:rPr>
        <w:t>，</w:t>
      </w:r>
      <w:r>
        <w:rPr>
          <w:rFonts w:ascii="宋体" w:hAnsi="宋体"/>
          <w:kern w:val="0"/>
          <w:sz w:val="24"/>
        </w:rPr>
        <w:t>营业执照的经营范围应包含本项目招标的物资类别</w:t>
      </w:r>
      <w:r>
        <w:rPr>
          <w:rFonts w:hint="eastAsia" w:ascii="宋体" w:hAnsi="宋体"/>
          <w:kern w:val="0"/>
          <w:sz w:val="24"/>
        </w:rPr>
        <w:t>。</w:t>
      </w:r>
    </w:p>
    <w:p>
      <w:pPr>
        <w:pStyle w:val="16"/>
        <w:numPr>
          <w:ilvl w:val="0"/>
          <w:numId w:val="0"/>
        </w:numPr>
        <w:tabs>
          <w:tab w:val="left" w:pos="735"/>
          <w:tab w:val="left" w:pos="1920"/>
        </w:tabs>
        <w:spacing w:before="120" w:line="360" w:lineRule="auto"/>
        <w:ind w:leftChars="0"/>
        <w:jc w:val="left"/>
        <w:rPr>
          <w:rFonts w:ascii="宋体" w:hAnsi="宋体"/>
          <w:kern w:val="0"/>
          <w:sz w:val="24"/>
        </w:rPr>
      </w:pPr>
      <w:r>
        <w:rPr>
          <w:rFonts w:hint="eastAsia" w:ascii="宋体" w:hAnsi="宋体"/>
          <w:kern w:val="0"/>
          <w:sz w:val="24"/>
          <w:lang w:val="en-US" w:eastAsia="zh-CN"/>
        </w:rPr>
        <w:t>4.1.4</w:t>
      </w:r>
      <w:r>
        <w:rPr>
          <w:rFonts w:ascii="宋体" w:hAnsi="宋体"/>
          <w:kern w:val="0"/>
          <w:sz w:val="24"/>
        </w:rPr>
        <w:t>不接受联合体投标</w:t>
      </w:r>
      <w:r>
        <w:rPr>
          <w:rFonts w:hint="eastAsia" w:ascii="宋体" w:hAnsi="宋体"/>
          <w:kern w:val="0"/>
          <w:sz w:val="24"/>
        </w:rPr>
        <w:t>。</w:t>
      </w:r>
    </w:p>
    <w:p>
      <w:pPr>
        <w:pStyle w:val="16"/>
        <w:numPr>
          <w:ilvl w:val="0"/>
          <w:numId w:val="0"/>
        </w:numPr>
        <w:tabs>
          <w:tab w:val="left" w:pos="735"/>
          <w:tab w:val="left" w:pos="1920"/>
        </w:tabs>
        <w:spacing w:before="120" w:line="360" w:lineRule="auto"/>
        <w:ind w:leftChars="0"/>
        <w:jc w:val="left"/>
        <w:rPr>
          <w:rFonts w:ascii="宋体" w:hAnsi="宋体"/>
          <w:kern w:val="0"/>
          <w:sz w:val="24"/>
        </w:rPr>
      </w:pPr>
      <w:r>
        <w:rPr>
          <w:rFonts w:hint="eastAsia" w:ascii="宋体" w:hAnsi="宋体"/>
          <w:kern w:val="0"/>
          <w:sz w:val="24"/>
          <w:lang w:val="en-US" w:eastAsia="zh-CN"/>
        </w:rPr>
        <w:t>4.1.5</w:t>
      </w:r>
      <w:r>
        <w:rPr>
          <w:rFonts w:ascii="宋体" w:hAnsi="宋体"/>
          <w:kern w:val="0"/>
          <w:sz w:val="24"/>
        </w:rPr>
        <w:t>投标人没有被最高人民法院在</w:t>
      </w:r>
      <w:r>
        <w:rPr>
          <w:rFonts w:hint="eastAsia" w:ascii="宋体" w:hAnsi="宋体"/>
          <w:kern w:val="0"/>
          <w:sz w:val="24"/>
        </w:rPr>
        <w:t>“信用中国”网站列入失信被执行人名单</w:t>
      </w:r>
      <w:r>
        <w:rPr>
          <w:rFonts w:hint="eastAsia" w:asciiTheme="minorEastAsia" w:hAnsiTheme="minorEastAsia"/>
          <w:kern w:val="0"/>
          <w:sz w:val="24"/>
          <w:szCs w:val="24"/>
        </w:rPr>
        <w:t>（</w:t>
      </w:r>
      <w:r>
        <w:fldChar w:fldCharType="begin"/>
      </w:r>
      <w:r>
        <w:instrText xml:space="preserve"> HYPERLINK "https://www.creditchina.gov.cn/" </w:instrText>
      </w:r>
      <w:r>
        <w:fldChar w:fldCharType="separate"/>
      </w:r>
      <w:r>
        <w:rPr>
          <w:rStyle w:val="12"/>
          <w:rFonts w:asciiTheme="minorEastAsia" w:hAnsiTheme="minorEastAsia"/>
          <w:color w:val="auto"/>
          <w:sz w:val="24"/>
          <w:szCs w:val="24"/>
          <w:u w:val="none"/>
        </w:rPr>
        <w:t>https://www.creditchina.gov.cn/</w:t>
      </w:r>
      <w:r>
        <w:rPr>
          <w:rStyle w:val="12"/>
          <w:rFonts w:asciiTheme="minorEastAsia" w:hAnsiTheme="minorEastAsia"/>
          <w:color w:val="auto"/>
          <w:sz w:val="24"/>
          <w:szCs w:val="24"/>
          <w:u w:val="none"/>
        </w:rPr>
        <w:fldChar w:fldCharType="end"/>
      </w:r>
      <w:r>
        <w:rPr>
          <w:rFonts w:hint="eastAsia" w:ascii="宋体" w:hAnsi="宋体"/>
          <w:kern w:val="0"/>
          <w:sz w:val="24"/>
        </w:rPr>
        <w:t>）。</w:t>
      </w:r>
    </w:p>
    <w:p>
      <w:pPr>
        <w:widowControl/>
        <w:spacing w:line="360" w:lineRule="auto"/>
        <w:jc w:val="left"/>
        <w:rPr>
          <w:rFonts w:asciiTheme="minorEastAsia" w:hAnsiTheme="minorEastAsia"/>
          <w:sz w:val="24"/>
          <w:szCs w:val="24"/>
        </w:rPr>
      </w:pPr>
    </w:p>
    <w:p>
      <w:pPr>
        <w:pStyle w:val="16"/>
        <w:widowControl/>
        <w:numPr>
          <w:ilvl w:val="0"/>
          <w:numId w:val="0"/>
        </w:numPr>
        <w:ind w:leftChars="0"/>
        <w:jc w:val="left"/>
        <w:outlineLvl w:val="1"/>
        <w:rPr>
          <w:b/>
          <w:sz w:val="24"/>
          <w:szCs w:val="24"/>
        </w:rPr>
      </w:pPr>
      <w:r>
        <w:rPr>
          <w:rFonts w:hint="eastAsia"/>
          <w:b/>
          <w:sz w:val="24"/>
          <w:szCs w:val="24"/>
          <w:lang w:val="en-US" w:eastAsia="zh-CN"/>
        </w:rPr>
        <w:t>4.2</w:t>
      </w:r>
      <w:r>
        <w:rPr>
          <w:b/>
          <w:sz w:val="24"/>
          <w:szCs w:val="24"/>
        </w:rPr>
        <w:t>投标人专用资格要求</w:t>
      </w:r>
    </w:p>
    <w:p>
      <w:pPr>
        <w:pStyle w:val="16"/>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contextualSpacing/>
        <w:jc w:val="left"/>
        <w:textAlignment w:val="auto"/>
        <w:outlineLvl w:val="9"/>
        <w:rPr>
          <w:rFonts w:asciiTheme="minorEastAsia" w:hAnsiTheme="minorEastAsia"/>
          <w:sz w:val="24"/>
          <w:szCs w:val="24"/>
        </w:rPr>
      </w:pPr>
      <w:r>
        <w:rPr>
          <w:rFonts w:hint="eastAsia" w:ascii="宋体" w:hAnsi="宋体"/>
          <w:kern w:val="0"/>
          <w:sz w:val="24"/>
        </w:rPr>
        <w:t>投标人</w:t>
      </w:r>
      <w:r>
        <w:rPr>
          <w:rFonts w:hint="eastAsia" w:ascii="宋体" w:hAnsi="宋体"/>
          <w:kern w:val="0"/>
          <w:sz w:val="24"/>
          <w:lang w:val="en-US" w:eastAsia="zh-CN"/>
        </w:rPr>
        <w:t>应具备</w:t>
      </w:r>
      <w:r>
        <w:rPr>
          <w:rFonts w:hint="eastAsia" w:ascii="宋体" w:hAnsi="宋体"/>
          <w:kern w:val="0"/>
          <w:sz w:val="24"/>
        </w:rPr>
        <w:t>电力工程施工总承包资质‌或者承装（修、试）电力设施许可证‌。</w:t>
      </w:r>
    </w:p>
    <w:p>
      <w:pPr>
        <w:numPr>
          <w:ilvl w:val="0"/>
          <w:numId w:val="0"/>
        </w:numPr>
        <w:tabs>
          <w:tab w:val="left" w:pos="993"/>
        </w:tabs>
        <w:spacing w:before="120" w:line="360" w:lineRule="auto"/>
        <w:ind w:leftChars="0"/>
        <w:jc w:val="left"/>
        <w:outlineLvl w:val="0"/>
        <w:rPr>
          <w:rFonts w:ascii="宋体" w:hAnsi="宋体"/>
          <w:b/>
          <w:kern w:val="0"/>
          <w:sz w:val="32"/>
          <w:szCs w:val="32"/>
        </w:rPr>
      </w:pPr>
      <w:r>
        <w:rPr>
          <w:rFonts w:hint="eastAsia" w:ascii="宋体" w:hAnsi="宋体"/>
          <w:b/>
          <w:kern w:val="0"/>
          <w:sz w:val="32"/>
          <w:szCs w:val="32"/>
          <w:lang w:val="en-US" w:eastAsia="zh-CN"/>
        </w:rPr>
        <w:t>5.</w:t>
      </w:r>
      <w:r>
        <w:rPr>
          <w:rFonts w:hint="eastAsia" w:ascii="宋体" w:hAnsi="宋体"/>
          <w:b/>
          <w:kern w:val="0"/>
          <w:sz w:val="32"/>
          <w:szCs w:val="32"/>
        </w:rPr>
        <w:t>设备安装要求</w:t>
      </w:r>
    </w:p>
    <w:p>
      <w:pPr>
        <w:pStyle w:val="16"/>
        <w:autoSpaceDE w:val="0"/>
        <w:autoSpaceDN w:val="0"/>
        <w:ind w:firstLine="0" w:firstLineChars="0"/>
        <w:contextualSpacing/>
        <w:jc w:val="left"/>
        <w:outlineLvl w:val="1"/>
        <w:rPr>
          <w:rFonts w:hint="eastAsia"/>
          <w:b/>
          <w:sz w:val="24"/>
          <w:lang w:val="en-US" w:eastAsia="zh-CN"/>
        </w:rPr>
      </w:pPr>
      <w:r>
        <w:rPr>
          <w:rFonts w:hint="eastAsia"/>
          <w:b/>
          <w:sz w:val="24"/>
          <w:lang w:val="en-US" w:eastAsia="zh-CN"/>
        </w:rPr>
        <w:t>5.1蓄电池安装</w:t>
      </w:r>
    </w:p>
    <w:p>
      <w:pPr>
        <w:pStyle w:val="16"/>
        <w:keepNext w:val="0"/>
        <w:keepLines w:val="0"/>
        <w:pageBreakBefore w:val="0"/>
        <w:widowControl w:val="0"/>
        <w:kinsoku/>
        <w:wordWrap/>
        <w:overflowPunct/>
        <w:topLinePunct w:val="0"/>
        <w:autoSpaceDE w:val="0"/>
        <w:autoSpaceDN w:val="0"/>
        <w:bidi w:val="0"/>
        <w:adjustRightInd/>
        <w:snapToGrid/>
        <w:spacing w:line="360" w:lineRule="auto"/>
        <w:ind w:firstLine="0" w:firstLineChars="0"/>
        <w:contextualSpacing/>
        <w:jc w:val="left"/>
        <w:textAlignment w:val="auto"/>
        <w:outlineLvl w:val="9"/>
        <w:rPr>
          <w:rFonts w:hint="eastAsia"/>
          <w:b w:val="0"/>
          <w:bCs/>
          <w:sz w:val="24"/>
          <w:lang w:val="en-US" w:eastAsia="zh-CN"/>
        </w:rPr>
      </w:pPr>
      <w:r>
        <w:rPr>
          <w:rFonts w:hint="eastAsia"/>
          <w:b/>
          <w:sz w:val="24"/>
          <w:lang w:val="en-US" w:eastAsia="zh-CN"/>
        </w:rPr>
        <w:t xml:space="preserve">    </w:t>
      </w:r>
      <w:r>
        <w:rPr>
          <w:rFonts w:hint="eastAsia"/>
          <w:b w:val="0"/>
          <w:bCs/>
          <w:sz w:val="24"/>
          <w:lang w:val="en-US" w:eastAsia="zh-CN"/>
        </w:rPr>
        <w:t>新购192节蓄电池的上架、接线、调试等，包含电池监测设备和模块拆装、调试。</w:t>
      </w:r>
    </w:p>
    <w:p>
      <w:pPr>
        <w:pStyle w:val="16"/>
        <w:widowControl/>
        <w:numPr>
          <w:ilvl w:val="0"/>
          <w:numId w:val="0"/>
        </w:numPr>
        <w:ind w:leftChars="0"/>
        <w:jc w:val="left"/>
        <w:outlineLvl w:val="0"/>
        <w:rPr>
          <w:b/>
          <w:sz w:val="28"/>
          <w:szCs w:val="28"/>
        </w:rPr>
      </w:pPr>
      <w:r>
        <w:rPr>
          <w:rFonts w:hint="eastAsia"/>
          <w:b/>
          <w:sz w:val="28"/>
          <w:szCs w:val="28"/>
          <w:lang w:val="en-US" w:eastAsia="zh-CN"/>
        </w:rPr>
        <w:t>6.</w:t>
      </w:r>
      <w:r>
        <w:rPr>
          <w:rFonts w:hint="eastAsia"/>
          <w:b/>
          <w:sz w:val="28"/>
          <w:szCs w:val="28"/>
        </w:rPr>
        <w:t>安全服务要求</w:t>
      </w:r>
    </w:p>
    <w:p>
      <w:pPr>
        <w:adjustRightInd w:val="0"/>
        <w:snapToGrid w:val="0"/>
        <w:spacing w:line="360" w:lineRule="auto"/>
        <w:ind w:firstLine="480" w:firstLineChars="200"/>
        <w:jc w:val="left"/>
        <w:rPr>
          <w:rFonts w:ascii="宋体" w:hAnsi="宋体"/>
          <w:sz w:val="24"/>
        </w:rPr>
      </w:pPr>
      <w:r>
        <w:rPr>
          <w:rFonts w:hint="eastAsia" w:ascii="宋体" w:hAnsi="宋体"/>
          <w:sz w:val="24"/>
        </w:rPr>
        <w:t>投标方派出的现场实施人员需持有对应工种的上岗资质或操作资质证书，包括但不限于电工作业、高空作业、安全员等。</w:t>
      </w:r>
    </w:p>
    <w:p>
      <w:pPr>
        <w:adjustRightInd w:val="0"/>
        <w:snapToGrid w:val="0"/>
        <w:spacing w:line="360" w:lineRule="auto"/>
        <w:ind w:firstLine="480" w:firstLineChars="200"/>
        <w:jc w:val="left"/>
        <w:rPr>
          <w:rFonts w:ascii="宋体" w:hAnsi="宋体"/>
          <w:sz w:val="24"/>
        </w:rPr>
      </w:pPr>
      <w:r>
        <w:rPr>
          <w:rFonts w:ascii="宋体" w:hAnsi="宋体"/>
          <w:sz w:val="24"/>
        </w:rPr>
        <w:t>所有</w:t>
      </w:r>
      <w:r>
        <w:rPr>
          <w:rFonts w:hint="eastAsia" w:ascii="宋体" w:hAnsi="宋体"/>
          <w:sz w:val="24"/>
        </w:rPr>
        <w:t>现场实施</w:t>
      </w:r>
      <w:r>
        <w:rPr>
          <w:rFonts w:ascii="宋体" w:hAnsi="宋体"/>
          <w:sz w:val="24"/>
        </w:rPr>
        <w:t>人员应该遵从关于现场安全</w:t>
      </w:r>
      <w:r>
        <w:rPr>
          <w:rFonts w:hint="eastAsia" w:ascii="宋体" w:hAnsi="宋体"/>
          <w:sz w:val="24"/>
        </w:rPr>
        <w:t>服务、</w:t>
      </w:r>
      <w:r>
        <w:rPr>
          <w:rFonts w:ascii="宋体" w:hAnsi="宋体"/>
          <w:sz w:val="24"/>
        </w:rPr>
        <w:t>文明</w:t>
      </w:r>
      <w:r>
        <w:rPr>
          <w:rFonts w:hint="eastAsia" w:ascii="宋体" w:hAnsi="宋体"/>
          <w:sz w:val="24"/>
        </w:rPr>
        <w:t>服务</w:t>
      </w:r>
      <w:r>
        <w:rPr>
          <w:rFonts w:ascii="宋体" w:hAnsi="宋体"/>
          <w:sz w:val="24"/>
        </w:rPr>
        <w:t>的要求</w:t>
      </w:r>
      <w:r>
        <w:rPr>
          <w:rFonts w:hint="eastAsia" w:ascii="宋体" w:hAnsi="宋体"/>
          <w:sz w:val="24"/>
        </w:rPr>
        <w:t>，</w:t>
      </w:r>
      <w:r>
        <w:rPr>
          <w:rFonts w:ascii="宋体" w:hAnsi="宋体"/>
          <w:sz w:val="24"/>
        </w:rPr>
        <w:t>不得超越工作范围工作</w:t>
      </w:r>
      <w:r>
        <w:rPr>
          <w:rFonts w:hint="eastAsia" w:ascii="宋体" w:hAnsi="宋体"/>
          <w:sz w:val="24"/>
        </w:rPr>
        <w:t>。</w:t>
      </w:r>
    </w:p>
    <w:p>
      <w:pPr>
        <w:adjustRightInd w:val="0"/>
        <w:snapToGrid w:val="0"/>
        <w:spacing w:line="360" w:lineRule="auto"/>
        <w:ind w:firstLine="480" w:firstLineChars="200"/>
        <w:jc w:val="left"/>
        <w:rPr>
          <w:rFonts w:ascii="宋体" w:hAnsi="宋体"/>
          <w:sz w:val="24"/>
        </w:rPr>
      </w:pPr>
      <w:r>
        <w:rPr>
          <w:rFonts w:hint="eastAsia" w:ascii="宋体" w:hAnsi="宋体"/>
          <w:sz w:val="24"/>
        </w:rPr>
        <w:t>投标人负责现场环境及服务条件勘察，确保满足服务条件。服务操作必须严格按照国家法律法规执行，采取必要的安全防范措施，服务现场搭设好安全防护措施，服务影响范围及时告知园区其他单位人员并做好相应的警戒、警示，安排安全人员现场监护。做到文明服务、安全服务。</w:t>
      </w:r>
    </w:p>
    <w:p>
      <w:pPr>
        <w:adjustRightInd w:val="0"/>
        <w:snapToGrid w:val="0"/>
        <w:spacing w:line="360" w:lineRule="auto"/>
        <w:ind w:firstLine="480" w:firstLineChars="200"/>
        <w:jc w:val="left"/>
        <w:rPr>
          <w:rFonts w:ascii="宋体" w:hAnsi="宋体"/>
          <w:sz w:val="24"/>
        </w:rPr>
      </w:pPr>
      <w:r>
        <w:rPr>
          <w:rFonts w:hint="eastAsia" w:ascii="宋体" w:hAnsi="宋体"/>
          <w:sz w:val="24"/>
        </w:rPr>
        <w:t>投标方派出的现场实施人员应该严格按照现场实施方案的内容开展现场实服务作，并采取必要的风险防控措施。因现场实施人员操作不当、扩大工作范围、不按工服务方案内容操作而导致设备损坏、人身伤亡等安全生产事故事件，投标方应承担相关责任，造成招标方经济损失的，投标方应赔偿相应的经济损失。</w:t>
      </w:r>
    </w:p>
    <w:p>
      <w:pPr>
        <w:adjustRightInd w:val="0"/>
        <w:snapToGrid w:val="0"/>
        <w:spacing w:line="360" w:lineRule="auto"/>
        <w:ind w:firstLine="480" w:firstLineChars="200"/>
        <w:jc w:val="left"/>
        <w:rPr>
          <w:rFonts w:asciiTheme="minorEastAsia" w:hAnsiTheme="minorEastAsia"/>
          <w:sz w:val="24"/>
          <w:szCs w:val="24"/>
        </w:rPr>
      </w:pPr>
      <w:r>
        <w:rPr>
          <w:rFonts w:ascii="宋体" w:hAnsi="宋体"/>
          <w:sz w:val="24"/>
        </w:rPr>
        <w:t>投标人必须为所有现场</w:t>
      </w:r>
      <w:r>
        <w:rPr>
          <w:rFonts w:hint="eastAsia" w:ascii="宋体" w:hAnsi="宋体"/>
          <w:sz w:val="24"/>
        </w:rPr>
        <w:t>服务</w:t>
      </w:r>
      <w:r>
        <w:rPr>
          <w:rFonts w:ascii="宋体" w:hAnsi="宋体"/>
          <w:sz w:val="24"/>
        </w:rPr>
        <w:t>人员购买人身意外保险</w:t>
      </w:r>
      <w:r>
        <w:rPr>
          <w:rFonts w:hint="eastAsia" w:ascii="宋体" w:hAnsi="宋体"/>
          <w:sz w:val="24"/>
        </w:rPr>
        <w:t>。</w:t>
      </w:r>
    </w:p>
    <w:p>
      <w:pPr>
        <w:pStyle w:val="16"/>
        <w:widowControl/>
        <w:numPr>
          <w:ilvl w:val="0"/>
          <w:numId w:val="0"/>
        </w:numPr>
        <w:ind w:leftChars="0"/>
        <w:jc w:val="left"/>
        <w:outlineLvl w:val="0"/>
        <w:rPr>
          <w:b/>
          <w:sz w:val="28"/>
          <w:szCs w:val="28"/>
        </w:rPr>
      </w:pPr>
      <w:bookmarkStart w:id="3" w:name="_Toc10377"/>
      <w:r>
        <w:rPr>
          <w:rFonts w:hint="eastAsia"/>
          <w:b/>
          <w:sz w:val="28"/>
          <w:szCs w:val="28"/>
          <w:lang w:val="en-US" w:eastAsia="zh-CN"/>
        </w:rPr>
        <w:t>7.</w:t>
      </w:r>
      <w:r>
        <w:rPr>
          <w:rFonts w:hint="eastAsia"/>
          <w:b/>
          <w:sz w:val="28"/>
          <w:szCs w:val="28"/>
        </w:rPr>
        <w:t>其他要求</w:t>
      </w:r>
      <w:bookmarkEnd w:id="3"/>
    </w:p>
    <w:p>
      <w:pPr>
        <w:pStyle w:val="6"/>
        <w:autoSpaceDE w:val="0"/>
        <w:autoSpaceDN w:val="0"/>
        <w:spacing w:line="360" w:lineRule="auto"/>
        <w:ind w:firstLine="480" w:firstLineChars="200"/>
      </w:pPr>
      <w:r>
        <w:t>本</w:t>
      </w:r>
      <w:r>
        <w:rPr>
          <w:rFonts w:hint="eastAsia"/>
        </w:rPr>
        <w:t>项目组织技术</w:t>
      </w:r>
      <w:r>
        <w:t>主要包含以下几个方面。</w:t>
      </w:r>
    </w:p>
    <w:p>
      <w:pPr>
        <w:pStyle w:val="3"/>
        <w:numPr>
          <w:ilvl w:val="1"/>
          <w:numId w:val="0"/>
        </w:numPr>
        <w:autoSpaceDE w:val="0"/>
        <w:autoSpaceDN w:val="0"/>
        <w:spacing w:before="0" w:after="0" w:line="360" w:lineRule="auto"/>
        <w:jc w:val="left"/>
        <w:rPr>
          <w:rFonts w:ascii="宋体" w:hAnsi="宋体" w:eastAsia="宋体" w:cs="宋体"/>
          <w:sz w:val="24"/>
          <w:szCs w:val="24"/>
        </w:rPr>
      </w:pPr>
      <w:bookmarkStart w:id="4" w:name="_Toc22020"/>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cs="宋体"/>
          <w:sz w:val="24"/>
          <w:szCs w:val="24"/>
        </w:rPr>
        <w:t>1</w:t>
      </w:r>
      <w:r>
        <w:rPr>
          <w:rFonts w:hint="eastAsia" w:ascii="宋体" w:hAnsi="宋体" w:eastAsia="宋体" w:cs="宋体"/>
          <w:sz w:val="24"/>
          <w:szCs w:val="24"/>
        </w:rPr>
        <w:t xml:space="preserve"> 项目组织与计划</w:t>
      </w:r>
      <w:bookmarkEnd w:id="4"/>
    </w:p>
    <w:p>
      <w:pPr>
        <w:pStyle w:val="20"/>
        <w:numPr>
          <w:ilvl w:val="0"/>
          <w:numId w:val="0"/>
        </w:numPr>
        <w:autoSpaceDE w:val="0"/>
        <w:autoSpaceDN w:val="0"/>
        <w:rPr>
          <w:rFonts w:hAnsi="宋体" w:cs="宋体"/>
        </w:rPr>
      </w:pPr>
      <w:r>
        <w:rPr>
          <w:rFonts w:hint="eastAsia" w:cs="宋体"/>
          <w:lang w:val="en-US" w:eastAsia="zh-CN"/>
        </w:rPr>
        <w:t>7</w:t>
      </w:r>
      <w:r>
        <w:rPr>
          <w:rFonts w:hint="eastAsia" w:cs="宋体"/>
        </w:rPr>
        <w:t>.1</w:t>
      </w:r>
      <w:r>
        <w:rPr>
          <w:rFonts w:hint="eastAsia" w:hAnsi="宋体" w:cs="宋体"/>
        </w:rPr>
        <w:t>.1 投标文件应全面</w:t>
      </w:r>
      <w:r>
        <w:rPr>
          <w:rFonts w:hint="eastAsia" w:hAnsi="宋体" w:cs="宋体"/>
          <w:lang w:eastAsia="en-US"/>
        </w:rPr>
        <w:t>描述人员安排、项目管控措施、人员资历介绍、相应的质量管理体系等。</w:t>
      </w:r>
      <w:r>
        <w:rPr>
          <w:rFonts w:hint="eastAsia" w:hAnsi="宋体" w:cs="宋体"/>
        </w:rPr>
        <w:t>投标文件还应全面描述本项目的工作内容，工作方式或要求、进度安排、计划提交成果或交付物、质量控制措施等。</w:t>
      </w:r>
    </w:p>
    <w:p>
      <w:pPr>
        <w:pStyle w:val="20"/>
        <w:numPr>
          <w:ilvl w:val="0"/>
          <w:numId w:val="0"/>
        </w:numPr>
        <w:autoSpaceDE w:val="0"/>
        <w:autoSpaceDN w:val="0"/>
        <w:rPr>
          <w:rFonts w:hAnsi="宋体" w:cs="宋体"/>
        </w:rPr>
      </w:pPr>
      <w:r>
        <w:rPr>
          <w:rFonts w:hint="eastAsia" w:cs="宋体"/>
          <w:lang w:val="en-US" w:eastAsia="zh-CN"/>
        </w:rPr>
        <w:t>7</w:t>
      </w:r>
      <w:r>
        <w:rPr>
          <w:rFonts w:hint="eastAsia" w:cs="宋体"/>
        </w:rPr>
        <w:t>.1</w:t>
      </w:r>
      <w:r>
        <w:rPr>
          <w:rFonts w:hint="eastAsia" w:hAnsi="宋体" w:cs="宋体"/>
        </w:rPr>
        <w:t>.2 投标人中标后在</w:t>
      </w:r>
      <w:r>
        <w:rPr>
          <w:rFonts w:hint="eastAsia" w:hAnsi="宋体" w:cs="宋体"/>
          <w:lang w:eastAsia="zh-CN"/>
        </w:rPr>
        <w:t>开工实施</w:t>
      </w:r>
      <w:r>
        <w:rPr>
          <w:rFonts w:hint="eastAsia" w:hAnsi="宋体" w:cs="宋体"/>
        </w:rPr>
        <w:t>至验收合格期间，应委派1</w:t>
      </w:r>
      <w:r>
        <w:rPr>
          <w:rFonts w:hint="eastAsia" w:cs="宋体"/>
        </w:rPr>
        <w:t>-</w:t>
      </w:r>
      <w:r>
        <w:rPr>
          <w:rFonts w:hint="eastAsia" w:hAnsi="宋体" w:cs="宋体"/>
        </w:rPr>
        <w:t>2名项目技术负责人，</w:t>
      </w:r>
      <w:r>
        <w:rPr>
          <w:rFonts w:hint="eastAsia" w:hAnsi="宋体" w:cs="宋体"/>
          <w:b/>
          <w:bCs/>
        </w:rPr>
        <w:t>项目技术负责人应常驻现场，负责与招标人联系</w:t>
      </w:r>
      <w:r>
        <w:rPr>
          <w:rFonts w:hint="eastAsia" w:hAnsi="宋体" w:cs="宋体"/>
        </w:rPr>
        <w:t>。项目技术负责人及其它主要人员必须有安装和调试同类设备 5 年以上工作经验，如招标人认为该人员不胜任时可以要求更换，中标人应按照招标人要求及时更换。</w:t>
      </w:r>
    </w:p>
    <w:p>
      <w:pPr>
        <w:pStyle w:val="20"/>
        <w:numPr>
          <w:ilvl w:val="0"/>
          <w:numId w:val="0"/>
        </w:numPr>
        <w:autoSpaceDE w:val="0"/>
        <w:autoSpaceDN w:val="0"/>
        <w:rPr>
          <w:rFonts w:hAnsi="宋体" w:cs="宋体"/>
          <w:lang w:eastAsia="en-US"/>
        </w:rPr>
      </w:pPr>
      <w:r>
        <w:rPr>
          <w:rFonts w:hint="eastAsia" w:cs="宋体"/>
          <w:lang w:val="en-US" w:eastAsia="zh-CN"/>
        </w:rPr>
        <w:t>7</w:t>
      </w:r>
      <w:r>
        <w:rPr>
          <w:rFonts w:hint="eastAsia" w:cs="宋体"/>
        </w:rPr>
        <w:t>.1</w:t>
      </w:r>
      <w:r>
        <w:rPr>
          <w:rFonts w:hint="eastAsia" w:hAnsi="宋体" w:cs="宋体"/>
        </w:rPr>
        <w:t>.3 投标人中标后必须在接到招标人通知后的 3 天内派员到达现场，并服从招标人的统一安排。在实施过程中，必须服从招标人在进度、质量、施工管理等多方面的管理要求，组织、协调各方进行设备安装。</w:t>
      </w:r>
    </w:p>
    <w:p>
      <w:pPr>
        <w:pStyle w:val="6"/>
        <w:autoSpaceDE w:val="0"/>
        <w:autoSpaceDN w:val="0"/>
        <w:spacing w:line="360" w:lineRule="auto"/>
        <w:outlineLvl w:val="1"/>
      </w:pPr>
      <w:bookmarkStart w:id="5" w:name="_Toc3689"/>
      <w:r>
        <w:rPr>
          <w:rFonts w:hint="eastAsia"/>
          <w:b/>
          <w:bCs/>
          <w:lang w:val="en-US" w:eastAsia="zh-CN"/>
        </w:rPr>
        <w:t>7</w:t>
      </w:r>
      <w:r>
        <w:rPr>
          <w:rFonts w:hint="eastAsia"/>
          <w:b/>
          <w:bCs/>
        </w:rPr>
        <w:t>.2 项目进度</w:t>
      </w:r>
      <w:bookmarkEnd w:id="5"/>
    </w:p>
    <w:p>
      <w:pPr>
        <w:pStyle w:val="6"/>
        <w:autoSpaceDE w:val="0"/>
        <w:autoSpaceDN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7.2.1 本项目要求中标人在合同签订后5个工作日内制定详细的进度安排表，本技术规范书范围内的工作总体要求在2025年</w:t>
      </w:r>
      <w:r>
        <w:rPr>
          <w:rFonts w:hint="eastAsia" w:cs="宋体"/>
          <w:kern w:val="2"/>
          <w:sz w:val="24"/>
          <w:szCs w:val="24"/>
          <w:lang w:val="en-US" w:eastAsia="zh-CN" w:bidi="ar-SA"/>
        </w:rPr>
        <w:t>6</w:t>
      </w:r>
      <w:r>
        <w:rPr>
          <w:rFonts w:hint="eastAsia" w:ascii="宋体" w:hAnsi="宋体" w:eastAsia="宋体" w:cs="宋体"/>
          <w:kern w:val="2"/>
          <w:sz w:val="24"/>
          <w:szCs w:val="24"/>
          <w:lang w:val="en-US" w:eastAsia="zh-CN" w:bidi="ar-SA"/>
        </w:rPr>
        <w:t>月30日前完成，中标人应采取有效的工期保证措施。</w:t>
      </w:r>
    </w:p>
    <w:p>
      <w:pPr>
        <w:pStyle w:val="20"/>
        <w:numPr>
          <w:ilvl w:val="0"/>
          <w:numId w:val="0"/>
        </w:numPr>
        <w:autoSpaceDE w:val="0"/>
        <w:autoSpaceDN w:val="0"/>
        <w:rPr>
          <w:rFonts w:hAnsi="宋体" w:cs="宋体"/>
        </w:rPr>
      </w:pPr>
      <w:r>
        <w:rPr>
          <w:rFonts w:hint="eastAsia" w:cs="宋体"/>
          <w:lang w:val="en-US" w:eastAsia="zh-CN"/>
        </w:rPr>
        <w:t>7</w:t>
      </w:r>
      <w:r>
        <w:rPr>
          <w:rFonts w:hint="eastAsia" w:cs="宋体"/>
        </w:rPr>
        <w:t xml:space="preserve">.2.2 </w:t>
      </w:r>
      <w:r>
        <w:rPr>
          <w:rFonts w:hint="eastAsia" w:hAnsi="宋体" w:cs="宋体"/>
        </w:rPr>
        <w:t>投标方必须响应并承诺下列要求：投标方应在</w:t>
      </w:r>
      <w:r>
        <w:rPr>
          <w:rFonts w:hint="eastAsia" w:cs="宋体"/>
        </w:rPr>
        <w:t>投标</w:t>
      </w:r>
      <w:r>
        <w:rPr>
          <w:rFonts w:hint="eastAsia" w:hAnsi="宋体" w:cs="宋体"/>
        </w:rPr>
        <w:t>书中根据</w:t>
      </w:r>
      <w:r>
        <w:rPr>
          <w:rFonts w:hint="eastAsia" w:cs="宋体"/>
        </w:rPr>
        <w:t>招标人</w:t>
      </w:r>
      <w:r>
        <w:rPr>
          <w:rFonts w:hint="eastAsia" w:hAnsi="宋体" w:cs="宋体"/>
        </w:rPr>
        <w:t>要求的服务、工作产品交付日期，提出详细的项目进度表及工作组织安排，合同签订时将在此基础上确定最终进度。投标方应明确对最短可行项目进度的承诺。</w:t>
      </w:r>
    </w:p>
    <w:p>
      <w:pPr>
        <w:pStyle w:val="6"/>
        <w:autoSpaceDE w:val="0"/>
        <w:autoSpaceDN w:val="0"/>
        <w:spacing w:line="360" w:lineRule="auto"/>
        <w:outlineLvl w:val="1"/>
      </w:pPr>
      <w:bookmarkStart w:id="6" w:name="_Toc19370"/>
      <w:r>
        <w:rPr>
          <w:rFonts w:hint="eastAsia"/>
          <w:b/>
          <w:bCs/>
          <w:lang w:val="en-US" w:eastAsia="zh-CN"/>
        </w:rPr>
        <w:t>7</w:t>
      </w:r>
      <w:r>
        <w:rPr>
          <w:rFonts w:hint="eastAsia"/>
          <w:b/>
          <w:bCs/>
        </w:rPr>
        <w:t>.3 项目变更</w:t>
      </w:r>
      <w:bookmarkEnd w:id="6"/>
    </w:p>
    <w:p>
      <w:pPr>
        <w:pStyle w:val="20"/>
        <w:numPr>
          <w:ilvl w:val="0"/>
          <w:numId w:val="0"/>
        </w:numPr>
        <w:autoSpaceDE w:val="0"/>
        <w:autoSpaceDN w:val="0"/>
        <w:rPr>
          <w:rFonts w:hAnsi="宋体" w:cs="宋体"/>
          <w:lang w:eastAsia="en-US"/>
        </w:rPr>
      </w:pPr>
      <w:r>
        <w:rPr>
          <w:rFonts w:hint="eastAsia" w:cs="宋体"/>
          <w:lang w:val="en-US" w:eastAsia="zh-CN"/>
        </w:rPr>
        <w:t>7</w:t>
      </w:r>
      <w:r>
        <w:rPr>
          <w:rFonts w:hint="eastAsia" w:cs="宋体"/>
        </w:rPr>
        <w:t>.3</w:t>
      </w:r>
      <w:r>
        <w:rPr>
          <w:rFonts w:hint="eastAsia" w:hAnsi="宋体" w:cs="宋体"/>
        </w:rPr>
        <w:t>.1 中标人</w:t>
      </w:r>
      <w:r>
        <w:rPr>
          <w:rFonts w:hint="eastAsia" w:hAnsi="宋体" w:cs="宋体"/>
          <w:lang w:eastAsia="en-US"/>
        </w:rPr>
        <w:t>在设备或系统上做出任何超出合同规定的调整，必须经过</w:t>
      </w:r>
      <w:r>
        <w:rPr>
          <w:rFonts w:hint="eastAsia" w:hAnsi="宋体" w:cs="宋体"/>
        </w:rPr>
        <w:t>招标人</w:t>
      </w:r>
      <w:r>
        <w:rPr>
          <w:rFonts w:hint="eastAsia" w:hAnsi="宋体" w:cs="宋体"/>
          <w:lang w:eastAsia="en-US"/>
        </w:rPr>
        <w:t>的同意。如果发现设备或系统的性能指标已严重影响质量和进度，中标人必须事先取得</w:t>
      </w:r>
      <w:r>
        <w:rPr>
          <w:rFonts w:hint="eastAsia" w:hAnsi="宋体" w:cs="宋体"/>
        </w:rPr>
        <w:t>招标人</w:t>
      </w:r>
      <w:r>
        <w:rPr>
          <w:rFonts w:hint="eastAsia" w:hAnsi="宋体" w:cs="宋体"/>
          <w:lang w:eastAsia="en-US"/>
        </w:rPr>
        <w:t>的同意才能做出调整。</w:t>
      </w:r>
    </w:p>
    <w:p>
      <w:pPr>
        <w:pStyle w:val="20"/>
        <w:numPr>
          <w:ilvl w:val="0"/>
          <w:numId w:val="0"/>
        </w:numPr>
        <w:autoSpaceDE w:val="0"/>
        <w:autoSpaceDN w:val="0"/>
        <w:rPr>
          <w:lang w:eastAsia="en-US"/>
        </w:rPr>
      </w:pPr>
      <w:r>
        <w:rPr>
          <w:rFonts w:hint="eastAsia" w:cs="宋体"/>
          <w:lang w:val="en-US" w:eastAsia="zh-CN"/>
        </w:rPr>
        <w:t>7</w:t>
      </w:r>
      <w:r>
        <w:rPr>
          <w:rFonts w:hint="eastAsia" w:cs="宋体"/>
        </w:rPr>
        <w:t>.3</w:t>
      </w:r>
      <w:r>
        <w:rPr>
          <w:rFonts w:hint="eastAsia" w:hAnsi="宋体" w:cs="宋体"/>
        </w:rPr>
        <w:t>.2 招标人</w:t>
      </w:r>
      <w:r>
        <w:rPr>
          <w:rFonts w:hint="eastAsia" w:hAnsi="宋体" w:cs="宋体"/>
          <w:lang w:eastAsia="en-US"/>
        </w:rPr>
        <w:t>可以根据</w:t>
      </w:r>
      <w:r>
        <w:rPr>
          <w:rFonts w:hint="eastAsia" w:hAnsi="宋体" w:cs="宋体"/>
        </w:rPr>
        <w:t>项目</w:t>
      </w:r>
      <w:r>
        <w:rPr>
          <w:rFonts w:hint="eastAsia" w:hAnsi="宋体" w:cs="宋体"/>
          <w:lang w:eastAsia="en-US"/>
        </w:rPr>
        <w:t>的实际情况向中标人发出更改通知，包括增加或减少设备材料的数量，中标人应在招标方的要求的期限内完成修改工作。</w:t>
      </w:r>
    </w:p>
    <w:p>
      <w:pPr>
        <w:pStyle w:val="6"/>
        <w:autoSpaceDE w:val="0"/>
        <w:autoSpaceDN w:val="0"/>
        <w:spacing w:line="360" w:lineRule="auto"/>
        <w:outlineLvl w:val="1"/>
        <w:rPr>
          <w:b/>
          <w:bCs/>
        </w:rPr>
      </w:pPr>
      <w:bookmarkStart w:id="7" w:name="_Toc21049"/>
      <w:r>
        <w:rPr>
          <w:rFonts w:hint="eastAsia"/>
          <w:b/>
          <w:bCs/>
          <w:lang w:val="en-US" w:eastAsia="zh-CN"/>
        </w:rPr>
        <w:t>7.4</w:t>
      </w:r>
      <w:r>
        <w:rPr>
          <w:rFonts w:hint="eastAsia"/>
          <w:b/>
          <w:bCs/>
        </w:rPr>
        <w:t xml:space="preserve"> 检验和测试</w:t>
      </w:r>
      <w:bookmarkEnd w:id="7"/>
    </w:p>
    <w:p>
      <w:pPr>
        <w:pStyle w:val="6"/>
        <w:autoSpaceDE w:val="0"/>
        <w:autoSpaceDN w:val="0"/>
        <w:spacing w:line="360" w:lineRule="auto"/>
        <w:rPr>
          <w:lang w:eastAsia="en-US"/>
        </w:rPr>
      </w:pPr>
      <w:r>
        <w:rPr>
          <w:rFonts w:hint="eastAsia"/>
          <w:lang w:val="en-US" w:eastAsia="zh-CN"/>
        </w:rPr>
        <w:t>7.4</w:t>
      </w:r>
      <w:r>
        <w:rPr>
          <w:rFonts w:hint="eastAsia"/>
        </w:rPr>
        <w:t xml:space="preserve">.1 </w:t>
      </w:r>
      <w:r>
        <w:rPr>
          <w:rFonts w:hint="eastAsia"/>
          <w:lang w:eastAsia="en-US"/>
        </w:rPr>
        <w:t>安装结束后，中标人负责对所有</w:t>
      </w:r>
      <w:r>
        <w:rPr>
          <w:rFonts w:hint="eastAsia"/>
        </w:rPr>
        <w:t>安装、</w:t>
      </w:r>
      <w:r>
        <w:rPr>
          <w:rFonts w:hint="eastAsia"/>
          <w:lang w:eastAsia="en-US"/>
        </w:rPr>
        <w:t>布线、设备等进行全面的检查与测试，然后完成系统的局部及整体的调试工作。</w:t>
      </w:r>
    </w:p>
    <w:p>
      <w:pPr>
        <w:pStyle w:val="6"/>
        <w:autoSpaceDE w:val="0"/>
        <w:autoSpaceDN w:val="0"/>
        <w:spacing w:line="360" w:lineRule="auto"/>
      </w:pPr>
      <w:r>
        <w:rPr>
          <w:rFonts w:hint="eastAsia"/>
          <w:lang w:val="en-US" w:eastAsia="zh-CN"/>
        </w:rPr>
        <w:t>7.4</w:t>
      </w:r>
      <w:r>
        <w:rPr>
          <w:rFonts w:hint="eastAsia"/>
        </w:rPr>
        <w:t xml:space="preserve">.2 </w:t>
      </w:r>
      <w:r>
        <w:rPr>
          <w:rFonts w:hint="eastAsia"/>
          <w:lang w:eastAsia="en-US"/>
        </w:rPr>
        <w:t>中标人必须承担所有测试的记录工作，并分</w:t>
      </w:r>
      <w:r>
        <w:rPr>
          <w:rFonts w:hint="eastAsia"/>
        </w:rPr>
        <w:t>别</w:t>
      </w:r>
      <w:r>
        <w:rPr>
          <w:rFonts w:hint="eastAsia"/>
          <w:lang w:eastAsia="en-US"/>
        </w:rPr>
        <w:t>以书面和电子文件的形式向</w:t>
      </w:r>
      <w:r>
        <w:rPr>
          <w:rFonts w:hint="eastAsia"/>
        </w:rPr>
        <w:t>招标人</w:t>
      </w:r>
      <w:r>
        <w:rPr>
          <w:rFonts w:hint="eastAsia"/>
          <w:lang w:eastAsia="en-US"/>
        </w:rPr>
        <w:t>提交测试报告。中标人提交的测试报告必须签署并</w:t>
      </w:r>
      <w:r>
        <w:rPr>
          <w:rFonts w:hint="eastAsia"/>
        </w:rPr>
        <w:t>加</w:t>
      </w:r>
      <w:r>
        <w:rPr>
          <w:rFonts w:hint="eastAsia"/>
          <w:lang w:eastAsia="en-US"/>
        </w:rPr>
        <w:t>盖</w:t>
      </w:r>
      <w:r>
        <w:rPr>
          <w:rFonts w:hint="eastAsia"/>
        </w:rPr>
        <w:t>单位</w:t>
      </w:r>
      <w:r>
        <w:rPr>
          <w:rFonts w:hint="eastAsia"/>
          <w:lang w:eastAsia="en-US"/>
        </w:rPr>
        <w:t>章。</w:t>
      </w:r>
    </w:p>
    <w:p>
      <w:pPr>
        <w:pStyle w:val="6"/>
        <w:autoSpaceDE w:val="0"/>
        <w:autoSpaceDN w:val="0"/>
        <w:spacing w:line="360" w:lineRule="auto"/>
        <w:rPr>
          <w:lang w:eastAsia="en-US"/>
        </w:rPr>
      </w:pPr>
      <w:r>
        <w:rPr>
          <w:rFonts w:hint="eastAsia"/>
          <w:lang w:val="en-US" w:eastAsia="zh-CN"/>
        </w:rPr>
        <w:t>7.4</w:t>
      </w:r>
      <w:r>
        <w:rPr>
          <w:rFonts w:hint="eastAsia"/>
        </w:rPr>
        <w:t xml:space="preserve">.3 </w:t>
      </w:r>
      <w:r>
        <w:rPr>
          <w:rFonts w:hint="eastAsia"/>
          <w:lang w:eastAsia="en-US"/>
        </w:rPr>
        <w:t>中标人必须修复在测试中发现的故障或缺陷，并承担修复故障或缺陷所发生的费用。</w:t>
      </w:r>
      <w:r>
        <w:rPr>
          <w:rFonts w:hint="eastAsia"/>
        </w:rPr>
        <w:t>招标人</w:t>
      </w:r>
      <w:r>
        <w:rPr>
          <w:rFonts w:hint="eastAsia"/>
          <w:lang w:eastAsia="en-US"/>
        </w:rPr>
        <w:t>有权追究中标人由于修复故障或缺陷造成工期延误而产生的损失。</w:t>
      </w:r>
    </w:p>
    <w:p>
      <w:pPr>
        <w:pStyle w:val="6"/>
        <w:autoSpaceDE w:val="0"/>
        <w:autoSpaceDN w:val="0"/>
        <w:spacing w:line="360" w:lineRule="auto"/>
      </w:pPr>
      <w:r>
        <w:rPr>
          <w:rFonts w:hint="eastAsia"/>
          <w:lang w:val="en-US" w:eastAsia="zh-CN"/>
        </w:rPr>
        <w:t>7.5</w:t>
      </w:r>
      <w:r>
        <w:rPr>
          <w:rFonts w:hint="eastAsia"/>
        </w:rPr>
        <w:t>.4 招标人</w:t>
      </w:r>
      <w:r>
        <w:rPr>
          <w:rFonts w:hint="eastAsia"/>
          <w:lang w:eastAsia="en-US"/>
        </w:rPr>
        <w:t>有权采用中标人同意的测试方法及仪器，对中标人提供的测试报告进行抽样复查，如果发现抽样复查结果与中标人提供的测试报告有不一致，</w:t>
      </w:r>
      <w:r>
        <w:rPr>
          <w:rFonts w:hint="eastAsia"/>
        </w:rPr>
        <w:t>招标人</w:t>
      </w:r>
      <w:r>
        <w:rPr>
          <w:rFonts w:hint="eastAsia"/>
          <w:lang w:eastAsia="en-US"/>
        </w:rPr>
        <w:t>有权对中标人提供的测试报告质疑，并要求中标人重新进行全面测试，由此造成的费用及工期延误损失由中标人负责。</w:t>
      </w:r>
    </w:p>
    <w:p>
      <w:pPr>
        <w:pStyle w:val="6"/>
        <w:autoSpaceDE w:val="0"/>
        <w:autoSpaceDN w:val="0"/>
        <w:spacing w:line="360" w:lineRule="auto"/>
        <w:outlineLvl w:val="1"/>
      </w:pPr>
      <w:bookmarkStart w:id="8" w:name="_Toc2868"/>
      <w:r>
        <w:rPr>
          <w:rFonts w:hint="eastAsia"/>
          <w:b/>
          <w:bCs/>
          <w:lang w:val="en-US" w:eastAsia="zh-CN"/>
        </w:rPr>
        <w:t>7</w:t>
      </w:r>
      <w:r>
        <w:rPr>
          <w:rFonts w:hint="eastAsia"/>
          <w:b/>
          <w:bCs/>
        </w:rPr>
        <w:t>.6 竣工验收</w:t>
      </w:r>
      <w:bookmarkEnd w:id="8"/>
    </w:p>
    <w:p>
      <w:pPr>
        <w:pStyle w:val="6"/>
        <w:autoSpaceDE w:val="0"/>
        <w:autoSpaceDN w:val="0"/>
        <w:spacing w:line="360" w:lineRule="auto"/>
      </w:pPr>
      <w:r>
        <w:rPr>
          <w:rFonts w:hint="eastAsia"/>
          <w:lang w:val="en-US" w:eastAsia="zh-CN"/>
        </w:rPr>
        <w:t>7</w:t>
      </w:r>
      <w:r>
        <w:rPr>
          <w:rFonts w:hint="eastAsia"/>
        </w:rPr>
        <w:t>.6.1 竣工验收的条件：</w:t>
      </w:r>
    </w:p>
    <w:p>
      <w:pPr>
        <w:pStyle w:val="6"/>
        <w:autoSpaceDE w:val="0"/>
        <w:autoSpaceDN w:val="0"/>
        <w:spacing w:line="360" w:lineRule="auto"/>
        <w:ind w:firstLine="480" w:firstLineChars="200"/>
      </w:pPr>
      <w:r>
        <w:rPr>
          <w:rFonts w:hint="eastAsia"/>
        </w:rPr>
        <w:t>1）中标人按照施工方案和合同约定完成所有施工工作，并经过中标人自检及预验收。</w:t>
      </w:r>
    </w:p>
    <w:p>
      <w:pPr>
        <w:pStyle w:val="6"/>
        <w:autoSpaceDE w:val="0"/>
        <w:autoSpaceDN w:val="0"/>
        <w:spacing w:line="360" w:lineRule="auto"/>
        <w:ind w:firstLine="480" w:firstLineChars="200"/>
      </w:pPr>
      <w:r>
        <w:rPr>
          <w:rFonts w:hint="eastAsia"/>
        </w:rPr>
        <w:t>2）所有资料准备齐全，包括验收报告、试验记录、批复文件等。</w:t>
      </w:r>
    </w:p>
    <w:p>
      <w:pPr>
        <w:pStyle w:val="6"/>
        <w:autoSpaceDE w:val="0"/>
        <w:autoSpaceDN w:val="0"/>
        <w:spacing w:line="360" w:lineRule="auto"/>
        <w:ind w:firstLine="480"/>
      </w:pPr>
      <w:r>
        <w:rPr>
          <w:rFonts w:hint="eastAsia"/>
        </w:rPr>
        <w:t>3）中标人符合政府或有关管理机构规定的其他任何竣工条件。</w:t>
      </w:r>
    </w:p>
    <w:p>
      <w:pPr>
        <w:pStyle w:val="6"/>
        <w:autoSpaceDE w:val="0"/>
        <w:autoSpaceDN w:val="0"/>
        <w:spacing w:line="360" w:lineRule="auto"/>
        <w:outlineLvl w:val="1"/>
      </w:pPr>
      <w:bookmarkStart w:id="9" w:name="_Toc10256"/>
      <w:r>
        <w:rPr>
          <w:rFonts w:hint="eastAsia"/>
          <w:b/>
          <w:bCs/>
          <w:lang w:val="en-US" w:eastAsia="zh-CN"/>
        </w:rPr>
        <w:t>7</w:t>
      </w:r>
      <w:r>
        <w:rPr>
          <w:rFonts w:hint="eastAsia"/>
          <w:b/>
          <w:bCs/>
        </w:rPr>
        <w:t>.</w:t>
      </w:r>
      <w:r>
        <w:rPr>
          <w:rFonts w:hint="eastAsia"/>
          <w:b/>
          <w:bCs/>
          <w:lang w:val="en-US" w:eastAsia="zh-CN"/>
        </w:rPr>
        <w:t>7</w:t>
      </w:r>
      <w:r>
        <w:rPr>
          <w:rFonts w:hint="eastAsia"/>
          <w:b/>
          <w:bCs/>
        </w:rPr>
        <w:t xml:space="preserve"> 技术及保修服务</w:t>
      </w:r>
      <w:bookmarkEnd w:id="9"/>
    </w:p>
    <w:p>
      <w:pPr>
        <w:autoSpaceDE w:val="0"/>
        <w:autoSpaceDN w:val="0"/>
        <w:spacing w:line="360" w:lineRule="auto"/>
        <w:rPr>
          <w:rFonts w:hAnsi="宋体"/>
          <w:sz w:val="24"/>
          <w:szCs w:val="24"/>
        </w:rPr>
      </w:pPr>
      <w:r>
        <w:rPr>
          <w:rFonts w:hint="eastAsia"/>
          <w:sz w:val="24"/>
          <w:szCs w:val="24"/>
          <w:lang w:val="en-US" w:eastAsia="zh-CN"/>
        </w:rPr>
        <w:t>7.7</w:t>
      </w:r>
      <w:r>
        <w:rPr>
          <w:rFonts w:hint="eastAsia"/>
          <w:sz w:val="24"/>
          <w:szCs w:val="24"/>
        </w:rPr>
        <w:t>.1 中标人</w:t>
      </w:r>
      <w:r>
        <w:rPr>
          <w:rFonts w:hint="eastAsia" w:hAnsi="宋体"/>
          <w:sz w:val="24"/>
          <w:szCs w:val="24"/>
        </w:rPr>
        <w:t>应采取可行的</w:t>
      </w:r>
      <w:r>
        <w:rPr>
          <w:rFonts w:hint="eastAsia"/>
          <w:sz w:val="24"/>
          <w:szCs w:val="24"/>
        </w:rPr>
        <w:t>施工</w:t>
      </w:r>
      <w:r>
        <w:rPr>
          <w:rFonts w:hint="eastAsia" w:hAnsi="宋体"/>
          <w:sz w:val="24"/>
          <w:szCs w:val="24"/>
        </w:rPr>
        <w:t>组织及技术服务保障措施，保证与</w:t>
      </w:r>
      <w:r>
        <w:rPr>
          <w:rFonts w:hint="eastAsia"/>
          <w:sz w:val="24"/>
          <w:szCs w:val="24"/>
        </w:rPr>
        <w:t>招标人</w:t>
      </w:r>
      <w:r>
        <w:rPr>
          <w:rFonts w:hint="eastAsia" w:hAnsi="宋体"/>
          <w:sz w:val="24"/>
          <w:szCs w:val="24"/>
        </w:rPr>
        <w:t>进行有效沟通，确保项目的顺利进行和圆满完成。</w:t>
      </w:r>
    </w:p>
    <w:p>
      <w:pPr>
        <w:autoSpaceDE w:val="0"/>
        <w:autoSpaceDN w:val="0"/>
        <w:spacing w:line="360" w:lineRule="auto"/>
        <w:rPr>
          <w:rFonts w:asciiTheme="minorEastAsia" w:hAnsiTheme="minorEastAsia"/>
          <w:sz w:val="24"/>
          <w:szCs w:val="24"/>
        </w:rPr>
      </w:pPr>
      <w:r>
        <w:rPr>
          <w:rFonts w:hint="eastAsia"/>
          <w:sz w:val="24"/>
          <w:szCs w:val="24"/>
          <w:lang w:val="en-US" w:eastAsia="zh-CN"/>
        </w:rPr>
        <w:t>7.7</w:t>
      </w:r>
      <w:r>
        <w:rPr>
          <w:rFonts w:hint="eastAsia"/>
          <w:sz w:val="24"/>
          <w:szCs w:val="24"/>
        </w:rPr>
        <w:t>.2 中标人应对本项目提供为期二年的</w:t>
      </w:r>
      <w:r>
        <w:rPr>
          <w:rFonts w:hint="eastAsia"/>
          <w:sz w:val="24"/>
          <w:szCs w:val="24"/>
          <w:lang w:eastAsia="zh-CN"/>
        </w:rPr>
        <w:t>安装</w:t>
      </w:r>
      <w:r>
        <w:rPr>
          <w:rFonts w:hint="eastAsia"/>
          <w:sz w:val="24"/>
          <w:szCs w:val="24"/>
        </w:rPr>
        <w:t>质量保证期，质量保证期内凡属于非招标人或第三方人为责任导致的缺陷或异常，中标人应无条件提供免费修复（原则上紧急缺陷7天内完成修复，一般缺陷15日内完成修复，异常一个月内完成修复）。</w:t>
      </w:r>
      <w:bookmarkStart w:id="10" w:name="_bookmark18"/>
      <w:bookmarkEnd w:id="1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661E3"/>
    <w:multiLevelType w:val="multilevel"/>
    <w:tmpl w:val="020661E3"/>
    <w:lvl w:ilvl="0" w:tentative="0">
      <w:start w:val="1"/>
      <w:numFmt w:val="decimal"/>
      <w:lvlText w:val="%1."/>
      <w:lvlJc w:val="left"/>
      <w:pPr>
        <w:ind w:left="420" w:hanging="420"/>
      </w:pPr>
    </w:lvl>
    <w:lvl w:ilvl="1" w:tentative="0">
      <w:start w:val="1"/>
      <w:numFmt w:val="decimal"/>
      <w:isLgl/>
      <w:lvlText w:val="%1.%2"/>
      <w:lvlJc w:val="left"/>
      <w:pPr>
        <w:ind w:left="375" w:hanging="375"/>
      </w:pPr>
      <w:rPr>
        <w:rFonts w:hint="default"/>
      </w:rPr>
    </w:lvl>
    <w:lvl w:ilvl="2" w:tentative="0">
      <w:start w:val="1"/>
      <w:numFmt w:val="decimal"/>
      <w:pStyle w:val="20"/>
      <w:isLgl/>
      <w:lvlText w:val="%1.%2.%3"/>
      <w:lvlJc w:val="left"/>
      <w:pPr>
        <w:ind w:left="720" w:hanging="720"/>
      </w:pPr>
      <w:rPr>
        <w:rFonts w:hint="default"/>
      </w:rPr>
    </w:lvl>
    <w:lvl w:ilvl="3" w:tentative="0">
      <w:start w:val="1"/>
      <w:numFmt w:val="decimal"/>
      <w:pStyle w:val="19"/>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1">
    <w:nsid w:val="04EE028F"/>
    <w:multiLevelType w:val="singleLevel"/>
    <w:tmpl w:val="04EE028F"/>
    <w:lvl w:ilvl="0" w:tentative="0">
      <w:start w:val="1"/>
      <w:numFmt w:val="decimal"/>
      <w:suff w:val="nothing"/>
      <w:lvlText w:val="%1、"/>
      <w:lvlJc w:val="left"/>
    </w:lvl>
  </w:abstractNum>
  <w:abstractNum w:abstractNumId="2">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3">
    <w:nsid w:val="24F21445"/>
    <w:multiLevelType w:val="multilevel"/>
    <w:tmpl w:val="24F21445"/>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509C492B"/>
    <w:multiLevelType w:val="singleLevel"/>
    <w:tmpl w:val="509C492B"/>
    <w:lvl w:ilvl="0" w:tentative="0">
      <w:start w:val="1"/>
      <w:numFmt w:val="decimal"/>
      <w:suff w:val="nothing"/>
      <w:lvlText w:val="（%1）"/>
      <w:lvlJc w:val="left"/>
    </w:lvl>
  </w:abstractNum>
  <w:abstractNum w:abstractNumId="5">
    <w:nsid w:val="6C746E51"/>
    <w:multiLevelType w:val="multilevel"/>
    <w:tmpl w:val="6C746E51"/>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rPr>
        <w:rFonts w:hint="default" w:ascii="Times New Roman" w:hAnsi="Times New Roman" w:cs="Times New Roman"/>
        <w:sz w:val="28"/>
        <w:szCs w:val="28"/>
      </w:r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5"/>
  </w:num>
  <w:num w:numId="2">
    <w:abstractNumId w:val="0"/>
  </w:num>
  <w:num w:numId="3">
    <w:abstractNumId w:val="3"/>
  </w:num>
  <w:num w:numId="4">
    <w:abstractNumId w:val="2"/>
    <w:lvlOverride w:ilvl="2">
      <w:startOverride w:val="1"/>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858"/>
    <w:rsid w:val="00063743"/>
    <w:rsid w:val="00216484"/>
    <w:rsid w:val="00236BD9"/>
    <w:rsid w:val="002435B9"/>
    <w:rsid w:val="00296165"/>
    <w:rsid w:val="002D7252"/>
    <w:rsid w:val="00344356"/>
    <w:rsid w:val="00363296"/>
    <w:rsid w:val="00382C95"/>
    <w:rsid w:val="00390863"/>
    <w:rsid w:val="003B6329"/>
    <w:rsid w:val="004015F1"/>
    <w:rsid w:val="00407A95"/>
    <w:rsid w:val="00446AFA"/>
    <w:rsid w:val="004A2CC8"/>
    <w:rsid w:val="004A6891"/>
    <w:rsid w:val="004B7B34"/>
    <w:rsid w:val="004C6159"/>
    <w:rsid w:val="00545DDC"/>
    <w:rsid w:val="005D0AB0"/>
    <w:rsid w:val="005F11AF"/>
    <w:rsid w:val="00685E06"/>
    <w:rsid w:val="006956ED"/>
    <w:rsid w:val="007561E8"/>
    <w:rsid w:val="007B3B5C"/>
    <w:rsid w:val="007E4512"/>
    <w:rsid w:val="00810622"/>
    <w:rsid w:val="0086020D"/>
    <w:rsid w:val="00872FBA"/>
    <w:rsid w:val="00883950"/>
    <w:rsid w:val="008C0AAD"/>
    <w:rsid w:val="008E03BF"/>
    <w:rsid w:val="0092573C"/>
    <w:rsid w:val="00935AC7"/>
    <w:rsid w:val="00944BEB"/>
    <w:rsid w:val="00960858"/>
    <w:rsid w:val="009B37E7"/>
    <w:rsid w:val="00A86892"/>
    <w:rsid w:val="00AA361F"/>
    <w:rsid w:val="00AA465B"/>
    <w:rsid w:val="00AA5F68"/>
    <w:rsid w:val="00B5100F"/>
    <w:rsid w:val="00B73B24"/>
    <w:rsid w:val="00BB5FB3"/>
    <w:rsid w:val="00BD5244"/>
    <w:rsid w:val="00C25621"/>
    <w:rsid w:val="00C25937"/>
    <w:rsid w:val="00C6303E"/>
    <w:rsid w:val="00D67F73"/>
    <w:rsid w:val="00D93081"/>
    <w:rsid w:val="00EA47B5"/>
    <w:rsid w:val="00EC7306"/>
    <w:rsid w:val="00ED1399"/>
    <w:rsid w:val="00FB1C9D"/>
    <w:rsid w:val="020A3944"/>
    <w:rsid w:val="02CB5962"/>
    <w:rsid w:val="03C5248D"/>
    <w:rsid w:val="03E6403C"/>
    <w:rsid w:val="04482921"/>
    <w:rsid w:val="061823E1"/>
    <w:rsid w:val="06FA2B70"/>
    <w:rsid w:val="074441C3"/>
    <w:rsid w:val="07DB08A3"/>
    <w:rsid w:val="085B5A3D"/>
    <w:rsid w:val="087C2380"/>
    <w:rsid w:val="09106241"/>
    <w:rsid w:val="095264E2"/>
    <w:rsid w:val="096C71A8"/>
    <w:rsid w:val="09757068"/>
    <w:rsid w:val="0995039B"/>
    <w:rsid w:val="0BE84EE9"/>
    <w:rsid w:val="0C3340AD"/>
    <w:rsid w:val="0C394434"/>
    <w:rsid w:val="0C797EE3"/>
    <w:rsid w:val="0DBF35B1"/>
    <w:rsid w:val="0F17420B"/>
    <w:rsid w:val="0F367E36"/>
    <w:rsid w:val="0FFE478E"/>
    <w:rsid w:val="11A80BF2"/>
    <w:rsid w:val="11DF4CA6"/>
    <w:rsid w:val="11E75C1A"/>
    <w:rsid w:val="130F571A"/>
    <w:rsid w:val="149C38DF"/>
    <w:rsid w:val="15030414"/>
    <w:rsid w:val="15FA2D82"/>
    <w:rsid w:val="16794C9A"/>
    <w:rsid w:val="170B2846"/>
    <w:rsid w:val="172637E2"/>
    <w:rsid w:val="19C3683C"/>
    <w:rsid w:val="1B496533"/>
    <w:rsid w:val="1B4E1F0A"/>
    <w:rsid w:val="1BC20750"/>
    <w:rsid w:val="1C45626D"/>
    <w:rsid w:val="1C603E34"/>
    <w:rsid w:val="1D134DFD"/>
    <w:rsid w:val="1D771891"/>
    <w:rsid w:val="1F107EB2"/>
    <w:rsid w:val="1FB33E5F"/>
    <w:rsid w:val="1FD554D6"/>
    <w:rsid w:val="21B77C01"/>
    <w:rsid w:val="22D000E4"/>
    <w:rsid w:val="23557D5F"/>
    <w:rsid w:val="26875F2A"/>
    <w:rsid w:val="27CE4CD6"/>
    <w:rsid w:val="29520641"/>
    <w:rsid w:val="29675BA0"/>
    <w:rsid w:val="2A746170"/>
    <w:rsid w:val="2A973C28"/>
    <w:rsid w:val="2AD663C8"/>
    <w:rsid w:val="2B7D14F5"/>
    <w:rsid w:val="2BB26BDA"/>
    <w:rsid w:val="2C4555B0"/>
    <w:rsid w:val="2CD9330E"/>
    <w:rsid w:val="2D276DF4"/>
    <w:rsid w:val="2E260369"/>
    <w:rsid w:val="2EA6655F"/>
    <w:rsid w:val="2F574FE7"/>
    <w:rsid w:val="2F5A3171"/>
    <w:rsid w:val="31B85AF3"/>
    <w:rsid w:val="31F67BFF"/>
    <w:rsid w:val="326251C0"/>
    <w:rsid w:val="3296385E"/>
    <w:rsid w:val="33427A3A"/>
    <w:rsid w:val="33B74F96"/>
    <w:rsid w:val="34940142"/>
    <w:rsid w:val="34AA13D4"/>
    <w:rsid w:val="34C5580E"/>
    <w:rsid w:val="36667607"/>
    <w:rsid w:val="369B7D23"/>
    <w:rsid w:val="36CA7F65"/>
    <w:rsid w:val="37B5325B"/>
    <w:rsid w:val="37DB2CF5"/>
    <w:rsid w:val="386110FD"/>
    <w:rsid w:val="38977040"/>
    <w:rsid w:val="397D6ABE"/>
    <w:rsid w:val="398F5B14"/>
    <w:rsid w:val="39FA366B"/>
    <w:rsid w:val="3AD14A79"/>
    <w:rsid w:val="3DDC6C51"/>
    <w:rsid w:val="3E0D5C33"/>
    <w:rsid w:val="3FCC3B0E"/>
    <w:rsid w:val="400F3C63"/>
    <w:rsid w:val="40830AAD"/>
    <w:rsid w:val="421D1EEE"/>
    <w:rsid w:val="4263151C"/>
    <w:rsid w:val="434A0289"/>
    <w:rsid w:val="43A746F5"/>
    <w:rsid w:val="454A5047"/>
    <w:rsid w:val="467B3510"/>
    <w:rsid w:val="46CF7A2B"/>
    <w:rsid w:val="48FF69D4"/>
    <w:rsid w:val="495751C5"/>
    <w:rsid w:val="4AF2622F"/>
    <w:rsid w:val="4C3F6C40"/>
    <w:rsid w:val="4D094060"/>
    <w:rsid w:val="4F24633C"/>
    <w:rsid w:val="502E4614"/>
    <w:rsid w:val="50B61A25"/>
    <w:rsid w:val="50CA2BBB"/>
    <w:rsid w:val="5157371E"/>
    <w:rsid w:val="51815408"/>
    <w:rsid w:val="52505D25"/>
    <w:rsid w:val="52627A5E"/>
    <w:rsid w:val="534B7E1C"/>
    <w:rsid w:val="55230DC9"/>
    <w:rsid w:val="55445D40"/>
    <w:rsid w:val="56AB31B8"/>
    <w:rsid w:val="580D6DE8"/>
    <w:rsid w:val="5817461E"/>
    <w:rsid w:val="58957F10"/>
    <w:rsid w:val="58A21BAC"/>
    <w:rsid w:val="59626ED7"/>
    <w:rsid w:val="5A1F1FF3"/>
    <w:rsid w:val="5A2E6DD6"/>
    <w:rsid w:val="5A6610BD"/>
    <w:rsid w:val="5A9A4028"/>
    <w:rsid w:val="5AE21126"/>
    <w:rsid w:val="5E1E6390"/>
    <w:rsid w:val="5F1977C9"/>
    <w:rsid w:val="5F521500"/>
    <w:rsid w:val="5FCC6348"/>
    <w:rsid w:val="60870332"/>
    <w:rsid w:val="608C0592"/>
    <w:rsid w:val="620923E1"/>
    <w:rsid w:val="62CB2465"/>
    <w:rsid w:val="63252C59"/>
    <w:rsid w:val="638F69F4"/>
    <w:rsid w:val="66024216"/>
    <w:rsid w:val="66B952D2"/>
    <w:rsid w:val="66DE235D"/>
    <w:rsid w:val="671561F4"/>
    <w:rsid w:val="67C84A62"/>
    <w:rsid w:val="68383DE5"/>
    <w:rsid w:val="686734EA"/>
    <w:rsid w:val="68C902FF"/>
    <w:rsid w:val="694D37AA"/>
    <w:rsid w:val="69791803"/>
    <w:rsid w:val="69CB7928"/>
    <w:rsid w:val="69FE18D0"/>
    <w:rsid w:val="6B3E372B"/>
    <w:rsid w:val="6C481A4B"/>
    <w:rsid w:val="6CBE407E"/>
    <w:rsid w:val="6CC439DD"/>
    <w:rsid w:val="6D1C7F0C"/>
    <w:rsid w:val="6F523B6A"/>
    <w:rsid w:val="6FB25499"/>
    <w:rsid w:val="719B5B88"/>
    <w:rsid w:val="73241C92"/>
    <w:rsid w:val="74105697"/>
    <w:rsid w:val="746F5176"/>
    <w:rsid w:val="75037939"/>
    <w:rsid w:val="75414A59"/>
    <w:rsid w:val="75DD5577"/>
    <w:rsid w:val="75EB6D65"/>
    <w:rsid w:val="76E50B96"/>
    <w:rsid w:val="771E2D22"/>
    <w:rsid w:val="77AB28FA"/>
    <w:rsid w:val="79451F3A"/>
    <w:rsid w:val="79597D51"/>
    <w:rsid w:val="79E00382"/>
    <w:rsid w:val="7A496689"/>
    <w:rsid w:val="7BF0061E"/>
    <w:rsid w:val="7D0867E1"/>
    <w:rsid w:val="7D855287"/>
    <w:rsid w:val="7DEF1EC9"/>
    <w:rsid w:val="7E5078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0"/>
    <w:pPr>
      <w:keepNext/>
      <w:keepLines/>
      <w:numPr>
        <w:ilvl w:val="0"/>
        <w:numId w:val="1"/>
      </w:numPr>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4"/>
      <w:szCs w:val="24"/>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1">
    <w:name w:val="FollowedHyperlink"/>
    <w:basedOn w:val="10"/>
    <w:semiHidden/>
    <w:unhideWhenUsed/>
    <w:qFormat/>
    <w:uiPriority w:val="99"/>
    <w:rPr>
      <w:color w:val="800080"/>
      <w:u w:val="single"/>
    </w:rPr>
  </w:style>
  <w:style w:type="character" w:styleId="12">
    <w:name w:val="Hyperlink"/>
    <w:basedOn w:val="10"/>
    <w:semiHidden/>
    <w:unhideWhenUsed/>
    <w:qFormat/>
    <w:uiPriority w:val="99"/>
    <w:rPr>
      <w:color w:val="0000FF"/>
      <w:u w:val="single"/>
    </w:rPr>
  </w:style>
  <w:style w:type="character" w:customStyle="1" w:styleId="13">
    <w:name w:val="页眉 Char"/>
    <w:basedOn w:val="10"/>
    <w:link w:val="8"/>
    <w:qFormat/>
    <w:uiPriority w:val="99"/>
    <w:rPr>
      <w:sz w:val="18"/>
      <w:szCs w:val="18"/>
    </w:rPr>
  </w:style>
  <w:style w:type="character" w:customStyle="1" w:styleId="14">
    <w:name w:val="页脚 Char"/>
    <w:basedOn w:val="10"/>
    <w:link w:val="7"/>
    <w:qFormat/>
    <w:uiPriority w:val="99"/>
    <w:rPr>
      <w:sz w:val="18"/>
      <w:szCs w:val="18"/>
    </w:rPr>
  </w:style>
  <w:style w:type="paragraph" w:customStyle="1" w:styleId="15">
    <w:name w:val="封面一级标题文字"/>
    <w:basedOn w:val="1"/>
    <w:link w:val="72"/>
    <w:semiHidden/>
    <w:qFormat/>
    <w:uiPriority w:val="0"/>
    <w:pPr>
      <w:spacing w:line="640" w:lineRule="exact"/>
      <w:jc w:val="center"/>
    </w:pPr>
    <w:rPr>
      <w:rFonts w:ascii="黑体" w:hAnsi="黑体" w:eastAsia="黑体" w:cs="Times New Roman"/>
      <w:b/>
      <w:bCs/>
      <w:sz w:val="52"/>
      <w:szCs w:val="24"/>
    </w:rPr>
  </w:style>
  <w:style w:type="paragraph" w:styleId="16">
    <w:name w:val="List Paragraph"/>
    <w:basedOn w:val="1"/>
    <w:qFormat/>
    <w:uiPriority w:val="0"/>
    <w:pPr>
      <w:ind w:firstLine="420" w:firstLineChars="200"/>
    </w:pPr>
  </w:style>
  <w:style w:type="character" w:customStyle="1" w:styleId="17">
    <w:name w:val="标题 1 Char"/>
    <w:basedOn w:val="10"/>
    <w:link w:val="2"/>
    <w:qFormat/>
    <w:uiPriority w:val="0"/>
    <w:rPr>
      <w:rFonts w:ascii="Times New Roman" w:hAnsi="Times New Roman" w:eastAsia="宋体" w:cs="Times New Roman"/>
      <w:b/>
      <w:bCs/>
      <w:kern w:val="44"/>
      <w:sz w:val="44"/>
      <w:szCs w:val="44"/>
    </w:rPr>
  </w:style>
  <w:style w:type="character" w:customStyle="1" w:styleId="18">
    <w:name w:val="样式2 Char"/>
    <w:link w:val="19"/>
    <w:qFormat/>
    <w:uiPriority w:val="0"/>
    <w:rPr>
      <w:rFonts w:ascii="宋体"/>
      <w:sz w:val="24"/>
      <w:szCs w:val="24"/>
    </w:rPr>
  </w:style>
  <w:style w:type="paragraph" w:customStyle="1" w:styleId="19">
    <w:name w:val="样式2"/>
    <w:basedOn w:val="1"/>
    <w:link w:val="18"/>
    <w:qFormat/>
    <w:uiPriority w:val="0"/>
    <w:pPr>
      <w:numPr>
        <w:ilvl w:val="3"/>
        <w:numId w:val="2"/>
      </w:numPr>
      <w:spacing w:line="360" w:lineRule="auto"/>
    </w:pPr>
    <w:rPr>
      <w:rFonts w:ascii="宋体"/>
      <w:sz w:val="24"/>
      <w:szCs w:val="24"/>
    </w:rPr>
  </w:style>
  <w:style w:type="paragraph" w:customStyle="1" w:styleId="20">
    <w:name w:val="样式1"/>
    <w:basedOn w:val="1"/>
    <w:link w:val="69"/>
    <w:qFormat/>
    <w:uiPriority w:val="0"/>
    <w:pPr>
      <w:numPr>
        <w:ilvl w:val="2"/>
        <w:numId w:val="2"/>
      </w:numPr>
      <w:spacing w:line="360" w:lineRule="auto"/>
    </w:pPr>
    <w:rPr>
      <w:rFonts w:ascii="宋体" w:hAnsi="Times New Roman" w:eastAsia="宋体" w:cs="Times New Roman"/>
      <w:sz w:val="24"/>
      <w:szCs w:val="24"/>
    </w:rPr>
  </w:style>
  <w:style w:type="character" w:customStyle="1" w:styleId="21">
    <w:name w:val="标题 2 Char"/>
    <w:basedOn w:val="10"/>
    <w:link w:val="3"/>
    <w:semiHidden/>
    <w:qFormat/>
    <w:uiPriority w:val="9"/>
    <w:rPr>
      <w:rFonts w:asciiTheme="majorHAnsi" w:hAnsiTheme="majorHAnsi" w:eastAsiaTheme="majorEastAsia" w:cstheme="majorBidi"/>
      <w:b/>
      <w:bCs/>
      <w:sz w:val="32"/>
      <w:szCs w:val="32"/>
    </w:rPr>
  </w:style>
  <w:style w:type="character" w:customStyle="1" w:styleId="22">
    <w:name w:val="标题 3 Char"/>
    <w:basedOn w:val="10"/>
    <w:link w:val="4"/>
    <w:semiHidden/>
    <w:qFormat/>
    <w:uiPriority w:val="9"/>
    <w:rPr>
      <w:b/>
      <w:bCs/>
      <w:sz w:val="32"/>
      <w:szCs w:val="32"/>
    </w:rPr>
  </w:style>
  <w:style w:type="character" w:customStyle="1" w:styleId="23">
    <w:name w:val="标题 4 Char"/>
    <w:basedOn w:val="10"/>
    <w:link w:val="5"/>
    <w:qFormat/>
    <w:uiPriority w:val="9"/>
    <w:rPr>
      <w:rFonts w:asciiTheme="majorHAnsi" w:hAnsiTheme="majorHAnsi" w:eastAsiaTheme="majorEastAsia" w:cstheme="majorBidi"/>
      <w:b/>
      <w:bCs/>
      <w:sz w:val="28"/>
      <w:szCs w:val="28"/>
    </w:rPr>
  </w:style>
  <w:style w:type="paragraph" w:customStyle="1" w:styleId="24">
    <w:name w:val="font5"/>
    <w:basedOn w:val="1"/>
    <w:link w:val="70"/>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25">
    <w:name w:val="font6"/>
    <w:basedOn w:val="1"/>
    <w:qFormat/>
    <w:uiPriority w:val="0"/>
    <w:pPr>
      <w:widowControl/>
      <w:spacing w:before="100" w:beforeAutospacing="1" w:after="100" w:afterAutospacing="1"/>
      <w:jc w:val="left"/>
    </w:pPr>
    <w:rPr>
      <w:rFonts w:ascii="等线" w:hAnsi="等线" w:eastAsia="等线" w:cs="宋体"/>
      <w:kern w:val="0"/>
      <w:sz w:val="20"/>
      <w:szCs w:val="20"/>
    </w:rPr>
  </w:style>
  <w:style w:type="paragraph" w:customStyle="1" w:styleId="26">
    <w:name w:val="font7"/>
    <w:basedOn w:val="1"/>
    <w:qFormat/>
    <w:uiPriority w:val="0"/>
    <w:pPr>
      <w:widowControl/>
      <w:spacing w:before="100" w:beforeAutospacing="1" w:after="100" w:afterAutospacing="1"/>
      <w:jc w:val="left"/>
    </w:pPr>
    <w:rPr>
      <w:rFonts w:ascii="宋体" w:hAnsi="宋体" w:eastAsia="宋体" w:cs="宋体"/>
      <w:b/>
      <w:bCs/>
      <w:kern w:val="0"/>
      <w:sz w:val="20"/>
      <w:szCs w:val="20"/>
    </w:rPr>
  </w:style>
  <w:style w:type="paragraph" w:customStyle="1" w:styleId="27">
    <w:name w:val="font8"/>
    <w:basedOn w:val="1"/>
    <w:link w:val="71"/>
    <w:qFormat/>
    <w:uiPriority w:val="0"/>
    <w:pPr>
      <w:widowControl/>
      <w:spacing w:before="100" w:beforeAutospacing="1" w:after="100" w:afterAutospacing="1"/>
      <w:jc w:val="left"/>
    </w:pPr>
    <w:rPr>
      <w:rFonts w:ascii="宋体" w:hAnsi="宋体" w:eastAsia="宋体" w:cs="宋体"/>
      <w:b/>
      <w:bCs/>
      <w:kern w:val="0"/>
      <w:sz w:val="18"/>
      <w:szCs w:val="18"/>
    </w:rPr>
  </w:style>
  <w:style w:type="paragraph" w:customStyle="1" w:styleId="28">
    <w:name w:val="font9"/>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9">
    <w:name w:val="font10"/>
    <w:basedOn w:val="1"/>
    <w:qFormat/>
    <w:uiPriority w:val="0"/>
    <w:pPr>
      <w:widowControl/>
      <w:spacing w:before="100" w:beforeAutospacing="1" w:after="100" w:afterAutospacing="1"/>
      <w:jc w:val="left"/>
    </w:pPr>
    <w:rPr>
      <w:rFonts w:ascii="宋体" w:hAnsi="宋体" w:eastAsia="宋体" w:cs="宋体"/>
      <w:kern w:val="0"/>
      <w:sz w:val="22"/>
    </w:rPr>
  </w:style>
  <w:style w:type="paragraph" w:customStyle="1" w:styleId="30">
    <w:name w:val="font11"/>
    <w:basedOn w:val="1"/>
    <w:qFormat/>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3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3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3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34">
    <w:name w:val="xl6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3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0"/>
      <w:szCs w:val="20"/>
    </w:rPr>
  </w:style>
  <w:style w:type="paragraph" w:customStyle="1" w:styleId="3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3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4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4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等线" w:hAnsi="等线" w:eastAsia="等线" w:cs="宋体"/>
      <w:kern w:val="0"/>
      <w:sz w:val="24"/>
      <w:szCs w:val="24"/>
    </w:rPr>
  </w:style>
  <w:style w:type="paragraph" w:customStyle="1" w:styleId="4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kern w:val="0"/>
      <w:sz w:val="24"/>
      <w:szCs w:val="24"/>
    </w:rPr>
  </w:style>
  <w:style w:type="paragraph" w:customStyle="1" w:styleId="43">
    <w:name w:val="xl7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4">
    <w:name w:val="xl7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5">
    <w:name w:val="xl80"/>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4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kern w:val="0"/>
      <w:sz w:val="20"/>
      <w:szCs w:val="20"/>
    </w:rPr>
  </w:style>
  <w:style w:type="paragraph" w:customStyle="1" w:styleId="4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kern w:val="0"/>
      <w:sz w:val="20"/>
      <w:szCs w:val="20"/>
    </w:rPr>
  </w:style>
  <w:style w:type="paragraph" w:customStyle="1" w:styleId="4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49">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5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5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5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5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eastAsia="宋体" w:cs="宋体"/>
      <w:kern w:val="0"/>
      <w:sz w:val="20"/>
      <w:szCs w:val="20"/>
    </w:rPr>
  </w:style>
  <w:style w:type="paragraph" w:customStyle="1" w:styleId="5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5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5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5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59">
    <w:name w:val="xl9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等线" w:hAnsi="等线" w:eastAsia="等线" w:cs="宋体"/>
      <w:kern w:val="0"/>
      <w:sz w:val="24"/>
      <w:szCs w:val="24"/>
    </w:rPr>
  </w:style>
  <w:style w:type="paragraph" w:customStyle="1" w:styleId="61">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Cs w:val="21"/>
    </w:rPr>
  </w:style>
  <w:style w:type="paragraph" w:customStyle="1" w:styleId="63">
    <w:name w:val="xl9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64">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6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66">
    <w:name w:val="xl10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等线" w:hAnsi="等线" w:eastAsia="等线" w:cs="宋体"/>
      <w:kern w:val="0"/>
      <w:sz w:val="24"/>
      <w:szCs w:val="24"/>
    </w:rPr>
  </w:style>
  <w:style w:type="paragraph" w:customStyle="1" w:styleId="6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等线" w:hAnsi="等线" w:eastAsia="等线" w:cs="宋体"/>
      <w:kern w:val="0"/>
      <w:sz w:val="24"/>
      <w:szCs w:val="24"/>
    </w:rPr>
  </w:style>
  <w:style w:type="paragraph" w:customStyle="1" w:styleId="68">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character" w:customStyle="1" w:styleId="69">
    <w:name w:val="样式1 Char"/>
    <w:link w:val="20"/>
    <w:qFormat/>
    <w:uiPriority w:val="0"/>
    <w:rPr>
      <w:rFonts w:ascii="宋体" w:hAnsi="Times New Roman" w:eastAsia="宋体" w:cs="Times New Roman"/>
      <w:sz w:val="24"/>
      <w:szCs w:val="24"/>
    </w:rPr>
  </w:style>
  <w:style w:type="character" w:customStyle="1" w:styleId="70">
    <w:name w:val="font5 Char"/>
    <w:link w:val="24"/>
    <w:qFormat/>
    <w:uiPriority w:val="0"/>
    <w:rPr>
      <w:rFonts w:ascii="宋体" w:hAnsi="宋体" w:eastAsia="宋体" w:cs="宋体"/>
      <w:kern w:val="0"/>
      <w:sz w:val="20"/>
      <w:szCs w:val="20"/>
    </w:rPr>
  </w:style>
  <w:style w:type="character" w:customStyle="1" w:styleId="71">
    <w:name w:val="font8 Char"/>
    <w:link w:val="27"/>
    <w:qFormat/>
    <w:uiPriority w:val="0"/>
    <w:rPr>
      <w:rFonts w:ascii="宋体" w:hAnsi="宋体" w:eastAsia="宋体" w:cs="宋体"/>
      <w:b/>
      <w:bCs/>
      <w:kern w:val="0"/>
      <w:sz w:val="18"/>
      <w:szCs w:val="18"/>
    </w:rPr>
  </w:style>
  <w:style w:type="character" w:customStyle="1" w:styleId="72">
    <w:name w:val="封面一级标题文字 Char"/>
    <w:link w:val="15"/>
    <w:qFormat/>
    <w:uiPriority w:val="0"/>
    <w:rPr>
      <w:rFonts w:ascii="黑体" w:hAnsi="黑体" w:eastAsia="黑体" w:cs="Times New Roman"/>
      <w:b/>
      <w:bCs/>
      <w:sz w:val="5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26637-F2FF-44DB-9E6F-9361AE85E47B}">
  <ds:schemaRefs/>
</ds:datastoreItem>
</file>

<file path=docProps/app.xml><?xml version="1.0" encoding="utf-8"?>
<Properties xmlns="http://schemas.openxmlformats.org/officeDocument/2006/extended-properties" xmlns:vt="http://schemas.openxmlformats.org/officeDocument/2006/docPropsVTypes">
  <Template>Normal.dotm</Template>
  <Pages>8</Pages>
  <Words>11288</Words>
  <Characters>2199</Characters>
  <Lines>18</Lines>
  <Paragraphs>26</Paragraphs>
  <TotalTime>1</TotalTime>
  <ScaleCrop>false</ScaleCrop>
  <LinksUpToDate>false</LinksUpToDate>
  <CharactersWithSpaces>13461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2021-04-29T08:13:00Z</dcterms:created>
  <dc:creator>Microsoft 帐户</dc:creator>
  <cp:lastModifiedBy>罗骏</cp:lastModifiedBy>
  <dcterms:modified xsi:type="dcterms:W3CDTF">2025-04-09T09:16:08Z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EA486B5412BB433CB95244158705F284</vt:lpwstr>
  </property>
</Properties>
</file>