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highlight w:val="none"/>
        </w:rPr>
      </w:pPr>
    </w:p>
    <w:p>
      <w:pPr>
        <w:spacing w:before="0" w:line="613" w:lineRule="exact"/>
        <w:ind w:left="7" w:right="0" w:firstLine="0"/>
        <w:jc w:val="center"/>
        <w:rPr>
          <w:rFonts w:ascii="华文中宋" w:hAnsi="华文中宋" w:eastAsia="华文中宋" w:cs="华文中宋"/>
          <w:b/>
          <w:bCs/>
          <w:spacing w:val="-2"/>
          <w:sz w:val="52"/>
          <w:szCs w:val="52"/>
          <w:highlight w:val="none"/>
        </w:rPr>
      </w:pPr>
    </w:p>
    <w:p>
      <w:pPr>
        <w:spacing w:before="0" w:line="613" w:lineRule="exact"/>
        <w:ind w:left="7" w:right="0" w:firstLine="0"/>
        <w:jc w:val="center"/>
        <w:rPr>
          <w:rFonts w:ascii="华文中宋" w:hAnsi="华文中宋" w:eastAsia="华文中宋" w:cs="华文中宋"/>
          <w:b/>
          <w:bCs/>
          <w:spacing w:val="-2"/>
          <w:sz w:val="52"/>
          <w:szCs w:val="52"/>
          <w:highlight w:val="none"/>
        </w:rPr>
      </w:pPr>
    </w:p>
    <w:p>
      <w:pPr>
        <w:pStyle w:val="8"/>
        <w:numPr>
          <w:ilvl w:val="1"/>
          <w:numId w:val="0"/>
        </w:numPr>
        <w:ind w:left="420" w:leftChars="0"/>
        <w:rPr>
          <w:highlight w:val="none"/>
        </w:rPr>
      </w:pPr>
    </w:p>
    <w:p>
      <w:pPr>
        <w:spacing w:before="0" w:line="613" w:lineRule="exact"/>
        <w:ind w:left="7" w:right="0" w:firstLine="0"/>
        <w:jc w:val="center"/>
        <w:rPr>
          <w:rFonts w:ascii="华文中宋" w:hAnsi="华文中宋" w:eastAsia="华文中宋" w:cs="华文中宋"/>
          <w:b/>
          <w:bCs/>
          <w:spacing w:val="-2"/>
          <w:sz w:val="52"/>
          <w:szCs w:val="52"/>
          <w:highlight w:val="none"/>
        </w:rPr>
      </w:pPr>
    </w:p>
    <w:p>
      <w:pPr>
        <w:pStyle w:val="11"/>
        <w:rPr>
          <w:rFonts w:ascii="华文中宋" w:hAnsi="华文中宋" w:eastAsia="华文中宋" w:cs="华文中宋"/>
          <w:b/>
          <w:bCs/>
          <w:spacing w:val="-2"/>
          <w:sz w:val="52"/>
          <w:szCs w:val="52"/>
          <w:highlight w:val="none"/>
        </w:rPr>
      </w:pPr>
    </w:p>
    <w:p>
      <w:pPr>
        <w:pStyle w:val="12"/>
        <w:outlineLvl w:val="9"/>
        <w:rPr>
          <w:highlight w:val="none"/>
        </w:rPr>
      </w:pPr>
    </w:p>
    <w:p>
      <w:pPr>
        <w:pStyle w:val="8"/>
        <w:numPr>
          <w:ilvl w:val="1"/>
          <w:numId w:val="0"/>
        </w:numPr>
        <w:ind w:left="420" w:leftChars="0"/>
        <w:rPr>
          <w:highlight w:val="none"/>
        </w:rPr>
      </w:pPr>
    </w:p>
    <w:p>
      <w:pPr>
        <w:pStyle w:val="23"/>
        <w:spacing w:beforeAutospacing="1" w:after="100" w:afterAutospacing="1" w:line="480" w:lineRule="auto"/>
        <w:jc w:val="center"/>
        <w:rPr>
          <w:rFonts w:hint="eastAsia" w:ascii="华文中宋" w:hAnsi="华文中宋" w:eastAsia="华文中宋" w:cs="华文中宋"/>
          <w:b/>
          <w:bCs/>
          <w:spacing w:val="-2"/>
          <w:sz w:val="44"/>
          <w:szCs w:val="44"/>
          <w:highlight w:val="none"/>
        </w:rPr>
      </w:pPr>
      <w:r>
        <w:rPr>
          <w:rFonts w:hint="eastAsia" w:ascii="华文中宋" w:hAnsi="华文中宋" w:eastAsia="华文中宋" w:cs="华文中宋"/>
          <w:b/>
          <w:bCs/>
          <w:spacing w:val="-2"/>
          <w:sz w:val="44"/>
          <w:szCs w:val="44"/>
          <w:highlight w:val="none"/>
        </w:rPr>
        <w:t>南方电网</w:t>
      </w:r>
      <w:r>
        <w:rPr>
          <w:rFonts w:hint="eastAsia" w:ascii="华文中宋" w:hAnsi="华文中宋" w:eastAsia="华文中宋" w:cs="华文中宋"/>
          <w:b/>
          <w:bCs/>
          <w:spacing w:val="-2"/>
          <w:sz w:val="44"/>
          <w:szCs w:val="44"/>
          <w:highlight w:val="none"/>
          <w:lang w:val="en-US" w:eastAsia="zh-CN"/>
        </w:rPr>
        <w:t>国际公司</w:t>
      </w:r>
    </w:p>
    <w:p>
      <w:pPr>
        <w:pStyle w:val="23"/>
        <w:spacing w:beforeAutospacing="1" w:after="100" w:afterAutospacing="1" w:line="480" w:lineRule="auto"/>
        <w:jc w:val="center"/>
        <w:rPr>
          <w:rFonts w:hint="eastAsia" w:ascii="黑体" w:hAnsi="黑体" w:eastAsia="黑体" w:cs="Times New Roman"/>
          <w:kern w:val="2"/>
          <w:sz w:val="52"/>
          <w:szCs w:val="52"/>
          <w:highlight w:val="none"/>
          <w:lang w:eastAsia="zh-CN"/>
        </w:rPr>
      </w:pPr>
      <w:r>
        <w:rPr>
          <w:rFonts w:hint="eastAsia" w:ascii="华文中宋" w:hAnsi="华文中宋" w:eastAsia="华文中宋" w:cs="华文中宋"/>
          <w:b/>
          <w:bCs/>
          <w:spacing w:val="-2"/>
          <w:sz w:val="44"/>
          <w:szCs w:val="44"/>
          <w:highlight w:val="none"/>
          <w:lang w:val="en-US" w:eastAsia="zh-CN"/>
        </w:rPr>
        <w:t>监督控制管理平台</w:t>
      </w:r>
      <w:r>
        <w:rPr>
          <w:rFonts w:hint="eastAsia" w:ascii="华文中宋" w:hAnsi="华文中宋" w:eastAsia="华文中宋" w:cs="华文中宋"/>
          <w:b/>
          <w:bCs/>
          <w:spacing w:val="-2"/>
          <w:sz w:val="44"/>
          <w:szCs w:val="44"/>
          <w:highlight w:val="none"/>
        </w:rPr>
        <w:t>推广实施</w:t>
      </w:r>
      <w:r>
        <w:rPr>
          <w:rFonts w:hint="eastAsia" w:ascii="华文中宋" w:hAnsi="华文中宋" w:eastAsia="华文中宋" w:cs="华文中宋"/>
          <w:b/>
          <w:bCs/>
          <w:spacing w:val="-2"/>
          <w:sz w:val="44"/>
          <w:szCs w:val="44"/>
          <w:highlight w:val="none"/>
          <w:lang w:val="en-US" w:eastAsia="zh-CN"/>
        </w:rPr>
        <w:t>项目</w:t>
      </w:r>
    </w:p>
    <w:p>
      <w:pPr>
        <w:pStyle w:val="23"/>
        <w:spacing w:beforeAutospacing="1" w:after="100" w:afterAutospacing="1" w:line="480" w:lineRule="auto"/>
        <w:jc w:val="center"/>
        <w:rPr>
          <w:rFonts w:hint="eastAsia" w:ascii="黑体" w:hAnsi="黑体" w:eastAsia="黑体"/>
          <w:kern w:val="2"/>
          <w:sz w:val="72"/>
          <w:szCs w:val="72"/>
          <w:highlight w:val="none"/>
          <w:lang w:eastAsia="zh-CN"/>
        </w:rPr>
      </w:pPr>
      <w:r>
        <w:rPr>
          <w:rFonts w:hint="eastAsia" w:ascii="黑体" w:hAnsi="黑体" w:eastAsia="黑体"/>
          <w:kern w:val="2"/>
          <w:sz w:val="72"/>
          <w:szCs w:val="72"/>
          <w:highlight w:val="none"/>
          <w:lang w:eastAsia="zh-CN"/>
        </w:rPr>
        <w:t>技术规范书</w:t>
      </w:r>
    </w:p>
    <w:p>
      <w:pPr>
        <w:jc w:val="center"/>
        <w:rPr>
          <w:rFonts w:hint="eastAsia" w:ascii="黑体" w:hAnsi="黑体" w:eastAsia="黑体"/>
          <w:b/>
          <w:sz w:val="32"/>
          <w:szCs w:val="32"/>
          <w:highlight w:val="none"/>
          <w:lang w:eastAsia="zh-CN"/>
        </w:rPr>
      </w:pPr>
    </w:p>
    <w:p>
      <w:pPr>
        <w:jc w:val="both"/>
        <w:rPr>
          <w:rFonts w:hint="eastAsia" w:ascii="黑体" w:hAnsi="黑体" w:eastAsia="黑体"/>
          <w:b/>
          <w:sz w:val="32"/>
          <w:szCs w:val="32"/>
          <w:highlight w:val="none"/>
          <w:lang w:eastAsia="zh-CN"/>
        </w:rPr>
      </w:pPr>
    </w:p>
    <w:p>
      <w:pPr>
        <w:jc w:val="both"/>
        <w:rPr>
          <w:rFonts w:hint="eastAsia" w:ascii="黑体" w:hAnsi="黑体" w:eastAsia="黑体"/>
          <w:b/>
          <w:sz w:val="32"/>
          <w:szCs w:val="32"/>
          <w:highlight w:val="none"/>
          <w:lang w:eastAsia="zh-CN"/>
        </w:rPr>
      </w:pPr>
    </w:p>
    <w:p>
      <w:pPr>
        <w:spacing w:before="0"/>
        <w:ind w:left="683" w:right="683" w:firstLine="0"/>
        <w:jc w:val="center"/>
        <w:rPr>
          <w:rFonts w:ascii="宋体" w:hAnsi="宋体" w:eastAsia="宋体" w:cs="宋体"/>
          <w:sz w:val="30"/>
          <w:szCs w:val="30"/>
          <w:highlight w:val="none"/>
        </w:rPr>
      </w:pPr>
      <w:r>
        <w:rPr>
          <w:rFonts w:ascii="宋体" w:hAnsi="宋体" w:eastAsia="宋体" w:cs="宋体"/>
          <w:b/>
          <w:bCs/>
          <w:sz w:val="30"/>
          <w:szCs w:val="30"/>
          <w:highlight w:val="none"/>
        </w:rPr>
        <w:t>南方电网</w:t>
      </w:r>
      <w:r>
        <w:rPr>
          <w:rFonts w:hint="eastAsia" w:ascii="宋体" w:hAnsi="宋体" w:eastAsia="宋体" w:cs="宋体"/>
          <w:b/>
          <w:bCs/>
          <w:sz w:val="30"/>
          <w:szCs w:val="30"/>
          <w:highlight w:val="none"/>
          <w:lang w:val="en-US" w:eastAsia="zh-CN"/>
        </w:rPr>
        <w:t>国际公司</w:t>
      </w:r>
    </w:p>
    <w:p>
      <w:pPr>
        <w:spacing w:before="231"/>
        <w:ind w:left="0" w:right="1" w:firstLine="0"/>
        <w:jc w:val="center"/>
        <w:rPr>
          <w:rFonts w:hint="default" w:ascii="黑体" w:hAnsi="黑体" w:eastAsia="宋体"/>
          <w:b/>
          <w:sz w:val="32"/>
          <w:szCs w:val="32"/>
          <w:highlight w:val="none"/>
          <w:lang w:val="en-US" w:eastAsia="zh-CN"/>
        </w:rPr>
      </w:pPr>
      <w:r>
        <w:rPr>
          <w:rFonts w:ascii="Times New Roman" w:hAnsi="Times New Roman" w:eastAsia="Times New Roman" w:cs="Times New Roman"/>
          <w:b/>
          <w:bCs/>
          <w:sz w:val="30"/>
          <w:szCs w:val="30"/>
          <w:highlight w:val="none"/>
        </w:rPr>
        <w:t>202</w:t>
      </w:r>
      <w:r>
        <w:rPr>
          <w:rFonts w:hint="eastAsia" w:ascii="Times New Roman" w:hAnsi="Times New Roman" w:eastAsia="宋体" w:cs="Times New Roman"/>
          <w:b/>
          <w:bCs/>
          <w:sz w:val="30"/>
          <w:szCs w:val="30"/>
          <w:highlight w:val="none"/>
          <w:lang w:val="en-US" w:eastAsia="zh-CN"/>
        </w:rPr>
        <w:t>5</w:t>
      </w:r>
      <w:r>
        <w:rPr>
          <w:rFonts w:ascii="宋体" w:hAnsi="宋体" w:eastAsia="宋体" w:cs="宋体"/>
          <w:b/>
          <w:bCs/>
          <w:sz w:val="30"/>
          <w:szCs w:val="30"/>
          <w:highlight w:val="none"/>
        </w:rPr>
        <w:t>年</w:t>
      </w:r>
      <w:r>
        <w:rPr>
          <w:rFonts w:hint="eastAsia" w:ascii="宋体" w:hAnsi="宋体" w:eastAsia="宋体" w:cs="宋体"/>
          <w:b/>
          <w:bCs/>
          <w:spacing w:val="-79"/>
          <w:sz w:val="30"/>
          <w:szCs w:val="30"/>
          <w:highlight w:val="none"/>
          <w:lang w:val="en-US" w:eastAsia="zh-CN"/>
        </w:rPr>
        <w:t>3月</w:t>
      </w:r>
    </w:p>
    <w:p>
      <w:pPr>
        <w:pStyle w:val="4"/>
        <w:tabs>
          <w:tab w:val="left" w:pos="5526"/>
        </w:tabs>
        <w:outlineLvl w:val="9"/>
        <w:rPr>
          <w:rFonts w:hint="eastAsia"/>
          <w:highlight w:val="none"/>
          <w:lang w:eastAsia="zh-CN"/>
        </w:rPr>
      </w:pPr>
      <w:r>
        <w:rPr>
          <w:rFonts w:hint="eastAsia"/>
          <w:highlight w:val="none"/>
          <w:lang w:eastAsia="zh-CN"/>
        </w:rPr>
        <w:tab/>
      </w:r>
    </w:p>
    <w:p>
      <w:pPr>
        <w:rPr>
          <w:rFonts w:hint="eastAsia"/>
          <w:highlight w:val="none"/>
          <w:lang w:eastAsia="zh-CN"/>
        </w:rPr>
      </w:pPr>
    </w:p>
    <w:p>
      <w:pPr>
        <w:pStyle w:val="8"/>
        <w:numPr>
          <w:ilvl w:val="1"/>
          <w:numId w:val="0"/>
        </w:numPr>
        <w:ind w:left="420" w:leftChars="0"/>
        <w:rPr>
          <w:rFonts w:hint="eastAsia"/>
          <w:highlight w:val="none"/>
          <w:lang w:eastAsia="zh-CN"/>
        </w:rPr>
      </w:pPr>
    </w:p>
    <w:p>
      <w:pPr>
        <w:pStyle w:val="9"/>
        <w:rPr>
          <w:rFonts w:hint="eastAsia"/>
          <w:highlight w:val="none"/>
          <w:lang w:eastAsia="zh-CN"/>
        </w:rPr>
      </w:pPr>
    </w:p>
    <w:p>
      <w:pPr>
        <w:pStyle w:val="9"/>
        <w:rPr>
          <w:rFonts w:hint="eastAsia"/>
          <w:highlight w:val="none"/>
          <w:lang w:eastAsia="zh-CN"/>
        </w:rPr>
        <w:sectPr>
          <w:headerReference r:id="rId3" w:type="default"/>
          <w:pgSz w:w="11910" w:h="16840"/>
          <w:pgMar w:top="1340" w:right="1120" w:bottom="280" w:left="1660" w:header="720" w:footer="720" w:gutter="0"/>
          <w:pgNumType w:fmt="decimal"/>
          <w:cols w:space="720" w:num="1"/>
        </w:sectPr>
      </w:pPr>
    </w:p>
    <w:p>
      <w:pPr>
        <w:rPr>
          <w:highlight w:val="none"/>
        </w:rPr>
      </w:pPr>
    </w:p>
    <w:sdt>
      <w:sdtPr>
        <w:rPr>
          <w:rFonts w:ascii="宋体" w:hAnsi="宋体" w:eastAsia="宋体" w:cs="Times New Roman"/>
          <w:kern w:val="2"/>
          <w:sz w:val="21"/>
          <w:szCs w:val="22"/>
          <w:highlight w:val="none"/>
          <w:lang w:val="en-US" w:eastAsia="zh-CN" w:bidi="ar-SA"/>
        </w:rPr>
        <w:id w:val="147459489"/>
        <w15:color w:val="DBDBDB"/>
        <w:docPartObj>
          <w:docPartGallery w:val="Table of Contents"/>
          <w:docPartUnique/>
        </w:docPartObj>
      </w:sdtPr>
      <w:sdtEndPr>
        <w:rPr>
          <w:rFonts w:ascii="宋体" w:hAnsi="宋体" w:eastAsia="宋体" w:cs="Times New Roman"/>
          <w:b/>
          <w:kern w:val="2"/>
          <w:sz w:val="21"/>
          <w:szCs w:val="22"/>
          <w:highlight w:val="none"/>
          <w:lang w:val="en-US" w:eastAsia="zh-CN" w:bidi="ar-SA"/>
        </w:rPr>
      </w:sdtEndPr>
      <w:sdtContent>
        <w:p>
          <w:pPr>
            <w:spacing w:before="0" w:beforeLines="0" w:after="0" w:afterLines="0" w:line="240" w:lineRule="auto"/>
            <w:ind w:left="0" w:leftChars="0" w:right="0" w:rightChars="0" w:firstLine="0" w:firstLineChars="0"/>
            <w:jc w:val="center"/>
            <w:rPr>
              <w:highlight w:val="none"/>
            </w:rPr>
          </w:pPr>
          <w:bookmarkStart w:id="0" w:name="_Toc19945"/>
          <w:r>
            <w:rPr>
              <w:rFonts w:ascii="宋体" w:hAnsi="宋体" w:eastAsia="宋体"/>
              <w:sz w:val="21"/>
              <w:highlight w:val="none"/>
            </w:rPr>
            <w:t>目录</w:t>
          </w:r>
        </w:p>
        <w:p>
          <w:pPr>
            <w:pStyle w:val="16"/>
            <w:tabs>
              <w:tab w:val="right" w:leader="dot" w:pos="9130"/>
            </w:tabs>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_Toc9218 </w:instrText>
          </w:r>
          <w:r>
            <w:rPr>
              <w:highlight w:val="none"/>
            </w:rPr>
            <w:fldChar w:fldCharType="separate"/>
          </w:r>
          <w:r>
            <w:rPr>
              <w:rFonts w:hint="eastAsia" w:ascii="宋体" w:hAnsi="宋体" w:eastAsia="宋体" w:cs="宋体"/>
              <w:szCs w:val="44"/>
              <w:highlight w:val="none"/>
            </w:rPr>
            <w:t>1</w:t>
          </w:r>
          <w:r>
            <w:rPr>
              <w:rFonts w:hint="eastAsia" w:ascii="宋体" w:hAnsi="宋体" w:eastAsia="宋体" w:cs="宋体"/>
              <w:spacing w:val="-48"/>
              <w:szCs w:val="44"/>
              <w:highlight w:val="none"/>
            </w:rPr>
            <w:t xml:space="preserve"> </w:t>
          </w:r>
          <w:r>
            <w:rPr>
              <w:rFonts w:hint="eastAsia" w:ascii="宋体" w:hAnsi="宋体" w:eastAsia="宋体" w:cs="宋体"/>
              <w:spacing w:val="2"/>
              <w:szCs w:val="44"/>
              <w:highlight w:val="none"/>
            </w:rPr>
            <w:t>总</w:t>
          </w:r>
          <w:r>
            <w:rPr>
              <w:rFonts w:hint="eastAsia" w:ascii="宋体" w:hAnsi="宋体" w:eastAsia="宋体" w:cs="宋体"/>
              <w:szCs w:val="44"/>
              <w:highlight w:val="none"/>
            </w:rPr>
            <w:t>则</w:t>
          </w:r>
          <w:r>
            <w:tab/>
          </w:r>
          <w:r>
            <w:fldChar w:fldCharType="begin"/>
          </w:r>
          <w:r>
            <w:instrText xml:space="preserve"> PAGEREF _Toc9218 \h </w:instrText>
          </w:r>
          <w:r>
            <w:fldChar w:fldCharType="separate"/>
          </w:r>
          <w:r>
            <w:t>1</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_Toc23623 </w:instrText>
          </w:r>
          <w:r>
            <w:rPr>
              <w:highlight w:val="none"/>
            </w:rPr>
            <w:fldChar w:fldCharType="separate"/>
          </w:r>
          <w:r>
            <w:rPr>
              <w:rFonts w:hint="eastAsia" w:ascii="宋体" w:hAnsi="宋体" w:eastAsia="宋体" w:cs="宋体"/>
              <w:bCs/>
              <w:spacing w:val="1"/>
              <w:highlight w:val="none"/>
            </w:rPr>
            <w:t>1.1</w:t>
          </w:r>
          <w:r>
            <w:rPr>
              <w:rFonts w:hint="eastAsia" w:ascii="宋体" w:hAnsi="宋体" w:eastAsia="宋体" w:cs="宋体"/>
              <w:bCs/>
              <w:spacing w:val="22"/>
              <w:highlight w:val="none"/>
            </w:rPr>
            <w:t xml:space="preserve"> </w:t>
          </w:r>
          <w:r>
            <w:rPr>
              <w:rFonts w:hint="eastAsia" w:ascii="宋体" w:hAnsi="宋体" w:eastAsia="宋体" w:cs="宋体"/>
              <w:bCs/>
              <w:spacing w:val="1"/>
              <w:highlight w:val="none"/>
            </w:rPr>
            <w:t>概述</w:t>
          </w:r>
          <w:r>
            <w:tab/>
          </w:r>
          <w:r>
            <w:fldChar w:fldCharType="begin"/>
          </w:r>
          <w:r>
            <w:instrText xml:space="preserve"> PAGEREF _Toc23623 \h </w:instrText>
          </w:r>
          <w:r>
            <w:fldChar w:fldCharType="separate"/>
          </w:r>
          <w:r>
            <w:t>1</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_Toc32161 </w:instrText>
          </w:r>
          <w:r>
            <w:rPr>
              <w:highlight w:val="none"/>
            </w:rPr>
            <w:fldChar w:fldCharType="separate"/>
          </w:r>
          <w:r>
            <w:rPr>
              <w:rFonts w:hint="eastAsia" w:ascii="宋体" w:hAnsi="宋体" w:eastAsia="宋体" w:cs="宋体"/>
              <w:bCs/>
              <w:spacing w:val="1"/>
              <w:highlight w:val="none"/>
            </w:rPr>
            <w:t>1.2 投标报价要求</w:t>
          </w:r>
          <w:r>
            <w:tab/>
          </w:r>
          <w:r>
            <w:fldChar w:fldCharType="begin"/>
          </w:r>
          <w:r>
            <w:instrText xml:space="preserve"> PAGEREF _Toc32161 \h </w:instrText>
          </w:r>
          <w:r>
            <w:fldChar w:fldCharType="separate"/>
          </w:r>
          <w:r>
            <w:t>1</w:t>
          </w:r>
          <w:r>
            <w:fldChar w:fldCharType="end"/>
          </w:r>
          <w:r>
            <w:rPr>
              <w:highlight w:val="none"/>
            </w:rPr>
            <w:fldChar w:fldCharType="end"/>
          </w:r>
        </w:p>
        <w:p>
          <w:pPr>
            <w:pStyle w:val="16"/>
            <w:tabs>
              <w:tab w:val="right" w:leader="dot" w:pos="9130"/>
            </w:tabs>
          </w:pPr>
          <w:r>
            <w:rPr>
              <w:highlight w:val="none"/>
            </w:rPr>
            <w:fldChar w:fldCharType="begin"/>
          </w:r>
          <w:r>
            <w:rPr>
              <w:highlight w:val="none"/>
            </w:rPr>
            <w:instrText xml:space="preserve"> HYPERLINK \l _Toc13318 </w:instrText>
          </w:r>
          <w:r>
            <w:rPr>
              <w:highlight w:val="none"/>
            </w:rPr>
            <w:fldChar w:fldCharType="separate"/>
          </w:r>
          <w:r>
            <w:rPr>
              <w:rFonts w:hint="eastAsia" w:ascii="宋体" w:hAnsi="宋体" w:eastAsia="宋体" w:cs="宋体"/>
              <w:szCs w:val="44"/>
              <w:highlight w:val="none"/>
            </w:rPr>
            <w:t>2 项目概况</w:t>
          </w:r>
          <w:r>
            <w:tab/>
          </w:r>
          <w:r>
            <w:fldChar w:fldCharType="begin"/>
          </w:r>
          <w:r>
            <w:instrText xml:space="preserve"> PAGEREF _Toc13318 \h </w:instrText>
          </w:r>
          <w:r>
            <w:fldChar w:fldCharType="separate"/>
          </w:r>
          <w:r>
            <w:t>3</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_Toc5803 </w:instrText>
          </w:r>
          <w:r>
            <w:rPr>
              <w:highlight w:val="none"/>
            </w:rPr>
            <w:fldChar w:fldCharType="separate"/>
          </w:r>
          <w:r>
            <w:rPr>
              <w:rFonts w:hint="eastAsia" w:ascii="宋体" w:hAnsi="宋体" w:eastAsia="宋体" w:cs="宋体"/>
              <w:bCs/>
              <w:spacing w:val="1"/>
              <w:highlight w:val="none"/>
              <w:lang w:val="en-US" w:eastAsia="zh-CN"/>
            </w:rPr>
            <w:t>2.1 项目背景</w:t>
          </w:r>
          <w:r>
            <w:tab/>
          </w:r>
          <w:r>
            <w:fldChar w:fldCharType="begin"/>
          </w:r>
          <w:r>
            <w:instrText xml:space="preserve"> PAGEREF _Toc5803 \h </w:instrText>
          </w:r>
          <w:r>
            <w:fldChar w:fldCharType="separate"/>
          </w:r>
          <w:r>
            <w:t>3</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_Toc7596 </w:instrText>
          </w:r>
          <w:r>
            <w:rPr>
              <w:highlight w:val="none"/>
            </w:rPr>
            <w:fldChar w:fldCharType="separate"/>
          </w:r>
          <w:r>
            <w:rPr>
              <w:rFonts w:hint="eastAsia" w:ascii="宋体" w:hAnsi="宋体" w:eastAsia="宋体" w:cs="宋体"/>
              <w:bCs/>
              <w:spacing w:val="1"/>
              <w:highlight w:val="none"/>
            </w:rPr>
            <w:t>2.2 项目目标</w:t>
          </w:r>
          <w:r>
            <w:tab/>
          </w:r>
          <w:r>
            <w:fldChar w:fldCharType="begin"/>
          </w:r>
          <w:r>
            <w:instrText xml:space="preserve"> PAGEREF _Toc7596 \h </w:instrText>
          </w:r>
          <w:r>
            <w:fldChar w:fldCharType="separate"/>
          </w:r>
          <w:r>
            <w:t>3</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_Toc31371 </w:instrText>
          </w:r>
          <w:r>
            <w:rPr>
              <w:highlight w:val="none"/>
            </w:rPr>
            <w:fldChar w:fldCharType="separate"/>
          </w:r>
          <w:r>
            <w:rPr>
              <w:rFonts w:hint="eastAsia" w:ascii="宋体" w:hAnsi="宋体" w:eastAsia="宋体" w:cs="宋体"/>
              <w:bCs/>
              <w:spacing w:val="1"/>
              <w:highlight w:val="none"/>
            </w:rPr>
            <w:t xml:space="preserve">2.3 </w:t>
          </w:r>
          <w:r>
            <w:rPr>
              <w:rFonts w:hint="eastAsia" w:ascii="宋体" w:hAnsi="宋体" w:eastAsia="宋体" w:cs="宋体"/>
              <w:bCs/>
              <w:spacing w:val="1"/>
              <w:highlight w:val="none"/>
              <w:lang w:val="en-US" w:eastAsia="zh-CN"/>
            </w:rPr>
            <w:t>项目</w:t>
          </w:r>
          <w:r>
            <w:rPr>
              <w:rFonts w:hint="eastAsia" w:ascii="宋体" w:hAnsi="宋体" w:eastAsia="宋体" w:cs="宋体"/>
              <w:bCs/>
              <w:spacing w:val="1"/>
              <w:highlight w:val="none"/>
            </w:rPr>
            <w:t>周期和地点</w:t>
          </w:r>
          <w:r>
            <w:tab/>
          </w:r>
          <w:r>
            <w:fldChar w:fldCharType="begin"/>
          </w:r>
          <w:r>
            <w:instrText xml:space="preserve"> PAGEREF _Toc31371 \h </w:instrText>
          </w:r>
          <w:r>
            <w:fldChar w:fldCharType="separate"/>
          </w:r>
          <w:r>
            <w:t>3</w:t>
          </w:r>
          <w:r>
            <w:fldChar w:fldCharType="end"/>
          </w:r>
          <w:r>
            <w:rPr>
              <w:highlight w:val="none"/>
            </w:rPr>
            <w:fldChar w:fldCharType="end"/>
          </w:r>
        </w:p>
        <w:p>
          <w:pPr>
            <w:pStyle w:val="16"/>
            <w:tabs>
              <w:tab w:val="right" w:leader="dot" w:pos="9130"/>
            </w:tabs>
          </w:pPr>
          <w:r>
            <w:rPr>
              <w:highlight w:val="none"/>
            </w:rPr>
            <w:fldChar w:fldCharType="begin"/>
          </w:r>
          <w:r>
            <w:rPr>
              <w:highlight w:val="none"/>
            </w:rPr>
            <w:instrText xml:space="preserve"> HYPERLINK \l _Toc21051 </w:instrText>
          </w:r>
          <w:r>
            <w:rPr>
              <w:highlight w:val="none"/>
            </w:rPr>
            <w:fldChar w:fldCharType="separate"/>
          </w:r>
          <w:r>
            <w:rPr>
              <w:rFonts w:hint="eastAsia" w:ascii="宋体" w:hAnsi="宋体" w:eastAsia="宋体" w:cs="宋体"/>
              <w:szCs w:val="44"/>
              <w:highlight w:val="none"/>
            </w:rPr>
            <w:t xml:space="preserve">3 </w:t>
          </w:r>
          <w:r>
            <w:rPr>
              <w:rFonts w:hint="eastAsia" w:ascii="宋体" w:hAnsi="宋体" w:eastAsia="宋体" w:cs="宋体"/>
              <w:szCs w:val="44"/>
              <w:highlight w:val="none"/>
              <w:lang w:eastAsia="zh-CN"/>
            </w:rPr>
            <w:t>服务范围</w:t>
          </w:r>
          <w:r>
            <w:tab/>
          </w:r>
          <w:r>
            <w:fldChar w:fldCharType="begin"/>
          </w:r>
          <w:r>
            <w:instrText xml:space="preserve"> PAGEREF _Toc21051 \h </w:instrText>
          </w:r>
          <w:r>
            <w:fldChar w:fldCharType="separate"/>
          </w:r>
          <w:r>
            <w:t>4</w:t>
          </w:r>
          <w:r>
            <w:fldChar w:fldCharType="end"/>
          </w:r>
          <w:r>
            <w:rPr>
              <w:highlight w:val="none"/>
            </w:rPr>
            <w:fldChar w:fldCharType="end"/>
          </w:r>
        </w:p>
        <w:p>
          <w:pPr>
            <w:pStyle w:val="16"/>
            <w:tabs>
              <w:tab w:val="right" w:leader="dot" w:pos="9130"/>
            </w:tabs>
          </w:pPr>
          <w:r>
            <w:rPr>
              <w:highlight w:val="none"/>
            </w:rPr>
            <w:fldChar w:fldCharType="begin"/>
          </w:r>
          <w:r>
            <w:rPr>
              <w:highlight w:val="none"/>
            </w:rPr>
            <w:instrText xml:space="preserve"> HYPERLINK \l _Toc29806 </w:instrText>
          </w:r>
          <w:r>
            <w:rPr>
              <w:highlight w:val="none"/>
            </w:rPr>
            <w:fldChar w:fldCharType="separate"/>
          </w:r>
          <w:r>
            <w:rPr>
              <w:rFonts w:hint="eastAsia" w:ascii="宋体" w:hAnsi="宋体" w:eastAsia="宋体" w:cs="宋体"/>
              <w:szCs w:val="44"/>
              <w:highlight w:val="none"/>
            </w:rPr>
            <w:t>4 服务内容</w:t>
          </w:r>
          <w:r>
            <w:tab/>
          </w:r>
          <w:r>
            <w:fldChar w:fldCharType="begin"/>
          </w:r>
          <w:r>
            <w:instrText xml:space="preserve"> PAGEREF _Toc29806 \h </w:instrText>
          </w:r>
          <w:r>
            <w:fldChar w:fldCharType="separate"/>
          </w:r>
          <w:r>
            <w:t>4</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_Toc30080 </w:instrText>
          </w:r>
          <w:r>
            <w:rPr>
              <w:highlight w:val="none"/>
            </w:rPr>
            <w:fldChar w:fldCharType="separate"/>
          </w:r>
          <w:r>
            <w:rPr>
              <w:rFonts w:hint="eastAsia" w:ascii="宋体" w:hAnsi="宋体" w:eastAsia="宋体" w:cs="宋体"/>
              <w:bCs/>
              <w:spacing w:val="1"/>
              <w:highlight w:val="none"/>
              <w:lang w:val="en-US" w:eastAsia="zh-CN"/>
            </w:rPr>
            <w:t>4.1监督控制管理平台推广及运营</w:t>
          </w:r>
          <w:r>
            <w:tab/>
          </w:r>
          <w:r>
            <w:fldChar w:fldCharType="begin"/>
          </w:r>
          <w:r>
            <w:instrText xml:space="preserve"> PAGEREF _Toc30080 \h </w:instrText>
          </w:r>
          <w:r>
            <w:fldChar w:fldCharType="separate"/>
          </w:r>
          <w:r>
            <w:t>4</w:t>
          </w:r>
          <w:r>
            <w:fldChar w:fldCharType="end"/>
          </w:r>
          <w:r>
            <w:rPr>
              <w:highlight w:val="none"/>
            </w:rPr>
            <w:fldChar w:fldCharType="end"/>
          </w:r>
        </w:p>
        <w:p>
          <w:pPr>
            <w:pStyle w:val="16"/>
            <w:tabs>
              <w:tab w:val="right" w:leader="dot" w:pos="9130"/>
            </w:tabs>
          </w:pPr>
          <w:r>
            <w:rPr>
              <w:highlight w:val="none"/>
            </w:rPr>
            <w:fldChar w:fldCharType="begin"/>
          </w:r>
          <w:r>
            <w:rPr>
              <w:highlight w:val="none"/>
            </w:rPr>
            <w:instrText xml:space="preserve"> HYPERLINK \l _Toc20733 </w:instrText>
          </w:r>
          <w:r>
            <w:rPr>
              <w:highlight w:val="none"/>
            </w:rPr>
            <w:fldChar w:fldCharType="separate"/>
          </w:r>
          <w:r>
            <w:rPr>
              <w:rFonts w:hint="eastAsia" w:ascii="宋体" w:hAnsi="宋体" w:eastAsia="宋体" w:cs="宋体"/>
              <w:szCs w:val="44"/>
              <w:highlight w:val="none"/>
            </w:rPr>
            <w:t>5 项目实施保证</w:t>
          </w:r>
          <w:r>
            <w:tab/>
          </w:r>
          <w:r>
            <w:fldChar w:fldCharType="begin"/>
          </w:r>
          <w:r>
            <w:instrText xml:space="preserve"> PAGEREF _Toc20733 \h </w:instrText>
          </w:r>
          <w:r>
            <w:fldChar w:fldCharType="separate"/>
          </w:r>
          <w:r>
            <w:t>21</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_Toc8539 </w:instrText>
          </w:r>
          <w:r>
            <w:rPr>
              <w:highlight w:val="none"/>
            </w:rPr>
            <w:fldChar w:fldCharType="separate"/>
          </w:r>
          <w:r>
            <w:rPr>
              <w:rFonts w:hint="eastAsia" w:ascii="宋体" w:hAnsi="宋体" w:eastAsia="宋体" w:cs="宋体"/>
              <w:bCs/>
              <w:spacing w:val="1"/>
              <w:highlight w:val="none"/>
            </w:rPr>
            <w:t>5.1 组织保证</w:t>
          </w:r>
          <w:r>
            <w:tab/>
          </w:r>
          <w:r>
            <w:fldChar w:fldCharType="begin"/>
          </w:r>
          <w:r>
            <w:instrText xml:space="preserve"> PAGEREF _Toc8539 \h </w:instrText>
          </w:r>
          <w:r>
            <w:fldChar w:fldCharType="separate"/>
          </w:r>
          <w:r>
            <w:t>21</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_Toc19181 </w:instrText>
          </w:r>
          <w:r>
            <w:rPr>
              <w:highlight w:val="none"/>
            </w:rPr>
            <w:fldChar w:fldCharType="separate"/>
          </w:r>
          <w:r>
            <w:rPr>
              <w:rFonts w:hint="eastAsia" w:ascii="宋体" w:hAnsi="宋体" w:eastAsia="宋体" w:cs="宋体"/>
              <w:bCs/>
              <w:spacing w:val="1"/>
              <w:highlight w:val="none"/>
            </w:rPr>
            <w:t>5.2 质量保证</w:t>
          </w:r>
          <w:r>
            <w:tab/>
          </w:r>
          <w:r>
            <w:fldChar w:fldCharType="begin"/>
          </w:r>
          <w:r>
            <w:instrText xml:space="preserve"> PAGEREF _Toc19181 \h </w:instrText>
          </w:r>
          <w:r>
            <w:fldChar w:fldCharType="separate"/>
          </w:r>
          <w:r>
            <w:t>21</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_Toc29862 </w:instrText>
          </w:r>
          <w:r>
            <w:rPr>
              <w:highlight w:val="none"/>
            </w:rPr>
            <w:fldChar w:fldCharType="separate"/>
          </w:r>
          <w:r>
            <w:rPr>
              <w:rFonts w:hint="eastAsia" w:ascii="宋体" w:hAnsi="宋体" w:eastAsia="宋体" w:cs="宋体"/>
              <w:bCs/>
              <w:spacing w:val="1"/>
              <w:highlight w:val="none"/>
            </w:rPr>
            <w:t>5.3 项目管理</w:t>
          </w:r>
          <w:r>
            <w:tab/>
          </w:r>
          <w:r>
            <w:fldChar w:fldCharType="begin"/>
          </w:r>
          <w:r>
            <w:instrText xml:space="preserve"> PAGEREF _Toc29862 \h </w:instrText>
          </w:r>
          <w:r>
            <w:fldChar w:fldCharType="separate"/>
          </w:r>
          <w:r>
            <w:t>22</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_Toc24797 </w:instrText>
          </w:r>
          <w:r>
            <w:rPr>
              <w:highlight w:val="none"/>
            </w:rPr>
            <w:fldChar w:fldCharType="separate"/>
          </w:r>
          <w:r>
            <w:rPr>
              <w:rFonts w:hint="eastAsia" w:ascii="宋体" w:hAnsi="宋体" w:eastAsia="宋体" w:cs="宋体"/>
              <w:bCs/>
              <w:spacing w:val="1"/>
              <w:highlight w:val="none"/>
            </w:rPr>
            <w:t>5.4 保密要求</w:t>
          </w:r>
          <w:r>
            <w:tab/>
          </w:r>
          <w:r>
            <w:fldChar w:fldCharType="begin"/>
          </w:r>
          <w:r>
            <w:instrText xml:space="preserve"> PAGEREF _Toc24797 \h </w:instrText>
          </w:r>
          <w:r>
            <w:fldChar w:fldCharType="separate"/>
          </w:r>
          <w:r>
            <w:t>23</w:t>
          </w:r>
          <w:r>
            <w:fldChar w:fldCharType="end"/>
          </w:r>
          <w:r>
            <w:rPr>
              <w:highlight w:val="none"/>
            </w:rPr>
            <w:fldChar w:fldCharType="end"/>
          </w:r>
        </w:p>
        <w:p>
          <w:pPr>
            <w:pStyle w:val="16"/>
            <w:tabs>
              <w:tab w:val="right" w:leader="dot" w:pos="9130"/>
            </w:tabs>
          </w:pPr>
          <w:r>
            <w:rPr>
              <w:highlight w:val="none"/>
            </w:rPr>
            <w:fldChar w:fldCharType="begin"/>
          </w:r>
          <w:r>
            <w:rPr>
              <w:highlight w:val="none"/>
            </w:rPr>
            <w:instrText xml:space="preserve"> HYPERLINK \l _Toc2564 </w:instrText>
          </w:r>
          <w:r>
            <w:rPr>
              <w:highlight w:val="none"/>
            </w:rPr>
            <w:fldChar w:fldCharType="separate"/>
          </w:r>
          <w:r>
            <w:rPr>
              <w:rFonts w:hint="eastAsia" w:ascii="仿宋_GB2312" w:hAnsi="仿宋_GB2312" w:eastAsia="仿宋_GB2312" w:cs="仿宋_GB2312"/>
              <w:highlight w:val="none"/>
            </w:rPr>
            <w:t>6</w:t>
          </w:r>
          <w:r>
            <w:rPr>
              <w:rFonts w:hint="eastAsia" w:ascii="仿宋_GB2312" w:hAnsi="仿宋_GB2312" w:eastAsia="仿宋_GB2312" w:cs="仿宋_GB2312"/>
              <w:spacing w:val="-48"/>
              <w:highlight w:val="none"/>
            </w:rPr>
            <w:t xml:space="preserve"> </w:t>
          </w:r>
          <w:r>
            <w:rPr>
              <w:rFonts w:hint="eastAsia" w:ascii="仿宋_GB2312" w:hAnsi="仿宋_GB2312" w:eastAsia="仿宋_GB2312" w:cs="仿宋_GB2312"/>
              <w:spacing w:val="2"/>
              <w:highlight w:val="none"/>
            </w:rPr>
            <w:t>验</w:t>
          </w:r>
          <w:r>
            <w:rPr>
              <w:rFonts w:hint="eastAsia" w:ascii="仿宋_GB2312" w:hAnsi="仿宋_GB2312" w:eastAsia="仿宋_GB2312" w:cs="仿宋_GB2312"/>
              <w:highlight w:val="none"/>
            </w:rPr>
            <w:t>收</w:t>
          </w:r>
          <w:r>
            <w:tab/>
          </w:r>
          <w:r>
            <w:fldChar w:fldCharType="begin"/>
          </w:r>
          <w:r>
            <w:instrText xml:space="preserve"> PAGEREF _Toc2564 \h </w:instrText>
          </w:r>
          <w:r>
            <w:fldChar w:fldCharType="separate"/>
          </w:r>
          <w:r>
            <w:t>24</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_Toc1886 </w:instrText>
          </w:r>
          <w:r>
            <w:rPr>
              <w:highlight w:val="none"/>
            </w:rPr>
            <w:fldChar w:fldCharType="separate"/>
          </w:r>
          <w:r>
            <w:rPr>
              <w:rFonts w:hint="eastAsia" w:ascii="宋体" w:hAnsi="宋体" w:eastAsia="宋体" w:cs="宋体"/>
              <w:bCs/>
              <w:spacing w:val="1"/>
              <w:highlight w:val="none"/>
            </w:rPr>
            <w:t>6.1 验收标准</w:t>
          </w:r>
          <w:r>
            <w:tab/>
          </w:r>
          <w:r>
            <w:fldChar w:fldCharType="begin"/>
          </w:r>
          <w:r>
            <w:instrText xml:space="preserve"> PAGEREF _Toc1886 \h </w:instrText>
          </w:r>
          <w:r>
            <w:fldChar w:fldCharType="separate"/>
          </w:r>
          <w:r>
            <w:t>24</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_Toc7762 </w:instrText>
          </w:r>
          <w:r>
            <w:rPr>
              <w:highlight w:val="none"/>
            </w:rPr>
            <w:fldChar w:fldCharType="separate"/>
          </w:r>
          <w:r>
            <w:rPr>
              <w:rFonts w:hint="eastAsia" w:ascii="宋体" w:hAnsi="宋体" w:eastAsia="宋体" w:cs="宋体"/>
              <w:bCs/>
              <w:spacing w:val="1"/>
              <w:highlight w:val="none"/>
            </w:rPr>
            <w:t>6.2 验收方法</w:t>
          </w:r>
          <w:r>
            <w:tab/>
          </w:r>
          <w:r>
            <w:fldChar w:fldCharType="begin"/>
          </w:r>
          <w:r>
            <w:instrText xml:space="preserve"> PAGEREF _Toc7762 \h </w:instrText>
          </w:r>
          <w:r>
            <w:fldChar w:fldCharType="separate"/>
          </w:r>
          <w:r>
            <w:t>24</w:t>
          </w:r>
          <w:r>
            <w:fldChar w:fldCharType="end"/>
          </w:r>
          <w:r>
            <w:rPr>
              <w:highlight w:val="none"/>
            </w:rPr>
            <w:fldChar w:fldCharType="end"/>
          </w:r>
        </w:p>
        <w:p>
          <w:pPr>
            <w:pStyle w:val="2"/>
            <w:tabs>
              <w:tab w:val="right" w:leader="dot" w:pos="9130"/>
            </w:tabs>
          </w:pPr>
          <w:r>
            <w:rPr>
              <w:highlight w:val="none"/>
            </w:rPr>
            <w:fldChar w:fldCharType="begin"/>
          </w:r>
          <w:r>
            <w:rPr>
              <w:highlight w:val="none"/>
            </w:rPr>
            <w:instrText xml:space="preserve"> HYPERLINK \l _Toc33 </w:instrText>
          </w:r>
          <w:r>
            <w:rPr>
              <w:highlight w:val="none"/>
            </w:rPr>
            <w:fldChar w:fldCharType="separate"/>
          </w:r>
          <w:r>
            <w:rPr>
              <w:rFonts w:hint="eastAsia" w:ascii="宋体" w:hAnsi="宋体" w:eastAsia="宋体" w:cs="宋体"/>
              <w:bCs/>
              <w:spacing w:val="1"/>
              <w:highlight w:val="none"/>
            </w:rPr>
            <w:t>6.3 验收时间与地点</w:t>
          </w:r>
          <w:r>
            <w:tab/>
          </w:r>
          <w:r>
            <w:fldChar w:fldCharType="begin"/>
          </w:r>
          <w:r>
            <w:instrText xml:space="preserve"> PAGEREF _Toc33 \h </w:instrText>
          </w:r>
          <w:r>
            <w:fldChar w:fldCharType="separate"/>
          </w:r>
          <w:r>
            <w:t>24</w:t>
          </w:r>
          <w:r>
            <w:fldChar w:fldCharType="end"/>
          </w:r>
          <w:r>
            <w:rPr>
              <w:highlight w:val="none"/>
            </w:rPr>
            <w:fldChar w:fldCharType="end"/>
          </w:r>
        </w:p>
        <w:p>
          <w:pPr>
            <w:rPr>
              <w:b/>
              <w:highlight w:val="none"/>
            </w:rPr>
          </w:pPr>
          <w:r>
            <w:rPr>
              <w:highlight w:val="none"/>
            </w:rPr>
            <w:fldChar w:fldCharType="end"/>
          </w:r>
        </w:p>
      </w:sdtContent>
    </w:sdt>
    <w:p>
      <w:pPr>
        <w:bidi w:val="0"/>
        <w:rPr>
          <w:rFonts w:ascii="Calibri" w:hAnsi="Calibri" w:eastAsia="仿宋" w:cs="Times New Roman"/>
          <w:kern w:val="2"/>
          <w:sz w:val="32"/>
          <w:szCs w:val="22"/>
          <w:highlight w:val="none"/>
          <w:lang w:val="en-US" w:eastAsia="zh-CN" w:bidi="ar-SA"/>
        </w:rPr>
      </w:pPr>
    </w:p>
    <w:p>
      <w:pPr>
        <w:bidi w:val="0"/>
        <w:rPr>
          <w:highlight w:val="none"/>
          <w:lang w:val="en-US" w:eastAsia="zh-CN"/>
        </w:rPr>
      </w:pPr>
    </w:p>
    <w:p>
      <w:pPr>
        <w:bidi w:val="0"/>
        <w:rPr>
          <w:highlight w:val="none"/>
          <w:lang w:val="en-US" w:eastAsia="zh-CN"/>
        </w:rPr>
      </w:pPr>
    </w:p>
    <w:p>
      <w:pPr>
        <w:tabs>
          <w:tab w:val="left" w:pos="4042"/>
        </w:tabs>
        <w:bidi w:val="0"/>
        <w:jc w:val="left"/>
        <w:rPr>
          <w:highlight w:val="none"/>
          <w:lang w:val="en-US" w:eastAsia="zh-CN"/>
        </w:rPr>
      </w:pPr>
      <w:r>
        <w:rPr>
          <w:rFonts w:hint="eastAsia"/>
          <w:highlight w:val="none"/>
          <w:lang w:val="en-US" w:eastAsia="zh-CN"/>
        </w:rPr>
        <w:tab/>
      </w:r>
    </w:p>
    <w:p>
      <w:pPr>
        <w:pStyle w:val="3"/>
        <w:keepNext/>
        <w:keepLines/>
        <w:pageBreakBefore/>
        <w:widowControl w:val="0"/>
        <w:numPr>
          <w:ilvl w:val="0"/>
          <w:numId w:val="0"/>
        </w:numPr>
        <w:kinsoku/>
        <w:wordWrap/>
        <w:overflowPunct/>
        <w:topLinePunct w:val="0"/>
        <w:autoSpaceDE/>
        <w:autoSpaceDN/>
        <w:bidi w:val="0"/>
        <w:adjustRightInd/>
        <w:snapToGrid/>
        <w:spacing w:before="138" w:line="240" w:lineRule="auto"/>
        <w:ind w:leftChars="0" w:right="0" w:rightChars="0"/>
        <w:jc w:val="left"/>
        <w:textAlignment w:val="auto"/>
        <w:outlineLvl w:val="0"/>
        <w:rPr>
          <w:rFonts w:hint="eastAsia" w:ascii="宋体" w:hAnsi="宋体" w:eastAsia="宋体" w:cs="宋体"/>
          <w:sz w:val="44"/>
          <w:szCs w:val="44"/>
          <w:highlight w:val="none"/>
        </w:rPr>
        <w:sectPr>
          <w:footerReference r:id="rId4" w:type="default"/>
          <w:pgSz w:w="11910" w:h="16840"/>
          <w:pgMar w:top="1340" w:right="1120" w:bottom="280" w:left="1660" w:header="720" w:footer="720" w:gutter="0"/>
          <w:pgNumType w:fmt="decimal" w:start="1"/>
          <w:cols w:space="720" w:num="1"/>
        </w:sectPr>
      </w:pPr>
    </w:p>
    <w:p>
      <w:pPr>
        <w:pStyle w:val="3"/>
        <w:keepNext/>
        <w:keepLines/>
        <w:pageBreakBefore/>
        <w:widowControl w:val="0"/>
        <w:numPr>
          <w:ilvl w:val="0"/>
          <w:numId w:val="0"/>
        </w:numPr>
        <w:kinsoku/>
        <w:wordWrap/>
        <w:overflowPunct/>
        <w:topLinePunct w:val="0"/>
        <w:autoSpaceDE/>
        <w:autoSpaceDN/>
        <w:bidi w:val="0"/>
        <w:adjustRightInd/>
        <w:snapToGrid/>
        <w:spacing w:before="138" w:line="240" w:lineRule="auto"/>
        <w:ind w:leftChars="0" w:right="0" w:rightChars="0"/>
        <w:jc w:val="left"/>
        <w:textAlignment w:val="auto"/>
        <w:outlineLvl w:val="0"/>
        <w:rPr>
          <w:rFonts w:hint="eastAsia" w:ascii="仿宋_GB2312" w:hAnsi="仿宋_GB2312" w:eastAsia="仿宋_GB2312" w:cs="仿宋_GB2312"/>
          <w:spacing w:val="1"/>
          <w:highlight w:val="none"/>
        </w:rPr>
      </w:pPr>
      <w:bookmarkStart w:id="1" w:name="_Toc25715"/>
      <w:bookmarkStart w:id="2" w:name="_Toc9218"/>
      <w:r>
        <w:rPr>
          <w:rFonts w:hint="eastAsia" w:ascii="宋体" w:hAnsi="宋体" w:eastAsia="宋体" w:cs="宋体"/>
          <w:sz w:val="44"/>
          <w:szCs w:val="44"/>
          <w:highlight w:val="none"/>
        </w:rPr>
        <w:t>1</w:t>
      </w:r>
      <w:r>
        <w:rPr>
          <w:rFonts w:hint="eastAsia" w:ascii="宋体" w:hAnsi="宋体" w:eastAsia="宋体" w:cs="宋体"/>
          <w:spacing w:val="-48"/>
          <w:sz w:val="44"/>
          <w:szCs w:val="44"/>
          <w:highlight w:val="none"/>
        </w:rPr>
        <w:t xml:space="preserve"> </w:t>
      </w:r>
      <w:bookmarkStart w:id="3" w:name="1总则"/>
      <w:bookmarkEnd w:id="3"/>
      <w:r>
        <w:rPr>
          <w:rFonts w:hint="eastAsia" w:ascii="宋体" w:hAnsi="宋体" w:eastAsia="宋体" w:cs="宋体"/>
          <w:spacing w:val="2"/>
          <w:sz w:val="44"/>
          <w:szCs w:val="44"/>
          <w:highlight w:val="none"/>
        </w:rPr>
        <w:t>总</w:t>
      </w:r>
      <w:r>
        <w:rPr>
          <w:rFonts w:hint="eastAsia" w:ascii="宋体" w:hAnsi="宋体" w:eastAsia="宋体" w:cs="宋体"/>
          <w:sz w:val="44"/>
          <w:szCs w:val="44"/>
          <w:highlight w:val="none"/>
        </w:rPr>
        <w:t>则</w:t>
      </w:r>
      <w:bookmarkEnd w:id="0"/>
      <w:bookmarkEnd w:id="1"/>
      <w:bookmarkEnd w:id="2"/>
      <w:bookmarkStart w:id="4" w:name="_Toc14539"/>
    </w:p>
    <w:p>
      <w:pPr>
        <w:pStyle w:val="4"/>
        <w:spacing w:line="240" w:lineRule="auto"/>
        <w:ind w:left="0" w:leftChars="0" w:right="0" w:firstLine="0" w:firstLineChars="0"/>
        <w:jc w:val="left"/>
        <w:outlineLvl w:val="1"/>
        <w:rPr>
          <w:rFonts w:hint="eastAsia" w:ascii="宋体" w:hAnsi="宋体" w:eastAsia="宋体" w:cs="宋体"/>
          <w:b/>
          <w:bCs/>
          <w:highlight w:val="none"/>
        </w:rPr>
      </w:pPr>
      <w:bookmarkStart w:id="5" w:name="_Toc3518"/>
      <w:bookmarkStart w:id="6" w:name="_Toc23623"/>
      <w:r>
        <w:rPr>
          <w:rFonts w:hint="eastAsia" w:ascii="宋体" w:hAnsi="宋体" w:eastAsia="宋体" w:cs="宋体"/>
          <w:b/>
          <w:bCs/>
          <w:spacing w:val="1"/>
          <w:highlight w:val="none"/>
        </w:rPr>
        <w:t>1.1</w:t>
      </w:r>
      <w:r>
        <w:rPr>
          <w:rFonts w:hint="eastAsia" w:ascii="宋体" w:hAnsi="宋体" w:eastAsia="宋体" w:cs="宋体"/>
          <w:b/>
          <w:bCs/>
          <w:spacing w:val="22"/>
          <w:highlight w:val="none"/>
        </w:rPr>
        <w:t xml:space="preserve"> </w:t>
      </w:r>
      <w:bookmarkStart w:id="7" w:name="1.1概述"/>
      <w:bookmarkEnd w:id="7"/>
      <w:r>
        <w:rPr>
          <w:rFonts w:hint="eastAsia" w:ascii="宋体" w:hAnsi="宋体" w:eastAsia="宋体" w:cs="宋体"/>
          <w:b/>
          <w:bCs/>
          <w:spacing w:val="1"/>
          <w:highlight w:val="none"/>
        </w:rPr>
        <w:t>概述</w:t>
      </w:r>
      <w:bookmarkEnd w:id="4"/>
      <w:bookmarkEnd w:id="5"/>
      <w:bookmarkEnd w:id="6"/>
    </w:p>
    <w:p>
      <w:pPr>
        <w:spacing w:before="3" w:line="240" w:lineRule="auto"/>
        <w:rPr>
          <w:rFonts w:hint="eastAsia" w:ascii="仿宋_GB2312" w:hAnsi="仿宋_GB2312" w:eastAsia="仿宋_GB2312" w:cs="仿宋_GB2312"/>
          <w:b/>
          <w:bCs/>
          <w:sz w:val="28"/>
          <w:szCs w:val="28"/>
          <w:highlight w:val="none"/>
        </w:rPr>
      </w:pPr>
    </w:p>
    <w:p>
      <w:pPr>
        <w:spacing w:before="0" w:line="408" w:lineRule="auto"/>
        <w:ind w:left="120" w:right="0" w:firstLine="42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rPr>
        <w:t>本</w:t>
      </w:r>
      <w:r>
        <w:rPr>
          <w:rFonts w:hint="eastAsia" w:asciiTheme="minorEastAsia" w:hAnsiTheme="minorEastAsia" w:eastAsiaTheme="minorEastAsia" w:cstheme="minorEastAsia"/>
          <w:spacing w:val="-1"/>
          <w:sz w:val="24"/>
          <w:szCs w:val="24"/>
          <w:highlight w:val="none"/>
        </w:rPr>
        <w:t>技</w:t>
      </w:r>
      <w:r>
        <w:rPr>
          <w:rFonts w:hint="eastAsia" w:asciiTheme="minorEastAsia" w:hAnsiTheme="minorEastAsia" w:eastAsiaTheme="minorEastAsia" w:cstheme="minorEastAsia"/>
          <w:spacing w:val="2"/>
          <w:sz w:val="24"/>
          <w:szCs w:val="24"/>
          <w:highlight w:val="none"/>
        </w:rPr>
        <w:t>术</w:t>
      </w:r>
      <w:r>
        <w:rPr>
          <w:rFonts w:hint="eastAsia" w:asciiTheme="minorEastAsia" w:hAnsiTheme="minorEastAsia" w:eastAsiaTheme="minorEastAsia" w:cstheme="minorEastAsia"/>
          <w:spacing w:val="-1"/>
          <w:sz w:val="24"/>
          <w:szCs w:val="24"/>
          <w:highlight w:val="none"/>
        </w:rPr>
        <w:t>规</w:t>
      </w:r>
      <w:r>
        <w:rPr>
          <w:rFonts w:hint="eastAsia" w:asciiTheme="minorEastAsia" w:hAnsiTheme="minorEastAsia" w:eastAsiaTheme="minorEastAsia" w:cstheme="minorEastAsia"/>
          <w:spacing w:val="2"/>
          <w:sz w:val="24"/>
          <w:szCs w:val="24"/>
          <w:highlight w:val="none"/>
        </w:rPr>
        <w:t>范</w:t>
      </w:r>
      <w:r>
        <w:rPr>
          <w:rFonts w:hint="eastAsia" w:asciiTheme="minorEastAsia" w:hAnsiTheme="minorEastAsia" w:eastAsiaTheme="minorEastAsia" w:cstheme="minorEastAsia"/>
          <w:spacing w:val="-1"/>
          <w:sz w:val="24"/>
          <w:szCs w:val="24"/>
          <w:highlight w:val="none"/>
        </w:rPr>
        <w:t>书</w:t>
      </w:r>
      <w:r>
        <w:rPr>
          <w:rFonts w:hint="eastAsia" w:asciiTheme="minorEastAsia" w:hAnsiTheme="minorEastAsia" w:eastAsiaTheme="minorEastAsia" w:cstheme="minorEastAsia"/>
          <w:spacing w:val="2"/>
          <w:sz w:val="24"/>
          <w:szCs w:val="24"/>
          <w:highlight w:val="none"/>
        </w:rPr>
        <w:t>为</w:t>
      </w:r>
      <w:r>
        <w:rPr>
          <w:rFonts w:hint="eastAsia" w:asciiTheme="minorEastAsia" w:hAnsiTheme="minorEastAsia" w:eastAsiaTheme="minorEastAsia" w:cstheme="minorEastAsia"/>
          <w:spacing w:val="2"/>
          <w:sz w:val="24"/>
          <w:szCs w:val="24"/>
          <w:highlight w:val="none"/>
          <w:lang w:val="en-US" w:eastAsia="zh-CN"/>
        </w:rPr>
        <w:t>采购</w:t>
      </w:r>
      <w:r>
        <w:rPr>
          <w:rFonts w:hint="eastAsia" w:asciiTheme="minorEastAsia" w:hAnsiTheme="minorEastAsia" w:eastAsiaTheme="minorEastAsia" w:cstheme="minorEastAsia"/>
          <w:spacing w:val="-26"/>
          <w:sz w:val="24"/>
          <w:szCs w:val="24"/>
          <w:highlight w:val="none"/>
        </w:rPr>
        <w:t>方</w:t>
      </w:r>
      <w:r>
        <w:rPr>
          <w:rFonts w:hint="eastAsia" w:asciiTheme="minorEastAsia" w:hAnsiTheme="minorEastAsia" w:eastAsiaTheme="minorEastAsia" w:cstheme="minorEastAsia"/>
          <w:spacing w:val="2"/>
          <w:sz w:val="24"/>
          <w:szCs w:val="24"/>
          <w:highlight w:val="none"/>
        </w:rPr>
        <w:t>（</w:t>
      </w:r>
      <w:r>
        <w:rPr>
          <w:rFonts w:hint="eastAsia" w:asciiTheme="minorEastAsia" w:hAnsiTheme="minorEastAsia" w:eastAsiaTheme="minorEastAsia" w:cstheme="minorEastAsia"/>
          <w:spacing w:val="2"/>
          <w:sz w:val="24"/>
          <w:szCs w:val="24"/>
          <w:highlight w:val="none"/>
          <w:lang w:eastAsia="zh-CN"/>
        </w:rPr>
        <w:t>南方电</w:t>
      </w:r>
      <w:r>
        <w:rPr>
          <w:rFonts w:hint="eastAsia" w:asciiTheme="minorEastAsia" w:hAnsiTheme="minorEastAsia" w:eastAsiaTheme="minorEastAsia" w:cstheme="minorEastAsia"/>
          <w:spacing w:val="2"/>
          <w:sz w:val="24"/>
          <w:szCs w:val="24"/>
          <w:highlight w:val="none"/>
          <w:lang w:val="en-US" w:eastAsia="zh-CN"/>
        </w:rPr>
        <w:t>网国际公司</w:t>
      </w:r>
      <w:r>
        <w:rPr>
          <w:rFonts w:hint="eastAsia" w:asciiTheme="minorEastAsia" w:hAnsiTheme="minorEastAsia" w:eastAsiaTheme="minorEastAsia" w:cstheme="minorEastAsia"/>
          <w:spacing w:val="-26"/>
          <w:sz w:val="24"/>
          <w:szCs w:val="24"/>
          <w:highlight w:val="none"/>
        </w:rPr>
        <w:t>，</w:t>
      </w:r>
      <w:r>
        <w:rPr>
          <w:rFonts w:hint="eastAsia" w:asciiTheme="minorEastAsia" w:hAnsiTheme="minorEastAsia" w:eastAsiaTheme="minorEastAsia" w:cstheme="minorEastAsia"/>
          <w:spacing w:val="2"/>
          <w:sz w:val="24"/>
          <w:szCs w:val="24"/>
          <w:highlight w:val="none"/>
        </w:rPr>
        <w:t>以</w:t>
      </w:r>
      <w:r>
        <w:rPr>
          <w:rFonts w:hint="eastAsia" w:asciiTheme="minorEastAsia" w:hAnsiTheme="minorEastAsia" w:eastAsiaTheme="minorEastAsia" w:cstheme="minorEastAsia"/>
          <w:spacing w:val="-1"/>
          <w:sz w:val="24"/>
          <w:szCs w:val="24"/>
          <w:highlight w:val="none"/>
        </w:rPr>
        <w:t>下</w:t>
      </w:r>
      <w:r>
        <w:rPr>
          <w:rFonts w:hint="eastAsia" w:asciiTheme="minorEastAsia" w:hAnsiTheme="minorEastAsia" w:eastAsiaTheme="minorEastAsia" w:cstheme="minorEastAsia"/>
          <w:spacing w:val="2"/>
          <w:sz w:val="24"/>
          <w:szCs w:val="24"/>
          <w:highlight w:val="none"/>
        </w:rPr>
        <w:t>简称甲方）对“</w:t>
      </w:r>
      <w:r>
        <w:rPr>
          <w:rFonts w:hint="eastAsia" w:asciiTheme="minorEastAsia" w:hAnsiTheme="minorEastAsia" w:eastAsiaTheme="minorEastAsia" w:cstheme="minorEastAsia"/>
          <w:b w:val="0"/>
          <w:bCs w:val="0"/>
          <w:spacing w:val="2"/>
          <w:w w:val="100"/>
          <w:sz w:val="24"/>
          <w:szCs w:val="24"/>
          <w:highlight w:val="none"/>
          <w:lang w:eastAsia="zh-CN"/>
        </w:rPr>
        <w:t>南方电网国际公司监督控制管理平台推广实施项目</w:t>
      </w:r>
      <w:r>
        <w:rPr>
          <w:rFonts w:hint="eastAsia" w:asciiTheme="minorEastAsia" w:hAnsiTheme="minorEastAsia" w:eastAsiaTheme="minorEastAsia" w:cstheme="minorEastAsia"/>
          <w:b w:val="0"/>
          <w:bCs w:val="0"/>
          <w:spacing w:val="2"/>
          <w:w w:val="100"/>
          <w:sz w:val="24"/>
          <w:szCs w:val="24"/>
          <w:highlight w:val="none"/>
        </w:rPr>
        <w:t xml:space="preserve">” </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提出的技术规范书，本规范书将作为投标文件技术部分评议的基础。</w:t>
      </w:r>
    </w:p>
    <w:p>
      <w:pPr>
        <w:pStyle w:val="11"/>
        <w:spacing w:line="397" w:lineRule="auto"/>
        <w:ind w:right="239" w:firstLine="42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pacing w:val="2"/>
          <w:sz w:val="24"/>
          <w:szCs w:val="24"/>
          <w:highlight w:val="none"/>
          <w:lang w:val="en-US" w:eastAsia="zh-CN"/>
        </w:rPr>
        <w:t xml:space="preserve">1. </w:t>
      </w:r>
      <w:r>
        <w:rPr>
          <w:rFonts w:hint="eastAsia" w:asciiTheme="minorEastAsia" w:hAnsiTheme="minorEastAsia" w:eastAsiaTheme="minorEastAsia" w:cstheme="minorEastAsia"/>
          <w:spacing w:val="2"/>
          <w:sz w:val="24"/>
          <w:szCs w:val="24"/>
          <w:highlight w:val="none"/>
          <w:lang w:eastAsia="zh-CN"/>
        </w:rPr>
        <w:t>供应商</w:t>
      </w:r>
      <w:r>
        <w:rPr>
          <w:rFonts w:hint="eastAsia" w:asciiTheme="minorEastAsia" w:hAnsiTheme="minorEastAsia" w:eastAsiaTheme="minorEastAsia" w:cstheme="minorEastAsia"/>
          <w:spacing w:val="2"/>
          <w:sz w:val="24"/>
          <w:szCs w:val="24"/>
          <w:highlight w:val="none"/>
        </w:rPr>
        <w:t>应按照本文件的要求提供报价。</w:t>
      </w:r>
      <w:r>
        <w:rPr>
          <w:rFonts w:hint="eastAsia" w:asciiTheme="minorEastAsia" w:hAnsiTheme="minorEastAsia" w:eastAsiaTheme="minorEastAsia" w:cstheme="minorEastAsia"/>
          <w:spacing w:val="2"/>
          <w:sz w:val="24"/>
          <w:szCs w:val="24"/>
          <w:highlight w:val="none"/>
          <w:lang w:eastAsia="zh-CN"/>
        </w:rPr>
        <w:t>供应商</w:t>
      </w:r>
      <w:r>
        <w:rPr>
          <w:rFonts w:hint="eastAsia" w:asciiTheme="minorEastAsia" w:hAnsiTheme="minorEastAsia" w:eastAsiaTheme="minorEastAsia" w:cstheme="minorEastAsia"/>
          <w:spacing w:val="2"/>
          <w:sz w:val="24"/>
          <w:szCs w:val="24"/>
          <w:highlight w:val="none"/>
        </w:rPr>
        <w:t>提供的服务符合</w:t>
      </w:r>
      <w:r>
        <w:rPr>
          <w:rFonts w:hint="eastAsia" w:asciiTheme="minorEastAsia" w:hAnsiTheme="minorEastAsia" w:eastAsiaTheme="minorEastAsia" w:cstheme="minorEastAsia"/>
          <w:spacing w:val="2"/>
          <w:sz w:val="24"/>
          <w:szCs w:val="24"/>
          <w:highlight w:val="none"/>
          <w:lang w:eastAsia="zh-CN"/>
        </w:rPr>
        <w:t>采购人</w:t>
      </w:r>
      <w:r>
        <w:rPr>
          <w:rFonts w:hint="eastAsia" w:asciiTheme="minorEastAsia" w:hAnsiTheme="minorEastAsia" w:eastAsiaTheme="minorEastAsia" w:cstheme="minorEastAsia"/>
          <w:spacing w:val="2"/>
          <w:sz w:val="24"/>
          <w:szCs w:val="24"/>
          <w:highlight w:val="none"/>
        </w:rPr>
        <w:t>的标准</w:t>
      </w:r>
      <w:r>
        <w:rPr>
          <w:rFonts w:hint="eastAsia" w:asciiTheme="minorEastAsia" w:hAnsiTheme="minorEastAsia" w:eastAsiaTheme="minorEastAsia" w:cstheme="minorEastAsia"/>
          <w:spacing w:val="2"/>
          <w:w w:val="100"/>
          <w:sz w:val="24"/>
          <w:szCs w:val="24"/>
          <w:highlight w:val="none"/>
        </w:rPr>
        <w:t>并满足或高于</w:t>
      </w:r>
      <w:r>
        <w:rPr>
          <w:rFonts w:hint="eastAsia" w:asciiTheme="minorEastAsia" w:hAnsiTheme="minorEastAsia" w:eastAsiaTheme="minorEastAsia" w:cstheme="minorEastAsia"/>
          <w:spacing w:val="2"/>
          <w:w w:val="100"/>
          <w:sz w:val="24"/>
          <w:szCs w:val="24"/>
          <w:highlight w:val="none"/>
          <w:lang w:eastAsia="zh-CN"/>
        </w:rPr>
        <w:t>采购人</w:t>
      </w:r>
      <w:r>
        <w:rPr>
          <w:rFonts w:hint="eastAsia" w:asciiTheme="minorEastAsia" w:hAnsiTheme="minorEastAsia" w:eastAsiaTheme="minorEastAsia" w:cstheme="minorEastAsia"/>
          <w:spacing w:val="2"/>
          <w:w w:val="100"/>
          <w:sz w:val="24"/>
          <w:szCs w:val="24"/>
          <w:highlight w:val="none"/>
        </w:rPr>
        <w:t>的技术要求。对于本技术规范书未规定的有关服务内容和标准，</w:t>
      </w:r>
      <w:r>
        <w:rPr>
          <w:rFonts w:hint="eastAsia" w:asciiTheme="minorEastAsia" w:hAnsiTheme="minorEastAsia" w:eastAsiaTheme="minorEastAsia" w:cstheme="minorEastAsia"/>
          <w:spacing w:val="2"/>
          <w:w w:val="100"/>
          <w:sz w:val="24"/>
          <w:szCs w:val="24"/>
          <w:highlight w:val="none"/>
          <w:lang w:eastAsia="zh-CN"/>
        </w:rPr>
        <w:t>供应商</w:t>
      </w:r>
      <w:r>
        <w:rPr>
          <w:rFonts w:hint="eastAsia" w:asciiTheme="minorEastAsia" w:hAnsiTheme="minorEastAsia" w:eastAsiaTheme="minorEastAsia" w:cstheme="minorEastAsia"/>
          <w:spacing w:val="2"/>
          <w:sz w:val="24"/>
          <w:szCs w:val="24"/>
          <w:highlight w:val="none"/>
        </w:rPr>
        <w:t>应提出具体建议，并陈述其理由。</w:t>
      </w:r>
    </w:p>
    <w:p>
      <w:pPr>
        <w:pStyle w:val="11"/>
        <w:numPr>
          <w:ilvl w:val="0"/>
          <w:numId w:val="4"/>
        </w:numPr>
        <w:spacing w:line="397" w:lineRule="auto"/>
        <w:ind w:right="239" w:firstLine="420"/>
        <w:jc w:val="both"/>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sz w:val="24"/>
          <w:szCs w:val="24"/>
          <w:highlight w:val="none"/>
          <w:lang w:eastAsia="zh-CN"/>
        </w:rPr>
        <w:t>供应商</w:t>
      </w:r>
      <w:r>
        <w:rPr>
          <w:rFonts w:hint="eastAsia" w:asciiTheme="minorEastAsia" w:hAnsiTheme="minorEastAsia" w:eastAsiaTheme="minorEastAsia" w:cstheme="minorEastAsia"/>
          <w:spacing w:val="2"/>
          <w:sz w:val="24"/>
          <w:szCs w:val="24"/>
          <w:highlight w:val="none"/>
        </w:rPr>
        <w:t>在其投</w:t>
      </w:r>
      <w:r>
        <w:rPr>
          <w:rFonts w:hint="eastAsia" w:asciiTheme="minorEastAsia" w:hAnsiTheme="minorEastAsia" w:eastAsiaTheme="minorEastAsia" w:cstheme="minorEastAsia"/>
          <w:spacing w:val="0"/>
          <w:sz w:val="24"/>
          <w:szCs w:val="24"/>
          <w:highlight w:val="none"/>
        </w:rPr>
        <w:t>标文件中，要求对本文件中所提各项服务能否实现与满足，应逐项</w:t>
      </w:r>
      <w:r>
        <w:rPr>
          <w:rFonts w:hint="eastAsia" w:asciiTheme="minorEastAsia" w:hAnsiTheme="minorEastAsia" w:eastAsiaTheme="minorEastAsia" w:cstheme="minorEastAsia"/>
          <w:spacing w:val="0"/>
          <w:sz w:val="24"/>
          <w:szCs w:val="24"/>
          <w:highlight w:val="none"/>
          <w:lang w:val="en-US" w:eastAsia="zh-CN"/>
        </w:rPr>
        <w:t>诚实</w:t>
      </w:r>
      <w:r>
        <w:rPr>
          <w:rFonts w:hint="eastAsia" w:asciiTheme="minorEastAsia" w:hAnsiTheme="minorEastAsia" w:eastAsiaTheme="minorEastAsia" w:cstheme="minorEastAsia"/>
          <w:spacing w:val="0"/>
          <w:w w:val="100"/>
          <w:sz w:val="24"/>
          <w:szCs w:val="24"/>
          <w:highlight w:val="none"/>
        </w:rPr>
        <w:t>地予以答复、说明和解释，首先对实现或满足程度明确作出“满足”、“不满足”、“部分满</w:t>
      </w:r>
      <w:r>
        <w:rPr>
          <w:rFonts w:hint="eastAsia" w:asciiTheme="minorEastAsia" w:hAnsiTheme="minorEastAsia" w:eastAsiaTheme="minorEastAsia" w:cstheme="minorEastAsia"/>
          <w:w w:val="100"/>
          <w:sz w:val="24"/>
          <w:szCs w:val="24"/>
          <w:highlight w:val="none"/>
        </w:rPr>
        <w:t>足”等应答，然后作出具体、详细的说明。对本次技术规范书中答满足项视为对该需求全部</w:t>
      </w:r>
      <w:r>
        <w:rPr>
          <w:rFonts w:hint="eastAsia" w:asciiTheme="minorEastAsia" w:hAnsiTheme="minorEastAsia" w:eastAsiaTheme="minorEastAsia" w:cstheme="minorEastAsia"/>
          <w:spacing w:val="0"/>
          <w:w w:val="100"/>
          <w:sz w:val="24"/>
          <w:szCs w:val="24"/>
          <w:highlight w:val="none"/>
        </w:rPr>
        <w:t>无条件满足，不需要额外增加任何内容；如在应答中回答过于简单，不能够充分阐述“满足</w:t>
      </w:r>
      <w:r>
        <w:rPr>
          <w:rFonts w:hint="eastAsia" w:asciiTheme="minorEastAsia" w:hAnsiTheme="minorEastAsia" w:eastAsiaTheme="minorEastAsia" w:cstheme="minorEastAsia"/>
          <w:w w:val="100"/>
          <w:sz w:val="24"/>
          <w:szCs w:val="24"/>
          <w:highlight w:val="none"/>
        </w:rPr>
        <w:t xml:space="preserve">” </w:t>
      </w:r>
      <w:r>
        <w:rPr>
          <w:rFonts w:hint="eastAsia" w:asciiTheme="minorEastAsia" w:hAnsiTheme="minorEastAsia" w:eastAsiaTheme="minorEastAsia" w:cstheme="minorEastAsia"/>
          <w:sz w:val="24"/>
          <w:szCs w:val="24"/>
          <w:highlight w:val="none"/>
        </w:rPr>
        <w:t>的原因或未作明确答复的，</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将视为对各项</w:t>
      </w:r>
      <w:r>
        <w:rPr>
          <w:rFonts w:hint="eastAsia" w:asciiTheme="minorEastAsia" w:hAnsiTheme="minorEastAsia" w:eastAsiaTheme="minorEastAsia" w:cstheme="minorEastAsia"/>
          <w:spacing w:val="2"/>
          <w:sz w:val="24"/>
          <w:szCs w:val="24"/>
          <w:highlight w:val="none"/>
        </w:rPr>
        <w:t>内容和标准不满足或部分满足。</w:t>
      </w:r>
    </w:p>
    <w:p>
      <w:pPr>
        <w:pStyle w:val="11"/>
        <w:numPr>
          <w:ilvl w:val="0"/>
          <w:numId w:val="4"/>
        </w:numPr>
        <w:spacing w:line="397" w:lineRule="auto"/>
        <w:ind w:right="239" w:firstLine="420"/>
        <w:jc w:val="both"/>
        <w:rPr>
          <w:rFonts w:hint="eastAsia" w:asciiTheme="minorEastAsia" w:hAnsiTheme="minorEastAsia" w:eastAsiaTheme="minorEastAsia" w:cstheme="minorEastAsia"/>
          <w:spacing w:val="2"/>
          <w:sz w:val="24"/>
          <w:szCs w:val="24"/>
          <w:highlight w:val="none"/>
        </w:rPr>
      </w:pPr>
      <w:r>
        <w:rPr>
          <w:rFonts w:hint="eastAsia" w:asciiTheme="minorEastAsia" w:hAnsiTheme="minorEastAsia" w:eastAsiaTheme="minorEastAsia" w:cstheme="minorEastAsia"/>
          <w:spacing w:val="2"/>
          <w:w w:val="100"/>
          <w:sz w:val="24"/>
          <w:szCs w:val="24"/>
          <w:highlight w:val="none"/>
          <w:lang w:eastAsia="zh-CN"/>
        </w:rPr>
        <w:t>供应商</w:t>
      </w:r>
      <w:r>
        <w:rPr>
          <w:rFonts w:hint="eastAsia" w:asciiTheme="minorEastAsia" w:hAnsiTheme="minorEastAsia" w:eastAsiaTheme="minorEastAsia" w:cstheme="minorEastAsia"/>
          <w:spacing w:val="2"/>
          <w:w w:val="100"/>
          <w:sz w:val="24"/>
          <w:szCs w:val="24"/>
          <w:highlight w:val="none"/>
        </w:rPr>
        <w:t>在满足招标文件要求的基础上可根据自己提供服务的具体情况提出建议，并附详细资料和说明。</w:t>
      </w:r>
      <w:r>
        <w:rPr>
          <w:rFonts w:hint="eastAsia" w:asciiTheme="minorEastAsia" w:hAnsiTheme="minorEastAsia" w:eastAsiaTheme="minorEastAsia" w:cstheme="minorEastAsia"/>
          <w:spacing w:val="2"/>
          <w:w w:val="100"/>
          <w:sz w:val="24"/>
          <w:szCs w:val="24"/>
          <w:highlight w:val="none"/>
          <w:lang w:eastAsia="zh-CN"/>
        </w:rPr>
        <w:t>供应商</w:t>
      </w:r>
      <w:r>
        <w:rPr>
          <w:rFonts w:hint="eastAsia" w:asciiTheme="minorEastAsia" w:hAnsiTheme="minorEastAsia" w:eastAsiaTheme="minorEastAsia" w:cstheme="minorEastAsia"/>
          <w:spacing w:val="2"/>
          <w:w w:val="100"/>
          <w:sz w:val="24"/>
          <w:szCs w:val="24"/>
          <w:highlight w:val="none"/>
        </w:rPr>
        <w:t>应在技术规范点对点应答中把“不满足”和“部分满足”项作单独列举清</w:t>
      </w:r>
      <w:r>
        <w:rPr>
          <w:rFonts w:hint="eastAsia" w:asciiTheme="minorEastAsia" w:hAnsiTheme="minorEastAsia" w:eastAsiaTheme="minorEastAsia" w:cstheme="minorEastAsia"/>
          <w:spacing w:val="2"/>
          <w:sz w:val="24"/>
          <w:szCs w:val="24"/>
          <w:highlight w:val="none"/>
        </w:rPr>
        <w:t>单。</w:t>
      </w:r>
    </w:p>
    <w:p>
      <w:pPr>
        <w:pStyle w:val="11"/>
        <w:numPr>
          <w:ilvl w:val="0"/>
          <w:numId w:val="4"/>
        </w:numPr>
        <w:spacing w:line="397" w:lineRule="auto"/>
        <w:ind w:right="239" w:firstLine="420"/>
        <w:jc w:val="both"/>
        <w:rPr>
          <w:rFonts w:hint="eastAsia" w:asciiTheme="minorEastAsia" w:hAnsiTheme="minorEastAsia" w:eastAsiaTheme="minorEastAsia" w:cstheme="minorEastAsia"/>
          <w:w w:val="95"/>
          <w:sz w:val="24"/>
          <w:szCs w:val="24"/>
          <w:highlight w:val="none"/>
        </w:rPr>
      </w:pPr>
      <w:r>
        <w:rPr>
          <w:rFonts w:hint="eastAsia" w:asciiTheme="minorEastAsia" w:hAnsiTheme="minorEastAsia" w:eastAsiaTheme="minorEastAsia" w:cstheme="minorEastAsia"/>
          <w:spacing w:val="2"/>
          <w:sz w:val="24"/>
          <w:szCs w:val="24"/>
          <w:highlight w:val="none"/>
          <w:lang w:eastAsia="zh-CN"/>
        </w:rPr>
        <w:t>供应商</w:t>
      </w:r>
      <w:r>
        <w:rPr>
          <w:rFonts w:hint="eastAsia" w:asciiTheme="minorEastAsia" w:hAnsiTheme="minorEastAsia" w:eastAsiaTheme="minorEastAsia" w:cstheme="minorEastAsia"/>
          <w:spacing w:val="2"/>
          <w:sz w:val="24"/>
          <w:szCs w:val="24"/>
          <w:highlight w:val="none"/>
        </w:rPr>
        <w:t>对于</w:t>
      </w:r>
      <w:r>
        <w:rPr>
          <w:rFonts w:hint="eastAsia" w:asciiTheme="minorEastAsia" w:hAnsiTheme="minorEastAsia" w:eastAsiaTheme="minorEastAsia" w:cstheme="minorEastAsia"/>
          <w:spacing w:val="2"/>
          <w:sz w:val="24"/>
          <w:szCs w:val="24"/>
          <w:highlight w:val="none"/>
          <w:lang w:val="en-US" w:eastAsia="zh-CN"/>
        </w:rPr>
        <w:t>技术</w:t>
      </w:r>
      <w:r>
        <w:rPr>
          <w:rFonts w:hint="eastAsia" w:asciiTheme="minorEastAsia" w:hAnsiTheme="minorEastAsia" w:eastAsiaTheme="minorEastAsia" w:cstheme="minorEastAsia"/>
          <w:spacing w:val="2"/>
          <w:sz w:val="24"/>
          <w:szCs w:val="24"/>
          <w:highlight w:val="none"/>
        </w:rPr>
        <w:t>规范书的疑问可以通过书面材料与</w:t>
      </w:r>
      <w:r>
        <w:rPr>
          <w:rFonts w:hint="eastAsia" w:asciiTheme="minorEastAsia" w:hAnsiTheme="minorEastAsia" w:eastAsiaTheme="minorEastAsia" w:cstheme="minorEastAsia"/>
          <w:spacing w:val="2"/>
          <w:sz w:val="24"/>
          <w:szCs w:val="24"/>
          <w:highlight w:val="none"/>
          <w:lang w:eastAsia="zh-CN"/>
        </w:rPr>
        <w:t>采购人</w:t>
      </w:r>
      <w:r>
        <w:rPr>
          <w:rFonts w:hint="eastAsia" w:asciiTheme="minorEastAsia" w:hAnsiTheme="minorEastAsia" w:eastAsiaTheme="minorEastAsia" w:cstheme="minorEastAsia"/>
          <w:spacing w:val="2"/>
          <w:sz w:val="24"/>
          <w:szCs w:val="24"/>
          <w:highlight w:val="none"/>
        </w:rPr>
        <w:t>联系，在规定的投标文件最后</w:t>
      </w:r>
      <w:r>
        <w:rPr>
          <w:rFonts w:hint="eastAsia" w:asciiTheme="minorEastAsia" w:hAnsiTheme="minorEastAsia" w:eastAsiaTheme="minorEastAsia" w:cstheme="minorEastAsia"/>
          <w:spacing w:val="2"/>
          <w:w w:val="100"/>
          <w:sz w:val="24"/>
          <w:szCs w:val="24"/>
          <w:highlight w:val="none"/>
        </w:rPr>
        <w:t>提交以前，</w:t>
      </w:r>
      <w:r>
        <w:rPr>
          <w:rFonts w:hint="eastAsia" w:asciiTheme="minorEastAsia" w:hAnsiTheme="minorEastAsia" w:eastAsiaTheme="minorEastAsia" w:cstheme="minorEastAsia"/>
          <w:spacing w:val="2"/>
          <w:w w:val="100"/>
          <w:sz w:val="24"/>
          <w:szCs w:val="24"/>
          <w:highlight w:val="none"/>
          <w:lang w:eastAsia="zh-CN"/>
        </w:rPr>
        <w:t>采购人</w:t>
      </w:r>
      <w:r>
        <w:rPr>
          <w:rFonts w:hint="eastAsia" w:asciiTheme="minorEastAsia" w:hAnsiTheme="minorEastAsia" w:eastAsiaTheme="minorEastAsia" w:cstheme="minorEastAsia"/>
          <w:spacing w:val="2"/>
          <w:w w:val="100"/>
          <w:sz w:val="24"/>
          <w:szCs w:val="24"/>
          <w:highlight w:val="none"/>
        </w:rPr>
        <w:t>将以书面材料给予答复，有关</w:t>
      </w:r>
      <w:r>
        <w:rPr>
          <w:rFonts w:hint="eastAsia" w:asciiTheme="minorEastAsia" w:hAnsiTheme="minorEastAsia" w:eastAsiaTheme="minorEastAsia" w:cstheme="minorEastAsia"/>
          <w:spacing w:val="2"/>
          <w:w w:val="100"/>
          <w:sz w:val="24"/>
          <w:szCs w:val="24"/>
          <w:highlight w:val="none"/>
          <w:lang w:eastAsia="zh-CN"/>
        </w:rPr>
        <w:t>采购人</w:t>
      </w:r>
      <w:r>
        <w:rPr>
          <w:rFonts w:hint="eastAsia" w:asciiTheme="minorEastAsia" w:hAnsiTheme="minorEastAsia" w:eastAsiaTheme="minorEastAsia" w:cstheme="minorEastAsia"/>
          <w:spacing w:val="2"/>
          <w:w w:val="100"/>
          <w:sz w:val="24"/>
          <w:szCs w:val="24"/>
          <w:highlight w:val="none"/>
        </w:rPr>
        <w:t>答复材料的复印件也将递交所有得到技术规范书的</w:t>
      </w:r>
      <w:r>
        <w:rPr>
          <w:rFonts w:hint="eastAsia" w:asciiTheme="minorEastAsia" w:hAnsiTheme="minorEastAsia" w:eastAsiaTheme="minorEastAsia" w:cstheme="minorEastAsia"/>
          <w:spacing w:val="2"/>
          <w:w w:val="100"/>
          <w:sz w:val="24"/>
          <w:szCs w:val="24"/>
          <w:highlight w:val="none"/>
          <w:lang w:eastAsia="zh-CN"/>
        </w:rPr>
        <w:t>供应商</w:t>
      </w:r>
      <w:r>
        <w:rPr>
          <w:rFonts w:hint="eastAsia" w:asciiTheme="minorEastAsia" w:hAnsiTheme="minorEastAsia" w:eastAsiaTheme="minorEastAsia" w:cstheme="minorEastAsia"/>
          <w:spacing w:val="-28"/>
          <w:w w:val="95"/>
          <w:sz w:val="24"/>
          <w:szCs w:val="24"/>
          <w:highlight w:val="none"/>
        </w:rPr>
        <w:t>。</w:t>
      </w:r>
    </w:p>
    <w:p>
      <w:pPr>
        <w:pStyle w:val="11"/>
        <w:numPr>
          <w:ilvl w:val="0"/>
          <w:numId w:val="4"/>
        </w:numPr>
        <w:spacing w:line="397" w:lineRule="auto"/>
        <w:ind w:right="239" w:firstLine="42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未经</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同意，不得以任何形式向第三方公开本技术规范书。</w:t>
      </w:r>
    </w:p>
    <w:p>
      <w:pPr>
        <w:pStyle w:val="11"/>
        <w:numPr>
          <w:ilvl w:val="0"/>
          <w:numId w:val="4"/>
        </w:numPr>
        <w:spacing w:line="397" w:lineRule="auto"/>
        <w:ind w:right="239" w:firstLine="42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w w:val="100"/>
          <w:sz w:val="24"/>
          <w:szCs w:val="24"/>
          <w:highlight w:val="none"/>
        </w:rPr>
        <w:t>本技术规范书未尽事宜，由</w:t>
      </w:r>
      <w:r>
        <w:rPr>
          <w:rFonts w:hint="eastAsia" w:asciiTheme="minorEastAsia" w:hAnsiTheme="minorEastAsia" w:eastAsiaTheme="minorEastAsia" w:cstheme="minorEastAsia"/>
          <w:w w:val="100"/>
          <w:sz w:val="24"/>
          <w:szCs w:val="24"/>
          <w:highlight w:val="none"/>
          <w:lang w:eastAsia="zh-CN"/>
        </w:rPr>
        <w:t>采购人</w:t>
      </w:r>
      <w:r>
        <w:rPr>
          <w:rFonts w:hint="eastAsia" w:asciiTheme="minorEastAsia" w:hAnsiTheme="minorEastAsia" w:eastAsiaTheme="minorEastAsia" w:cstheme="minorEastAsia"/>
          <w:w w:val="100"/>
          <w:sz w:val="24"/>
          <w:szCs w:val="24"/>
          <w:highlight w:val="none"/>
        </w:rPr>
        <w:t>和</w:t>
      </w:r>
      <w:r>
        <w:rPr>
          <w:rFonts w:hint="eastAsia" w:asciiTheme="minorEastAsia" w:hAnsiTheme="minorEastAsia" w:eastAsiaTheme="minorEastAsia" w:cstheme="minorEastAsia"/>
          <w:w w:val="100"/>
          <w:sz w:val="24"/>
          <w:szCs w:val="24"/>
          <w:highlight w:val="none"/>
          <w:lang w:eastAsia="zh-CN"/>
        </w:rPr>
        <w:t>供应商</w:t>
      </w:r>
      <w:r>
        <w:rPr>
          <w:rFonts w:hint="eastAsia" w:asciiTheme="minorEastAsia" w:hAnsiTheme="minorEastAsia" w:eastAsiaTheme="minorEastAsia" w:cstheme="minorEastAsia"/>
          <w:w w:val="100"/>
          <w:sz w:val="24"/>
          <w:szCs w:val="24"/>
          <w:highlight w:val="none"/>
        </w:rPr>
        <w:t>在合同技术谈判时协商确定</w:t>
      </w:r>
      <w:r>
        <w:rPr>
          <w:rFonts w:hint="eastAsia" w:asciiTheme="minorEastAsia" w:hAnsiTheme="minorEastAsia" w:eastAsiaTheme="minorEastAsia" w:cstheme="minorEastAsia"/>
          <w:w w:val="95"/>
          <w:sz w:val="24"/>
          <w:szCs w:val="24"/>
          <w:highlight w:val="none"/>
        </w:rPr>
        <w:t>。</w:t>
      </w:r>
    </w:p>
    <w:p>
      <w:pPr>
        <w:pStyle w:val="11"/>
        <w:numPr>
          <w:ilvl w:val="0"/>
          <w:numId w:val="4"/>
        </w:numPr>
        <w:spacing w:line="397" w:lineRule="auto"/>
        <w:ind w:right="239" w:firstLine="42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本技术规范书解释权属</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所有。</w:t>
      </w:r>
    </w:p>
    <w:p>
      <w:pPr>
        <w:spacing w:after="0" w:line="240" w:lineRule="auto"/>
        <w:jc w:val="left"/>
        <w:rPr>
          <w:rFonts w:hint="eastAsia" w:ascii="仿宋_GB2312" w:hAnsi="仿宋_GB2312" w:eastAsia="仿宋_GB2312" w:cs="仿宋_GB2312"/>
          <w:sz w:val="28"/>
          <w:szCs w:val="28"/>
          <w:highlight w:val="none"/>
        </w:rPr>
      </w:pPr>
    </w:p>
    <w:p>
      <w:pPr>
        <w:pStyle w:val="11"/>
        <w:rPr>
          <w:rFonts w:hint="eastAsia"/>
          <w:highlight w:val="none"/>
        </w:rPr>
      </w:pPr>
    </w:p>
    <w:p>
      <w:pPr>
        <w:pStyle w:val="4"/>
        <w:spacing w:line="240" w:lineRule="auto"/>
        <w:ind w:left="0" w:leftChars="0" w:right="0" w:firstLine="0" w:firstLineChars="0"/>
        <w:jc w:val="left"/>
        <w:outlineLvl w:val="1"/>
        <w:rPr>
          <w:rFonts w:hint="eastAsia" w:ascii="宋体" w:hAnsi="宋体" w:eastAsia="宋体" w:cs="宋体"/>
          <w:b/>
          <w:bCs/>
          <w:spacing w:val="1"/>
          <w:highlight w:val="none"/>
        </w:rPr>
      </w:pPr>
      <w:bookmarkStart w:id="8" w:name="_Toc32161"/>
      <w:bookmarkStart w:id="9" w:name="_Toc10713"/>
      <w:bookmarkStart w:id="10" w:name="_Toc2551"/>
      <w:r>
        <w:rPr>
          <w:rFonts w:hint="eastAsia" w:ascii="宋体" w:hAnsi="宋体" w:eastAsia="宋体" w:cs="宋体"/>
          <w:b/>
          <w:bCs/>
          <w:spacing w:val="1"/>
          <w:highlight w:val="none"/>
        </w:rPr>
        <w:t xml:space="preserve">1.2 </w:t>
      </w:r>
      <w:bookmarkStart w:id="11" w:name="1.2投标报价要求"/>
      <w:bookmarkEnd w:id="11"/>
      <w:r>
        <w:rPr>
          <w:rFonts w:hint="eastAsia" w:ascii="宋体" w:hAnsi="宋体" w:eastAsia="宋体" w:cs="宋体"/>
          <w:b/>
          <w:bCs/>
          <w:spacing w:val="1"/>
          <w:highlight w:val="none"/>
        </w:rPr>
        <w:t>投标报价要求</w:t>
      </w:r>
      <w:bookmarkEnd w:id="8"/>
      <w:bookmarkEnd w:id="9"/>
      <w:bookmarkEnd w:id="10"/>
    </w:p>
    <w:p>
      <w:pPr>
        <w:pStyle w:val="11"/>
        <w:spacing w:line="397" w:lineRule="auto"/>
        <w:ind w:right="239" w:firstLine="420"/>
        <w:jc w:val="both"/>
        <w:rPr>
          <w:rFonts w:hint="eastAsia" w:ascii="仿宋_GB2312" w:hAnsi="仿宋_GB2312" w:eastAsia="仿宋_GB2312" w:cs="仿宋_GB2312"/>
          <w:spacing w:val="-1"/>
          <w:w w:val="95"/>
          <w:sz w:val="28"/>
          <w:szCs w:val="28"/>
          <w:highlight w:val="none"/>
        </w:rPr>
      </w:pPr>
    </w:p>
    <w:p>
      <w:pPr>
        <w:pStyle w:val="11"/>
        <w:spacing w:line="397" w:lineRule="auto"/>
        <w:ind w:left="0" w:leftChars="0" w:right="239" w:firstLine="540" w:firstLineChars="0"/>
        <w:jc w:val="both"/>
        <w:rPr>
          <w:rFonts w:hint="eastAsia" w:ascii="仿宋_GB2312" w:hAnsi="仿宋_GB2312" w:eastAsia="仿宋_GB2312" w:cs="仿宋_GB2312"/>
          <w:spacing w:val="-1"/>
          <w:w w:val="95"/>
          <w:sz w:val="28"/>
          <w:szCs w:val="28"/>
          <w:highlight w:val="none"/>
        </w:rPr>
      </w:pPr>
      <w:r>
        <w:rPr>
          <w:rFonts w:hint="eastAsia" w:ascii="仿宋_GB2312" w:hAnsi="仿宋_GB2312" w:eastAsia="仿宋_GB2312" w:cs="仿宋_GB2312"/>
          <w:spacing w:val="-1"/>
          <w:w w:val="95"/>
          <w:sz w:val="28"/>
          <w:szCs w:val="28"/>
          <w:highlight w:val="none"/>
        </w:rPr>
        <w:t>本项目</w:t>
      </w:r>
      <w:r>
        <w:rPr>
          <w:rFonts w:hint="eastAsia" w:ascii="仿宋_GB2312" w:hAnsi="仿宋_GB2312" w:eastAsia="仿宋_GB2312" w:cs="仿宋_GB2312"/>
          <w:spacing w:val="-1"/>
          <w:w w:val="95"/>
          <w:sz w:val="28"/>
          <w:szCs w:val="28"/>
          <w:highlight w:val="none"/>
          <w:lang w:eastAsia="zh-CN"/>
        </w:rPr>
        <w:t>供应商</w:t>
      </w:r>
      <w:r>
        <w:rPr>
          <w:rFonts w:hint="eastAsia" w:ascii="仿宋_GB2312" w:hAnsi="仿宋_GB2312" w:eastAsia="仿宋_GB2312" w:cs="仿宋_GB2312"/>
          <w:spacing w:val="-1"/>
          <w:w w:val="95"/>
          <w:sz w:val="28"/>
          <w:szCs w:val="28"/>
          <w:highlight w:val="none"/>
        </w:rPr>
        <w:t>的其他相关费用以及</w:t>
      </w:r>
      <w:r>
        <w:rPr>
          <w:rFonts w:hint="eastAsia" w:ascii="仿宋_GB2312" w:hAnsi="仿宋_GB2312" w:eastAsia="仿宋_GB2312" w:cs="仿宋_GB2312"/>
          <w:spacing w:val="-1"/>
          <w:w w:val="95"/>
          <w:sz w:val="28"/>
          <w:szCs w:val="28"/>
          <w:highlight w:val="none"/>
          <w:lang w:eastAsia="zh-CN"/>
        </w:rPr>
        <w:t>供应商</w:t>
      </w:r>
      <w:r>
        <w:rPr>
          <w:rFonts w:hint="eastAsia" w:ascii="仿宋_GB2312" w:hAnsi="仿宋_GB2312" w:eastAsia="仿宋_GB2312" w:cs="仿宋_GB2312"/>
          <w:spacing w:val="-1"/>
          <w:w w:val="95"/>
          <w:sz w:val="28"/>
          <w:szCs w:val="28"/>
          <w:highlight w:val="none"/>
        </w:rPr>
        <w:t>所发生的项目差旅费用均需包含在总报价内。本项目</w:t>
      </w:r>
      <w:r>
        <w:rPr>
          <w:rFonts w:hint="eastAsia" w:ascii="仿宋_GB2312" w:hAnsi="仿宋_GB2312" w:eastAsia="仿宋_GB2312" w:cs="仿宋_GB2312"/>
          <w:spacing w:val="-1"/>
          <w:w w:val="95"/>
          <w:sz w:val="28"/>
          <w:szCs w:val="28"/>
          <w:highlight w:val="none"/>
          <w:lang w:val="en-US" w:eastAsia="zh-CN"/>
        </w:rPr>
        <w:t>报价方式为按合同总价报价，</w:t>
      </w:r>
      <w:r>
        <w:rPr>
          <w:rFonts w:hint="eastAsia" w:ascii="仿宋_GB2312" w:hAnsi="仿宋_GB2312" w:eastAsia="仿宋_GB2312" w:cs="仿宋_GB2312"/>
          <w:spacing w:val="-1"/>
          <w:w w:val="95"/>
          <w:sz w:val="28"/>
          <w:szCs w:val="28"/>
          <w:highlight w:val="none"/>
        </w:rPr>
        <w:t>招标的中标价为合同的</w:t>
      </w:r>
      <w:r>
        <w:rPr>
          <w:rFonts w:hint="eastAsia" w:ascii="仿宋_GB2312" w:hAnsi="仿宋_GB2312" w:eastAsia="仿宋_GB2312" w:cs="仿宋_GB2312"/>
          <w:spacing w:val="-1"/>
          <w:w w:val="95"/>
          <w:sz w:val="28"/>
          <w:szCs w:val="28"/>
          <w:highlight w:val="none"/>
          <w:lang w:val="en-US" w:eastAsia="zh-CN"/>
        </w:rPr>
        <w:t>固定</w:t>
      </w:r>
      <w:r>
        <w:rPr>
          <w:rFonts w:hint="eastAsia" w:ascii="仿宋_GB2312" w:hAnsi="仿宋_GB2312" w:eastAsia="仿宋_GB2312" w:cs="仿宋_GB2312"/>
          <w:spacing w:val="-1"/>
          <w:w w:val="95"/>
          <w:sz w:val="28"/>
          <w:szCs w:val="28"/>
          <w:highlight w:val="none"/>
        </w:rPr>
        <w:t>价款。</w:t>
      </w:r>
    </w:p>
    <w:p>
      <w:pPr>
        <w:pStyle w:val="11"/>
        <w:spacing w:line="397" w:lineRule="auto"/>
        <w:ind w:left="0" w:leftChars="0" w:right="239" w:firstLine="540" w:firstLineChars="0"/>
        <w:jc w:val="both"/>
        <w:rPr>
          <w:rFonts w:hint="eastAsia" w:ascii="仿宋_GB2312" w:hAnsi="仿宋_GB2312" w:eastAsia="仿宋_GB2312" w:cs="仿宋_GB2312"/>
          <w:spacing w:val="-1"/>
          <w:w w:val="95"/>
          <w:sz w:val="28"/>
          <w:szCs w:val="28"/>
          <w:highlight w:val="none"/>
          <w:lang w:val="en-US" w:eastAsia="zh-CN"/>
        </w:rPr>
      </w:pPr>
      <w:r>
        <w:rPr>
          <w:rFonts w:hint="eastAsia" w:ascii="仿宋_GB2312" w:hAnsi="仿宋_GB2312" w:eastAsia="仿宋_GB2312" w:cs="仿宋_GB2312"/>
          <w:spacing w:val="-1"/>
          <w:w w:val="95"/>
          <w:sz w:val="28"/>
          <w:szCs w:val="28"/>
          <w:highlight w:val="none"/>
          <w:lang w:eastAsia="zh-CN"/>
        </w:rPr>
        <w:t>供应商</w:t>
      </w:r>
      <w:r>
        <w:rPr>
          <w:rFonts w:hint="eastAsia" w:ascii="仿宋_GB2312" w:hAnsi="仿宋_GB2312" w:eastAsia="仿宋_GB2312" w:cs="仿宋_GB2312"/>
          <w:spacing w:val="-1"/>
          <w:w w:val="95"/>
          <w:sz w:val="28"/>
          <w:szCs w:val="28"/>
          <w:highlight w:val="none"/>
        </w:rPr>
        <w:t>需按照以下服务项分项报价</w:t>
      </w:r>
      <w:r>
        <w:rPr>
          <w:rFonts w:hint="eastAsia" w:ascii="仿宋_GB2312" w:hAnsi="仿宋_GB2312" w:eastAsia="仿宋_GB2312" w:cs="仿宋_GB2312"/>
          <w:spacing w:val="-1"/>
          <w:w w:val="95"/>
          <w:sz w:val="28"/>
          <w:szCs w:val="28"/>
          <w:highlight w:val="none"/>
          <w:lang w:eastAsia="zh-CN"/>
        </w:rPr>
        <w:t>，</w:t>
      </w:r>
      <w:r>
        <w:rPr>
          <w:rFonts w:hint="eastAsia" w:ascii="仿宋_GB2312" w:hAnsi="仿宋_GB2312" w:eastAsia="仿宋_GB2312" w:cs="仿宋_GB2312"/>
          <w:spacing w:val="-1"/>
          <w:w w:val="95"/>
          <w:sz w:val="28"/>
          <w:szCs w:val="28"/>
          <w:highlight w:val="none"/>
          <w:lang w:val="en-US" w:eastAsia="zh-CN"/>
        </w:rPr>
        <w:t>各分项报价组成该标包总报价:</w:t>
      </w:r>
    </w:p>
    <w:tbl>
      <w:tblPr>
        <w:tblStyle w:val="18"/>
        <w:tblW w:w="93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7"/>
        <w:gridCol w:w="4963"/>
        <w:gridCol w:w="3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tcPr>
          <w:p>
            <w:pPr>
              <w:jc w:val="center"/>
              <w:rPr>
                <w:rFonts w:hint="default"/>
                <w:b/>
                <w:bCs/>
                <w:highlight w:val="none"/>
                <w:lang w:val="en-US" w:eastAsia="zh-CN"/>
              </w:rPr>
            </w:pPr>
            <w:bookmarkStart w:id="12" w:name="_Toc21213"/>
            <w:r>
              <w:rPr>
                <w:rFonts w:hint="eastAsia"/>
                <w:b/>
                <w:bCs/>
                <w:highlight w:val="none"/>
                <w:lang w:val="en-US" w:eastAsia="zh-CN"/>
              </w:rPr>
              <w:t>序号</w:t>
            </w:r>
            <w:bookmarkEnd w:id="12"/>
          </w:p>
        </w:tc>
        <w:tc>
          <w:tcPr>
            <w:tcW w:w="4963" w:type="dxa"/>
          </w:tcPr>
          <w:p>
            <w:pPr>
              <w:jc w:val="center"/>
              <w:rPr>
                <w:rFonts w:hint="default"/>
                <w:b/>
                <w:bCs/>
                <w:highlight w:val="none"/>
                <w:lang w:val="en-US" w:eastAsia="zh-CN"/>
              </w:rPr>
            </w:pPr>
            <w:bookmarkStart w:id="13" w:name="_Toc24520"/>
            <w:r>
              <w:rPr>
                <w:rFonts w:hint="eastAsia"/>
                <w:b/>
                <w:bCs/>
                <w:highlight w:val="none"/>
                <w:lang w:val="en-US" w:eastAsia="zh-CN"/>
              </w:rPr>
              <w:t>项目内容</w:t>
            </w:r>
            <w:bookmarkEnd w:id="13"/>
          </w:p>
        </w:tc>
        <w:tc>
          <w:tcPr>
            <w:tcW w:w="3115" w:type="dxa"/>
          </w:tcPr>
          <w:p>
            <w:pPr>
              <w:jc w:val="center"/>
              <w:rPr>
                <w:rFonts w:hint="default"/>
                <w:b/>
                <w:bCs/>
                <w:highlight w:val="none"/>
                <w:lang w:val="en-US" w:eastAsia="zh-CN"/>
              </w:rPr>
            </w:pPr>
            <w:bookmarkStart w:id="14" w:name="_Toc24225"/>
            <w:r>
              <w:rPr>
                <w:rFonts w:hint="eastAsia"/>
                <w:b/>
                <w:bCs/>
                <w:highlight w:val="none"/>
                <w:lang w:val="en-US" w:eastAsia="zh-CN"/>
              </w:rPr>
              <w:t>分项报价（万元）</w:t>
            </w:r>
            <w:bookmarkEnd w:id="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267" w:type="dxa"/>
            <w:vAlign w:val="center"/>
          </w:tcPr>
          <w:p>
            <w:pPr>
              <w:jc w:val="center"/>
              <w:rPr>
                <w:rFonts w:hint="default"/>
                <w:highlight w:val="none"/>
                <w:lang w:val="en-US" w:eastAsia="zh-CN"/>
              </w:rPr>
            </w:pPr>
            <w:r>
              <w:rPr>
                <w:rFonts w:hint="eastAsia"/>
                <w:highlight w:val="none"/>
                <w:lang w:val="en-US" w:eastAsia="zh-CN"/>
              </w:rPr>
              <w:t>1</w:t>
            </w:r>
          </w:p>
        </w:tc>
        <w:tc>
          <w:tcPr>
            <w:tcW w:w="4963" w:type="dxa"/>
            <w:vAlign w:val="center"/>
          </w:tcPr>
          <w:p>
            <w:pPr>
              <w:jc w:val="center"/>
              <w:rPr>
                <w:rFonts w:hint="eastAsia"/>
                <w:highlight w:val="none"/>
                <w:lang w:val="en-US" w:eastAsia="zh-CN"/>
              </w:rPr>
            </w:pPr>
            <w:bookmarkStart w:id="15" w:name="_Toc3208"/>
            <w:r>
              <w:rPr>
                <w:rFonts w:hint="eastAsia"/>
                <w:highlight w:val="none"/>
                <w:lang w:eastAsia="zh-CN"/>
              </w:rPr>
              <w:t>监督控制管理平台推广实施</w:t>
            </w:r>
            <w:bookmarkEnd w:id="15"/>
          </w:p>
        </w:tc>
        <w:tc>
          <w:tcPr>
            <w:tcW w:w="3115" w:type="dxa"/>
            <w:vAlign w:val="center"/>
          </w:tcPr>
          <w:p>
            <w:pPr>
              <w:jc w:val="center"/>
              <w:rPr>
                <w:rFonts w:hint="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0" w:type="dxa"/>
            <w:gridSpan w:val="2"/>
            <w:vAlign w:val="center"/>
          </w:tcPr>
          <w:p>
            <w:pPr>
              <w:jc w:val="center"/>
              <w:rPr>
                <w:rFonts w:hint="default" w:asciiTheme="minorEastAsia" w:hAnsiTheme="minorEastAsia" w:eastAsiaTheme="minorEastAsia" w:cstheme="minorEastAsia"/>
                <w:b/>
                <w:bCs/>
                <w:spacing w:val="1"/>
                <w:w w:val="95"/>
                <w:szCs w:val="24"/>
                <w:highlight w:val="none"/>
                <w:lang w:val="en-US" w:eastAsia="zh-CN"/>
              </w:rPr>
            </w:pPr>
            <w:bookmarkStart w:id="16" w:name="_Toc22925"/>
            <w:r>
              <w:rPr>
                <w:rFonts w:hint="eastAsia"/>
                <w:b/>
                <w:bCs/>
                <w:highlight w:val="none"/>
                <w:lang w:val="en-US" w:eastAsia="zh-CN"/>
              </w:rPr>
              <w:t>合计</w:t>
            </w:r>
            <w:bookmarkEnd w:id="16"/>
          </w:p>
        </w:tc>
        <w:tc>
          <w:tcPr>
            <w:tcW w:w="3115" w:type="dxa"/>
            <w:vAlign w:val="center"/>
          </w:tcPr>
          <w:p>
            <w:pPr>
              <w:pStyle w:val="12"/>
              <w:jc w:val="center"/>
              <w:rPr>
                <w:rFonts w:hint="eastAsia"/>
                <w:highlight w:val="none"/>
                <w:vertAlign w:val="baseline"/>
                <w:lang w:val="en-US" w:eastAsia="zh-CN"/>
              </w:rPr>
            </w:pPr>
          </w:p>
        </w:tc>
      </w:tr>
    </w:tbl>
    <w:p>
      <w:pPr>
        <w:pStyle w:val="11"/>
        <w:rPr>
          <w:rFonts w:hint="eastAsia"/>
          <w:highlight w:val="none"/>
        </w:rPr>
      </w:pPr>
    </w:p>
    <w:p>
      <w:pPr>
        <w:spacing w:before="2" w:line="240" w:lineRule="auto"/>
        <w:rPr>
          <w:rFonts w:hint="eastAsia" w:ascii="仿宋_GB2312" w:hAnsi="仿宋_GB2312" w:eastAsia="仿宋_GB2312" w:cs="仿宋_GB2312"/>
          <w:sz w:val="7"/>
          <w:szCs w:val="7"/>
          <w:highlight w:val="none"/>
        </w:rPr>
      </w:pPr>
    </w:p>
    <w:p>
      <w:pPr>
        <w:pStyle w:val="3"/>
        <w:keepNext/>
        <w:keepLines/>
        <w:pageBreakBefore/>
        <w:widowControl w:val="0"/>
        <w:numPr>
          <w:ilvl w:val="0"/>
          <w:numId w:val="0"/>
        </w:numPr>
        <w:kinsoku/>
        <w:wordWrap/>
        <w:overflowPunct/>
        <w:topLinePunct w:val="0"/>
        <w:autoSpaceDE/>
        <w:autoSpaceDN/>
        <w:bidi w:val="0"/>
        <w:adjustRightInd/>
        <w:snapToGrid/>
        <w:spacing w:before="138" w:line="240" w:lineRule="auto"/>
        <w:ind w:leftChars="0" w:right="0" w:rightChars="0"/>
        <w:jc w:val="left"/>
        <w:textAlignment w:val="auto"/>
        <w:outlineLvl w:val="0"/>
        <w:rPr>
          <w:rFonts w:hint="eastAsia" w:ascii="仿宋_GB2312" w:hAnsi="仿宋_GB2312" w:eastAsia="仿宋_GB2312" w:cs="仿宋_GB2312"/>
          <w:b/>
          <w:bCs/>
          <w:sz w:val="28"/>
          <w:szCs w:val="28"/>
          <w:highlight w:val="none"/>
        </w:rPr>
      </w:pPr>
      <w:bookmarkStart w:id="17" w:name="_Toc16749"/>
      <w:bookmarkStart w:id="18" w:name="_Toc14530"/>
      <w:bookmarkStart w:id="19" w:name="_Toc13318"/>
      <w:r>
        <w:rPr>
          <w:rFonts w:hint="eastAsia" w:ascii="宋体" w:hAnsi="宋体" w:eastAsia="宋体" w:cs="宋体"/>
          <w:sz w:val="44"/>
          <w:szCs w:val="44"/>
          <w:highlight w:val="none"/>
        </w:rPr>
        <w:t xml:space="preserve">2 </w:t>
      </w:r>
      <w:bookmarkStart w:id="20" w:name="2项目概况"/>
      <w:bookmarkEnd w:id="20"/>
      <w:r>
        <w:rPr>
          <w:rFonts w:hint="eastAsia" w:ascii="宋体" w:hAnsi="宋体" w:eastAsia="宋体" w:cs="宋体"/>
          <w:sz w:val="44"/>
          <w:szCs w:val="44"/>
          <w:highlight w:val="none"/>
        </w:rPr>
        <w:t>项目概况</w:t>
      </w:r>
      <w:bookmarkEnd w:id="17"/>
      <w:bookmarkEnd w:id="18"/>
      <w:bookmarkEnd w:id="19"/>
    </w:p>
    <w:p>
      <w:pPr>
        <w:pStyle w:val="4"/>
        <w:pageBreakBefore w:val="0"/>
        <w:widowControl w:val="0"/>
        <w:kinsoku/>
        <w:wordWrap/>
        <w:overflowPunct/>
        <w:topLinePunct w:val="0"/>
        <w:autoSpaceDE/>
        <w:autoSpaceDN/>
        <w:bidi w:val="0"/>
        <w:adjustRightInd/>
        <w:spacing w:line="560" w:lineRule="exact"/>
        <w:ind w:left="0" w:leftChars="0" w:right="0" w:firstLine="0" w:firstLineChars="0"/>
        <w:jc w:val="left"/>
        <w:textAlignment w:val="auto"/>
        <w:outlineLvl w:val="1"/>
        <w:rPr>
          <w:rFonts w:hint="eastAsia" w:ascii="宋体" w:hAnsi="宋体" w:eastAsia="宋体" w:cs="宋体"/>
          <w:b/>
          <w:bCs/>
          <w:spacing w:val="1"/>
          <w:highlight w:val="none"/>
          <w:lang w:val="en-US" w:eastAsia="zh-CN"/>
        </w:rPr>
      </w:pPr>
      <w:bookmarkStart w:id="21" w:name="_Toc16444"/>
      <w:bookmarkStart w:id="22" w:name="_Toc5803"/>
      <w:bookmarkStart w:id="23" w:name="_Toc6488"/>
      <w:r>
        <w:rPr>
          <w:rFonts w:hint="eastAsia" w:ascii="宋体" w:hAnsi="宋体" w:eastAsia="宋体" w:cs="宋体"/>
          <w:b/>
          <w:bCs/>
          <w:spacing w:val="1"/>
          <w:highlight w:val="none"/>
          <w:lang w:val="en-US" w:eastAsia="zh-CN"/>
        </w:rPr>
        <w:t xml:space="preserve">2.1 </w:t>
      </w:r>
      <w:bookmarkStart w:id="24" w:name="2.1项目背景"/>
      <w:bookmarkEnd w:id="24"/>
      <w:r>
        <w:rPr>
          <w:rFonts w:hint="eastAsia" w:ascii="宋体" w:hAnsi="宋体" w:eastAsia="宋体" w:cs="宋体"/>
          <w:b/>
          <w:bCs/>
          <w:spacing w:val="1"/>
          <w:highlight w:val="none"/>
          <w:lang w:val="en-US" w:eastAsia="zh-CN"/>
        </w:rPr>
        <w:t>项目背景</w:t>
      </w:r>
      <w:bookmarkEnd w:id="21"/>
      <w:bookmarkEnd w:id="22"/>
      <w:bookmarkEnd w:id="23"/>
    </w:p>
    <w:p>
      <w:pPr>
        <w:pageBreakBefore w:val="0"/>
        <w:widowControl w:val="0"/>
        <w:kinsoku/>
        <w:wordWrap/>
        <w:overflowPunct/>
        <w:topLinePunct w:val="0"/>
        <w:autoSpaceDE/>
        <w:autoSpaceDN/>
        <w:bidi w:val="0"/>
        <w:adjustRightInd/>
        <w:spacing w:line="560" w:lineRule="exact"/>
        <w:ind w:firstLine="480"/>
        <w:textAlignment w:val="auto"/>
        <w:rPr>
          <w:rFonts w:hint="eastAsia" w:ascii="宋体" w:hAnsi="宋体" w:eastAsia="宋体" w:cs="宋体"/>
          <w:kern w:val="2"/>
          <w:sz w:val="24"/>
          <w:szCs w:val="24"/>
          <w:highlight w:val="none"/>
          <w:lang w:val="en-US" w:eastAsia="zh-CN" w:bidi="ar-SA"/>
        </w:rPr>
      </w:pPr>
      <w:bookmarkStart w:id="25" w:name="_Toc15840"/>
      <w:r>
        <w:rPr>
          <w:rFonts w:hint="eastAsia" w:ascii="宋体" w:hAnsi="宋体" w:eastAsia="宋体" w:cs="宋体"/>
          <w:kern w:val="2"/>
          <w:sz w:val="24"/>
          <w:szCs w:val="24"/>
          <w:highlight w:val="none"/>
          <w:lang w:val="en-US" w:eastAsia="zh-CN" w:bidi="ar-SA"/>
        </w:rPr>
        <w:t>2024年5月，公司党组印发《关于进一步加强监督控制功能的意见》，要求“优化风控数字化平台，将公司原有的监督相关信息系统统一整合至风控平台，共享监督内控信息资源，以数字化赋能监督控制全链条，提高监督内控的精准度”。结合《意见》实施，决定将风控数智化管理应用升级为企业级信息系统——监督控制管理平台，并在全网推广应用。为响应落实公司总部对风控管理方面的要求，同时进一步提升风控数智化管理水平以形成行之有效的风险识别、问题处置应对体系，亟需基于公司总部建成的监督控制管理平台进行深度推广应用，实现制度与业务的统一及管控，强化监督控制水平。</w:t>
      </w:r>
    </w:p>
    <w:p>
      <w:pPr>
        <w:pStyle w:val="4"/>
        <w:spacing w:line="240" w:lineRule="auto"/>
        <w:ind w:left="0" w:leftChars="0" w:right="0" w:firstLine="0" w:firstLineChars="0"/>
        <w:jc w:val="left"/>
        <w:outlineLvl w:val="1"/>
        <w:rPr>
          <w:rFonts w:hint="eastAsia" w:ascii="宋体" w:hAnsi="宋体" w:eastAsia="宋体" w:cs="宋体"/>
          <w:sz w:val="24"/>
          <w:szCs w:val="24"/>
          <w:highlight w:val="none"/>
        </w:rPr>
      </w:pPr>
      <w:bookmarkStart w:id="26" w:name="_Toc7596"/>
      <w:bookmarkStart w:id="27" w:name="_Toc20129"/>
      <w:r>
        <w:rPr>
          <w:rFonts w:hint="eastAsia" w:ascii="宋体" w:hAnsi="宋体" w:eastAsia="宋体" w:cs="宋体"/>
          <w:b/>
          <w:bCs/>
          <w:spacing w:val="1"/>
          <w:highlight w:val="none"/>
        </w:rPr>
        <w:t xml:space="preserve">2.2 </w:t>
      </w:r>
      <w:bookmarkStart w:id="28" w:name="2.2项目目标"/>
      <w:bookmarkEnd w:id="28"/>
      <w:r>
        <w:rPr>
          <w:rFonts w:hint="eastAsia" w:ascii="宋体" w:hAnsi="宋体" w:eastAsia="宋体" w:cs="宋体"/>
          <w:b/>
          <w:bCs/>
          <w:spacing w:val="1"/>
          <w:highlight w:val="none"/>
        </w:rPr>
        <w:t>项目目标</w:t>
      </w:r>
      <w:bookmarkEnd w:id="25"/>
      <w:bookmarkEnd w:id="26"/>
      <w:bookmarkEnd w:id="27"/>
    </w:p>
    <w:p>
      <w:pPr>
        <w:pageBreakBefore w:val="0"/>
        <w:widowControl w:val="0"/>
        <w:kinsoku/>
        <w:wordWrap/>
        <w:overflowPunct/>
        <w:topLinePunct w:val="0"/>
        <w:autoSpaceDE/>
        <w:autoSpaceDN/>
        <w:bidi w:val="0"/>
        <w:adjustRightInd/>
        <w:spacing w:line="560" w:lineRule="exact"/>
        <w:ind w:firstLine="480"/>
        <w:textAlignment w:val="auto"/>
        <w:rPr>
          <w:rFonts w:hint="default" w:asciiTheme="minorEastAsia" w:hAnsiTheme="minorEastAsia" w:eastAsiaTheme="minorEastAsia" w:cstheme="minorBidi"/>
          <w:szCs w:val="22"/>
          <w:highlight w:val="none"/>
        </w:rPr>
      </w:pPr>
      <w:r>
        <w:rPr>
          <w:rFonts w:hint="eastAsia" w:ascii="宋体" w:hAnsi="宋体" w:eastAsia="宋体" w:cs="宋体"/>
          <w:kern w:val="2"/>
          <w:sz w:val="24"/>
          <w:szCs w:val="24"/>
          <w:highlight w:val="none"/>
          <w:lang w:val="en-US" w:eastAsia="zh-CN" w:bidi="ar-SA"/>
        </w:rPr>
        <w:t>通过监督控制管理平台推广实施以流程控制和岗位控制为基础，将流程控制和岗位控制嵌入业务系统，实现流程关键控制点不合规就不能继续流转；以不干预业务运行的“无感风控”为导向，以防控监督业务发现的多发易发违规问题为重点，实现违规的行为自动识别并预警提醒，全面支持以流程为导向的风险分析、风险评估、风险决策分析及问题跟踪整改等，推动内控、合规、风险管控贯穿事前、事中、事后业务全流程，为</w:t>
      </w:r>
      <w:r>
        <w:rPr>
          <w:rFonts w:ascii="宋体" w:hAnsi="宋体" w:eastAsia="宋体" w:cs="宋体"/>
          <w:sz w:val="24"/>
          <w:szCs w:val="24"/>
        </w:rPr>
        <w:t>南方电网国际公司</w:t>
      </w:r>
      <w:r>
        <w:rPr>
          <w:rFonts w:hint="eastAsia" w:ascii="宋体" w:hAnsi="宋体" w:eastAsia="宋体" w:cs="宋体"/>
          <w:kern w:val="2"/>
          <w:sz w:val="24"/>
          <w:szCs w:val="24"/>
          <w:highlight w:val="none"/>
          <w:lang w:val="en-US" w:eastAsia="zh-CN" w:bidi="ar-SA"/>
        </w:rPr>
        <w:t>在风险识别、监督、管理、控制、防范提供行之有效的决策依据，为实现风险监控的另一强有力的抓手，辅助公司安全、平稳、高效运营。</w:t>
      </w:r>
    </w:p>
    <w:p>
      <w:pPr>
        <w:pStyle w:val="11"/>
        <w:spacing w:line="386" w:lineRule="auto"/>
        <w:ind w:left="0" w:leftChars="0" w:right="237" w:firstLine="0" w:firstLineChars="0"/>
        <w:jc w:val="both"/>
        <w:rPr>
          <w:rFonts w:hint="eastAsia"/>
          <w:highlight w:val="none"/>
        </w:rPr>
      </w:pPr>
    </w:p>
    <w:p>
      <w:pPr>
        <w:pStyle w:val="4"/>
        <w:spacing w:line="240" w:lineRule="auto"/>
        <w:ind w:left="0" w:leftChars="0" w:right="0" w:firstLine="0" w:firstLineChars="0"/>
        <w:jc w:val="left"/>
        <w:outlineLvl w:val="1"/>
        <w:rPr>
          <w:rFonts w:hint="eastAsia" w:ascii="宋体" w:hAnsi="宋体" w:eastAsia="宋体" w:cs="宋体"/>
          <w:b/>
          <w:bCs/>
          <w:spacing w:val="1"/>
          <w:highlight w:val="none"/>
        </w:rPr>
      </w:pPr>
      <w:bookmarkStart w:id="29" w:name="_Toc4059"/>
      <w:bookmarkStart w:id="30" w:name="_Toc17324"/>
      <w:bookmarkStart w:id="31" w:name="_Toc31371"/>
      <w:r>
        <w:rPr>
          <w:rFonts w:hint="eastAsia" w:ascii="宋体" w:hAnsi="宋体" w:eastAsia="宋体" w:cs="宋体"/>
          <w:b/>
          <w:bCs/>
          <w:spacing w:val="1"/>
          <w:highlight w:val="none"/>
        </w:rPr>
        <w:t xml:space="preserve">2.3 </w:t>
      </w:r>
      <w:bookmarkStart w:id="32" w:name="2.3服务周期和地点"/>
      <w:bookmarkEnd w:id="32"/>
      <w:r>
        <w:rPr>
          <w:rFonts w:hint="eastAsia" w:ascii="宋体" w:hAnsi="宋体" w:eastAsia="宋体" w:cs="宋体"/>
          <w:b/>
          <w:bCs/>
          <w:spacing w:val="1"/>
          <w:highlight w:val="none"/>
          <w:lang w:val="en-US" w:eastAsia="zh-CN"/>
        </w:rPr>
        <w:t>项目</w:t>
      </w:r>
      <w:r>
        <w:rPr>
          <w:rFonts w:hint="eastAsia" w:ascii="宋体" w:hAnsi="宋体" w:eastAsia="宋体" w:cs="宋体"/>
          <w:b/>
          <w:bCs/>
          <w:spacing w:val="1"/>
          <w:highlight w:val="none"/>
        </w:rPr>
        <w:t>周期和地点</w:t>
      </w:r>
      <w:bookmarkEnd w:id="29"/>
      <w:bookmarkEnd w:id="30"/>
      <w:bookmarkEnd w:id="31"/>
    </w:p>
    <w:p>
      <w:pPr>
        <w:pStyle w:val="11"/>
        <w:spacing w:line="386" w:lineRule="auto"/>
        <w:ind w:right="237" w:firstLine="420"/>
        <w:jc w:val="both"/>
        <w:rPr>
          <w:rFonts w:hint="eastAsia" w:ascii="宋体" w:hAnsi="宋体" w:eastAsia="宋体" w:cs="宋体"/>
          <w:sz w:val="24"/>
          <w:szCs w:val="24"/>
          <w:highlight w:val="none"/>
          <w:lang w:val="en-US" w:eastAsia="zh-CN"/>
        </w:rPr>
      </w:pPr>
    </w:p>
    <w:p>
      <w:pPr>
        <w:pStyle w:val="11"/>
        <w:spacing w:line="386" w:lineRule="auto"/>
        <w:ind w:right="237" w:firstLine="42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项目周期：合同签订之日起</w:t>
      </w:r>
      <w:r>
        <w:rPr>
          <w:rFonts w:hint="eastAsia" w:cs="宋体"/>
          <w:sz w:val="24"/>
          <w:szCs w:val="24"/>
          <w:highlight w:val="none"/>
          <w:lang w:val="en-US" w:eastAsia="zh-CN"/>
        </w:rPr>
        <w:t>6个月内</w:t>
      </w:r>
      <w:r>
        <w:rPr>
          <w:rFonts w:hint="eastAsia" w:ascii="宋体" w:hAnsi="宋体" w:eastAsia="宋体" w:cs="宋体"/>
          <w:sz w:val="24"/>
          <w:szCs w:val="24"/>
          <w:highlight w:val="none"/>
          <w:lang w:val="en-US" w:eastAsia="zh-CN"/>
        </w:rPr>
        <w:t xml:space="preserve">。  </w:t>
      </w:r>
    </w:p>
    <w:p>
      <w:pPr>
        <w:pStyle w:val="11"/>
        <w:spacing w:line="386" w:lineRule="auto"/>
        <w:ind w:right="237" w:firstLine="420"/>
        <w:jc w:val="both"/>
        <w:rPr>
          <w:rFonts w:hint="eastAsia" w:ascii="宋体" w:hAnsi="宋体" w:eastAsia="宋体" w:cs="宋体"/>
          <w:sz w:val="24"/>
          <w:szCs w:val="24"/>
          <w:highlight w:val="none"/>
          <w:lang w:val="en-US" w:eastAsia="zh-CN"/>
        </w:rPr>
        <w:sectPr>
          <w:footerReference r:id="rId5" w:type="default"/>
          <w:pgSz w:w="11910" w:h="16840"/>
          <w:pgMar w:top="1340" w:right="1120" w:bottom="280" w:left="1660" w:header="720" w:footer="720" w:gutter="0"/>
          <w:pgNumType w:fmt="decimal" w:start="1"/>
          <w:cols w:space="720" w:num="1"/>
        </w:sectPr>
      </w:pPr>
      <w:r>
        <w:rPr>
          <w:rFonts w:hint="eastAsia" w:ascii="宋体" w:hAnsi="宋体" w:eastAsia="宋体" w:cs="宋体"/>
          <w:sz w:val="24"/>
          <w:szCs w:val="24"/>
          <w:highlight w:val="none"/>
          <w:lang w:val="en-US" w:eastAsia="zh-CN"/>
        </w:rPr>
        <w:t>服务地点：按甲方要求的地点</w:t>
      </w:r>
      <w:r>
        <w:rPr>
          <w:rFonts w:hint="eastAsia" w:cs="宋体"/>
          <w:sz w:val="24"/>
          <w:szCs w:val="24"/>
          <w:highlight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spacing w:before="138" w:line="240" w:lineRule="auto"/>
        <w:ind w:leftChars="0" w:right="0" w:rightChars="0"/>
        <w:jc w:val="left"/>
        <w:textAlignment w:val="auto"/>
        <w:outlineLvl w:val="0"/>
        <w:rPr>
          <w:rFonts w:hint="eastAsia" w:ascii="宋体" w:hAnsi="宋体" w:eastAsia="宋体" w:cs="宋体"/>
          <w:sz w:val="44"/>
          <w:szCs w:val="44"/>
          <w:highlight w:val="none"/>
        </w:rPr>
      </w:pPr>
      <w:bookmarkStart w:id="33" w:name="_Toc8280"/>
      <w:bookmarkStart w:id="34" w:name="_Toc21051"/>
      <w:bookmarkStart w:id="35" w:name="_Toc31060"/>
      <w:r>
        <w:rPr>
          <w:rFonts w:hint="eastAsia" w:ascii="宋体" w:hAnsi="宋体" w:eastAsia="宋体" w:cs="宋体"/>
          <w:sz w:val="44"/>
          <w:szCs w:val="44"/>
          <w:highlight w:val="none"/>
        </w:rPr>
        <w:t xml:space="preserve">3 </w:t>
      </w:r>
      <w:bookmarkStart w:id="36" w:name="3租赁资源需求一览表"/>
      <w:bookmarkEnd w:id="36"/>
      <w:r>
        <w:rPr>
          <w:rFonts w:hint="eastAsia" w:ascii="宋体" w:hAnsi="宋体" w:eastAsia="宋体" w:cs="宋体"/>
          <w:sz w:val="44"/>
          <w:szCs w:val="44"/>
          <w:highlight w:val="none"/>
          <w:lang w:eastAsia="zh-CN"/>
        </w:rPr>
        <w:t>服务范围</w:t>
      </w:r>
      <w:bookmarkEnd w:id="33"/>
      <w:bookmarkEnd w:id="34"/>
      <w:bookmarkEnd w:id="35"/>
    </w:p>
    <w:p>
      <w:pPr>
        <w:pageBreakBefore w:val="0"/>
        <w:widowControl w:val="0"/>
        <w:kinsoku/>
        <w:wordWrap/>
        <w:overflowPunct/>
        <w:topLinePunct w:val="0"/>
        <w:autoSpaceDE/>
        <w:autoSpaceDN/>
        <w:bidi w:val="0"/>
        <w:adjustRightInd/>
        <w:spacing w:line="560" w:lineRule="exact"/>
        <w:ind w:firstLine="48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监督控制管理平台应用范围为南方电网国际公司。</w:t>
      </w:r>
    </w:p>
    <w:p>
      <w:pPr>
        <w:pStyle w:val="2"/>
        <w:ind w:left="0" w:leftChars="0" w:firstLine="0" w:firstLineChars="0"/>
        <w:rPr>
          <w:rFonts w:hint="default" w:eastAsia="仿宋"/>
          <w:highlight w:val="none"/>
          <w:lang w:val="en-US" w:eastAsia="zh-CN"/>
        </w:rPr>
      </w:pPr>
    </w:p>
    <w:p>
      <w:pPr>
        <w:pStyle w:val="3"/>
        <w:keepNext/>
        <w:keepLines/>
        <w:pageBreakBefore w:val="0"/>
        <w:widowControl w:val="0"/>
        <w:numPr>
          <w:ilvl w:val="0"/>
          <w:numId w:val="0"/>
        </w:numPr>
        <w:kinsoku/>
        <w:wordWrap/>
        <w:overflowPunct/>
        <w:topLinePunct w:val="0"/>
        <w:autoSpaceDE/>
        <w:autoSpaceDN/>
        <w:bidi w:val="0"/>
        <w:adjustRightInd/>
        <w:snapToGrid/>
        <w:spacing w:before="138" w:line="240" w:lineRule="auto"/>
        <w:ind w:leftChars="0" w:right="0" w:rightChars="0"/>
        <w:jc w:val="left"/>
        <w:textAlignment w:val="auto"/>
        <w:outlineLvl w:val="0"/>
        <w:rPr>
          <w:rFonts w:hint="eastAsia" w:ascii="宋体" w:hAnsi="宋体" w:eastAsia="宋体" w:cs="宋体"/>
          <w:sz w:val="44"/>
          <w:szCs w:val="44"/>
          <w:highlight w:val="none"/>
        </w:rPr>
      </w:pPr>
      <w:bookmarkStart w:id="37" w:name="_Toc19473"/>
      <w:bookmarkStart w:id="38" w:name="_Toc29806"/>
      <w:bookmarkStart w:id="39" w:name="_Toc30530"/>
      <w:r>
        <w:rPr>
          <w:rFonts w:hint="eastAsia" w:ascii="宋体" w:hAnsi="宋体" w:eastAsia="宋体" w:cs="宋体"/>
          <w:sz w:val="44"/>
          <w:szCs w:val="44"/>
          <w:highlight w:val="none"/>
        </w:rPr>
        <w:t xml:space="preserve">4 </w:t>
      </w:r>
      <w:bookmarkStart w:id="40" w:name="4服务内容"/>
      <w:bookmarkEnd w:id="40"/>
      <w:r>
        <w:rPr>
          <w:rFonts w:hint="eastAsia" w:ascii="宋体" w:hAnsi="宋体" w:eastAsia="宋体" w:cs="宋体"/>
          <w:sz w:val="44"/>
          <w:szCs w:val="44"/>
          <w:highlight w:val="none"/>
        </w:rPr>
        <w:t>服务内容</w:t>
      </w:r>
      <w:bookmarkEnd w:id="37"/>
      <w:bookmarkEnd w:id="38"/>
      <w:bookmarkEnd w:id="39"/>
    </w:p>
    <w:p>
      <w:pPr>
        <w:pageBreakBefore w:val="0"/>
        <w:widowControl w:val="0"/>
        <w:kinsoku/>
        <w:wordWrap/>
        <w:overflowPunct/>
        <w:topLinePunct w:val="0"/>
        <w:autoSpaceDE/>
        <w:autoSpaceDN/>
        <w:bidi w:val="0"/>
        <w:adjustRightInd/>
        <w:spacing w:line="560" w:lineRule="exact"/>
        <w:ind w:firstLine="48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推广实施上线模块功能如下：</w:t>
      </w:r>
    </w:p>
    <w:p>
      <w:pPr>
        <w:pStyle w:val="4"/>
        <w:pageBreakBefore w:val="0"/>
        <w:widowControl w:val="0"/>
        <w:kinsoku/>
        <w:wordWrap/>
        <w:overflowPunct/>
        <w:topLinePunct w:val="0"/>
        <w:autoSpaceDE/>
        <w:autoSpaceDN/>
        <w:bidi w:val="0"/>
        <w:adjustRightInd/>
        <w:spacing w:line="560" w:lineRule="exact"/>
        <w:ind w:left="0" w:leftChars="0" w:right="0" w:firstLine="0" w:firstLineChars="0"/>
        <w:jc w:val="left"/>
        <w:textAlignment w:val="auto"/>
        <w:outlineLvl w:val="1"/>
        <w:rPr>
          <w:rFonts w:hint="eastAsia" w:ascii="宋体" w:hAnsi="宋体" w:eastAsia="宋体" w:cs="宋体"/>
          <w:b/>
          <w:bCs/>
          <w:spacing w:val="1"/>
          <w:highlight w:val="none"/>
          <w:lang w:val="en-US" w:eastAsia="zh-CN"/>
        </w:rPr>
      </w:pPr>
      <w:bookmarkStart w:id="41" w:name="_Toc30080"/>
      <w:bookmarkStart w:id="42" w:name="_Toc13536"/>
      <w:bookmarkStart w:id="43" w:name="_Toc25672"/>
      <w:r>
        <w:rPr>
          <w:rFonts w:hint="eastAsia" w:ascii="宋体" w:hAnsi="宋体" w:eastAsia="宋体" w:cs="宋体"/>
          <w:b/>
          <w:bCs/>
          <w:spacing w:val="1"/>
          <w:highlight w:val="none"/>
          <w:lang w:val="en-US" w:eastAsia="zh-CN"/>
        </w:rPr>
        <w:t>4.1监督控制管理平台推广及运营</w:t>
      </w:r>
      <w:bookmarkEnd w:id="41"/>
      <w:bookmarkEnd w:id="42"/>
      <w:bookmarkEnd w:id="43"/>
    </w:p>
    <w:p>
      <w:pPr>
        <w:pageBreakBefore w:val="0"/>
        <w:widowControl w:val="0"/>
        <w:kinsoku/>
        <w:wordWrap/>
        <w:overflowPunct/>
        <w:topLinePunct w:val="0"/>
        <w:autoSpaceDE/>
        <w:autoSpaceDN/>
        <w:bidi w:val="0"/>
        <w:adjustRightInd/>
        <w:spacing w:line="560" w:lineRule="exact"/>
        <w:ind w:firstLine="48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本项目功能推广上线应用需求包括监督控制管理平台建成的风险信息收集、风险评估、风险应对、风险监督与改进、风险驾驶舱（云景）等模块功能以及平台在试点单位试运行过程中甄选出的一批质量较好的风险监测规则和风险监测指标。</w:t>
      </w:r>
    </w:p>
    <w:p>
      <w:pPr>
        <w:pStyle w:val="5"/>
        <w:rPr>
          <w:rFonts w:hint="eastAsia"/>
          <w:highlight w:val="none"/>
          <w:lang w:val="en-US" w:eastAsia="zh-CN"/>
        </w:rPr>
      </w:pPr>
      <w:r>
        <w:rPr>
          <w:rFonts w:hint="eastAsia"/>
          <w:highlight w:val="none"/>
          <w:lang w:val="en-US" w:eastAsia="zh-CN"/>
        </w:rPr>
        <w:t>4.1.1系统功能清单</w:t>
      </w:r>
    </w:p>
    <w:p>
      <w:pPr>
        <w:pageBreakBefore w:val="0"/>
        <w:widowControl w:val="0"/>
        <w:kinsoku/>
        <w:wordWrap/>
        <w:overflowPunct/>
        <w:topLinePunct w:val="0"/>
        <w:autoSpaceDE/>
        <w:autoSpaceDN/>
        <w:bidi w:val="0"/>
        <w:adjustRightInd/>
        <w:spacing w:line="560" w:lineRule="exact"/>
        <w:ind w:firstLine="48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监督控制管理平台共建成105个功能，其中103个功能适用二级单位使用，具体功能清单如下。</w:t>
      </w:r>
    </w:p>
    <w:tbl>
      <w:tblPr>
        <w:tblStyle w:val="17"/>
        <w:tblW w:w="93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605"/>
        <w:gridCol w:w="1192"/>
        <w:gridCol w:w="1061"/>
        <w:gridCol w:w="1192"/>
        <w:gridCol w:w="1169"/>
        <w:gridCol w:w="41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0" w:hRule="atLeast"/>
          <w:tblHeader/>
        </w:trPr>
        <w:tc>
          <w:tcPr>
            <w:tcW w:w="605" w:type="dxa"/>
            <w:shd w:val="clear" w:color="auto" w:fill="BEBEBE" w:themeFill="background1" w:themeFillShade="BF"/>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b/>
                <w:i w:val="0"/>
                <w:color w:val="000000"/>
                <w:kern w:val="0"/>
                <w:sz w:val="21"/>
                <w:szCs w:val="21"/>
                <w:highlight w:val="none"/>
                <w:u w:val="none"/>
                <w:lang w:val="en-US" w:eastAsia="zh-CN" w:bidi="ar"/>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序号</w:t>
            </w:r>
          </w:p>
        </w:tc>
        <w:tc>
          <w:tcPr>
            <w:tcW w:w="1192" w:type="dxa"/>
            <w:shd w:val="clear" w:color="auto" w:fill="BEBEBE" w:themeFill="background1" w:themeFillShade="BF"/>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一级菜单</w:t>
            </w:r>
          </w:p>
        </w:tc>
        <w:tc>
          <w:tcPr>
            <w:tcW w:w="1061" w:type="dxa"/>
            <w:shd w:val="clear" w:color="auto" w:fill="BEBEBE" w:themeFill="background1" w:themeFillShade="BF"/>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二级菜单</w:t>
            </w:r>
          </w:p>
        </w:tc>
        <w:tc>
          <w:tcPr>
            <w:tcW w:w="1192" w:type="dxa"/>
            <w:shd w:val="clear" w:color="auto" w:fill="BEBEBE" w:themeFill="background1" w:themeFillShade="BF"/>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三级菜单</w:t>
            </w:r>
          </w:p>
        </w:tc>
        <w:tc>
          <w:tcPr>
            <w:tcW w:w="1169" w:type="dxa"/>
            <w:shd w:val="clear" w:color="auto" w:fill="BEBEBE" w:themeFill="background1" w:themeFillShade="BF"/>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四级菜单</w:t>
            </w:r>
          </w:p>
        </w:tc>
        <w:tc>
          <w:tcPr>
            <w:tcW w:w="4151" w:type="dxa"/>
            <w:shd w:val="clear" w:color="auto" w:fill="BEBEBE" w:themeFill="background1" w:themeFillShade="BF"/>
            <w:tcMar>
              <w:top w:w="10" w:type="dxa"/>
              <w:left w:w="10" w:type="dxa"/>
              <w:right w:w="10"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Theme="minorEastAsia" w:hAnsiTheme="minorEastAsia" w:eastAsiaTheme="minorEastAsia" w:cstheme="minorEastAsia"/>
                <w:b/>
                <w:i w:val="0"/>
                <w:color w:val="000000"/>
                <w:sz w:val="21"/>
                <w:szCs w:val="21"/>
                <w:highlight w:val="none"/>
                <w:u w:val="none"/>
              </w:rPr>
            </w:pPr>
            <w:r>
              <w:rPr>
                <w:rFonts w:hint="eastAsia" w:asciiTheme="minorEastAsia" w:hAnsiTheme="minorEastAsia" w:eastAsiaTheme="minorEastAsia" w:cstheme="minorEastAsia"/>
                <w:b/>
                <w:i w:val="0"/>
                <w:color w:val="000000"/>
                <w:kern w:val="0"/>
                <w:sz w:val="21"/>
                <w:szCs w:val="21"/>
                <w:highlight w:val="none"/>
                <w:u w:val="none"/>
                <w:lang w:val="en-US" w:eastAsia="zh-CN" w:bidi="ar"/>
              </w:rPr>
              <w:t>功能说明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统一门户</w:t>
            </w: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二级单位法规部门领导</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二级单位法规部门领导登录风控平台后，自动跳转到二级单位法规部门领导页，展示二级单位的指标预警、风险排行榜、风险信息收集、缺陷分布、风险监控情况，给二级单位法规部门领导提供掌握二级单位缺陷分布和风险预警的信息化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二级单位法规部门管理员</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二级单位法规部管理员登录风控平台后，自动跳转到二级单位法规部管理员页，展示本人的待办已办信息、二级单位的风险评估、风险核查处置、内控合规评价情况，为二级单位法规部管理员办理风险处置业务和了解整个二级单位风险情况提供信息化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65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二级单位业务部门领导</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二级单位业务部门领导登录风控平台后，自动跳转到二级单位业务部门领导页，展示本人负责的二级单位业务域待处理事项、核查处置情况、风险信息收集、部门风险及评价情况、风险监控曲线、风险排行榜情况，给二级单位业务部门领导提供掌握二级单位负责业务域的缺陷分布和风险预警的信息化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我的工作台</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各角色用户登录风控平台后，自动跳转到风险处置人页，展示本人的待办已办单据和信息，为风险处置人办理风险处置等业务提供统一平台入口。--补充：功能待办已办，单据待办已办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信息收集</w:t>
            </w: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内部信息</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监督共享问题库</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对审计、巡视巡察、督导等线下检查发现的所有业务域，各类问题进行结构化管理，可以手工录入问题，或是将线下按模板格式整理的问题导入系统，便于对问题清单进行查询，并支持导出为Excel文件线下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98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业务流程清单</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流程清单功能，对流程目录层级进行维护，对应于EA业务架构里面的业务域、一级业务分类、二级业务分类、业务事项、业务流程；用于梳理规则、指标模型时能关联到对应的业务域，为后面的展示分析提供数据支撑。可以实现流程清单导出功能，在导出的列表中可按照一级、二级、三级的流程横向展开显示流程全貌，风险属性展示到末级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风险评估</w:t>
            </w: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风险识别与分析</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风险分类清单</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网公司统一定义一级、二级、三级风险分类清单后，省公司引用网公司的风险分类清单进行细化完善，三级单位引用省公司的风险分类清单进行细化完善，以此类推，从而实现风险清单的统一管控，并支持风险分类清单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风险评价</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评估标准管理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将各单位线下的评估标准文件上传到系统中进行在线管理功能，上级单位可查看下级单位上传的评估标准，下级单位可查看其对应所有上级单位的评估标准。评估标准功能用于管理线下的评估标准附件，通过附件材料列可以穿透查看详情，并支持下载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31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年度风险评估</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持将线下整理的重大风险评估表导入系统，也支持在线查看评估标准，对风险发生频率得分，对战略目标、经营目标、合规目标、声誉/品牌、财务报告及相关信息真实完整各维度的影响程度进行打分，以及根据内控缺陷评价结果中重大缺陷、重要缺陷、一般缺陷的数量，结合影响程度系数及缺陷影响系数，自动计算综合得分、风险等级，补充可能或已造成的损失及影响、原因分析、应对措施等内容，实现年度评估结果的线上管理，并支持查看下级单位的风险评估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重大风险清单</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根据年度风险评估中综合得分由高到低排序，自动形成年度重大风险清单，该功能提供查看本单位或下级单位重大风险清单，默认展示前5大风险，支持输入数值切换查看前10大、15大风险等。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年度风险对比</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提供按基准年份，查询本单位或下级单位前五大风险近三年的风险综合得分、风险等级、风险排序变化情况，便于掌握重大风险的演变趋势。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风险应对</w:t>
            </w: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风险监控规则管理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风险监控规则</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风险监控规则管理用于维护规则分类，引入已在数据中心落地的风险监控规则，设置规则属性，例如扫描频率、适用单位范围等，对于不适用的规则可进行启用、停用操作，最终形成本单位的风险监控体系。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规则清单查询</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规则清单查询功能支持用户自由组合查询条件，以规则分类、风险、流程三个维度查看全量规则信息，包括风险监控规则、未来建设的业务监测规则，业务控制规则，并支持导出规则信息。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14</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风险场景管理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风险场景设置</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风险场景设置功能支持用户自定义设置并维护企业级场景、专业级场景、主题场景信息，并将风险监控规则归类于各场景主题下，形成风险监控场景，为价值流场景看板提供数据支撑。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15</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场景监控结果</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场景监控结果功能以左树右表形式展示各企业级场景、专业级场景、主题场景下风险监控结果，通过切换场景名称，查看该场景下各单位的风险监控结果信息，并支持穿透查看风险监控明细数据。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16</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专项项目管理</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专项项目管理功能支持用户维护检查项目，通过手动建立检查项目，选择检查范围，被检查单位，检查规则，自动按照项目+检查单位生成任务，用于后续逐专项项目执行功能开展检查工作。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17</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专项项目执行</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专项项目执行功能支持各专项检查项目单位或被检查单执行项目检查，系统通过所项目所设置的检查内容，实时调用数据中心中已落地的风险监控模型对检查时间范围内，被检查单位的业务数据进行扫描，并反馈执行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项目监控结果</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项目监控结果支持用户按照专项检查项目查看各项目下各被检查单位的监控结果，并支持穿透查看监控结果明细数据。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19</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风险指标管理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风险指标体系</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按业务、风险、单位性质等不同维度构建风险指标体系，设置体系适用单位范围，对接数据中心获取需要的指标，设置完成后启用该指标体系使其生效，后续可按指标体系设置各指标预警策略。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指标填报管理</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针对不能直采的指标，提供指标值手工录入功能，用于按业务期间+单位手工录入指标值数值。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65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内控合规评价</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缺陷评级管理</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持将线下的年度自评、监督评价的缺陷评级表导入系统，也支持在线录入缺陷来源、缺陷类型、缺陷基本信息等，对缺陷影响程度各维度进行打分，根据评分模型自动计算综合得分、风险等级，补充原因分析、造成影响、控制措施、责任部门、责任人等内容，实现年度内控评价缺陷的线上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22</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缺陷问题清单</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根据缺陷的综合得分由高到低排序，自动形成年度内控评价重大缺陷清单，该功能支持查看本单位或下级单位的缺陷清单详情。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缺陷季度跟踪</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持对重大缺陷按模板格式将线下整理的内容导入系统，也支持在线填写控制措施、整改状态、完成时间等进行在线管理，其中整改状态分为未整改、整改中、整改完成，当缺陷整改完成后，后续无需继续跟踪，实现对内控评价缺陷闭环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24</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重大风险跟踪管理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年初风险应对措施管理</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将年度风险评估中重大风险的应对措施相关信息形成单独的清单方便查看。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重大风险季度跟踪</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支持将重大风险线下整理的内容导入系统，也支持在线填写本季度完成情况、下季度工作计划、实际完成时间等进行在线管理，便于对重大风险按季度进行持续跟进。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26</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风险应对</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风险派发</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支持按实际业务进行个性化派发，分别支持派发本单位本部门、派发下级单位本部门、针对法规/创新/供应链域等类的特殊规则，支持派发本单位本部门、派发下级单位、派发除本部门外的其他各业务部门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27</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风险处置</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根据风险疑点所派发的对象，相关的风险处置人可在当前功能页面进行风险疑点的处置，同时支持在当前环节根据风险疑点是否属于或需要当前人员开展处置，视情况进行开展处置、发起申诉或退回；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风险处置清单</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在风险处置清单功能页面可以查看风险疑点扫描出来之后的处置情况进行查看，数据展示方式采用总分模式进行数据汇总，呈现截止至所选期间的风险疑点数据的处置进度；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29</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风险提示消息转送</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在风险疑点产生之后，在风险提示消息转送页面会将非处置类的疑点在当前页面进行展示，相关责任人在当前页面可对疑点继续初步判断是否需要进行转送至具体的责任人查看，若需要则支持进行转送给责任人进行查看知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风险提示消息查看</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在风险提示消息查看页面中，针对在转送环节转送给具体责任人的疑点，接收到该疑点的责任人可在当前功能页面进行查看标记，若进行了查看标记，则该疑点视为已经闭环；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风险提示清单</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在风险提示清单功能页面可以查看风险疑点扫描出来之后的提醒、预警类规则疑点的处理情况进度查看，数据展示方式采用总分模式进行数据汇总，呈现截止至所选期间的风险疑点数据的接收、转送，查看等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32</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风险提示单</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风险提示单发布</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在触及需下达风险提示单的事项时，在经法规部审批后，提供各级单位向下级单位或业务部门发布风险提示单，对本单位识别的内外部风险进行及时提示。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风险提示单处理</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针对需反馈的风险提示单，接收用户在接收并查看提示单后，需填写反馈说明并上传附件材料，将提示单传递给相关责任人审批，实现待处理和已处理提示单的集中管理要求。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34</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风险监督与改进</w:t>
            </w: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多维查询统计</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风险监控情况总览</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情况总览功能支持用户自由组合查询条件，针对风险监控规则运行过程中产生的风险信息，处置信息，问题信息等全量数据做一个统一查询，同步以图表的方式展示查询的数据，并支持导出线下表格进行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35</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风险指标预警查询</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根据风险指标体系、预警策略，自动执行指标取数、预警计算，形成指标预警结果，并用不同设置颜色展示各单位、各业务期间的风险指标预警结果，列表展示单位所属级次，并统计全年的累计预警次数，当指标触发红灯、黄灯预警时，及时提醒相关责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36</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风险监控结果查询</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按规则查看监控结果</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按规则查看监控结果支持用户以规则视角在线查看各规则在运行扫描过程中所发现的监控结果表格数据及其视图，并支持穿透查看明细。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37</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按单位查看监控结果</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按单位查看监控结果支持用户以单位视角在线查看各规则在运行扫描过程中在各个单位所发现的监控结果表格数据及其视图，并支持穿透查看明细。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按业务域查看监控结果</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按业务域查看监控结果支持用户以风险视角在线查看各规则在运行扫描过程中各个业务域所发现的监控结果表格数据及其视图，并支持穿透查看明细。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39</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按风险等级查看监控结果</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按风险等级查看监控结果支持用户以风险视角在线查看各规则在运行扫描过程中不同风险等级的规则所发现的监控结果表格数据及其视图，并支持穿透查看明细。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规则优化建议查询</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针对告警类的风险疑点，在风险派发后，由处置人发起了申诉单的相关数据进行统计，把涉及发起了申诉的疑点所属规则、建议内容、关联单据等进行关联展示，以支持对规则优化建议的集中收集和查看，支撑后续规则的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规则申诉统计分析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针对告警类的风险疑点，在风险派发后，由处置人发起了申诉单的相关数据进行统计，统计申诉成功、申诉中的数量并且以单位维度、业务域维度进行统计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42</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问题整改情况分析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问题整改情况分析支持用户以视图查看问题时间趋势、问题整改状态分布，问题单位分布，问题业务域分布情况，并支持穿透至对应功能查看问题明细数据及各单位问题整改完成率。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综合评价</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部门及岗位自评</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月度岗位自评结果查询</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提供月度岗位自评结果查询功能，展示eLink中各岗位每月填报的内控自评信息，支持按照单位、部门查询详情，并导出月度岗位内控自评结果信息。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44</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月度岗位自评统计</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通过从数据中台获取月度岗位内控自评结果信息，按月份统计各单位下内控岗位自评应参评人数、实际参评人数、实际参评占比、发现问题数、发现问题占比情况。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45</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季度部门内控自查表</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提供季度部门内控自查表查询功能，展示eLink中各部门每季度填报的内控自查信息，支持按照单位、部门查询详情，并导出季度部门内控自查表信息。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46</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季度部门自评统计</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通过从数据中台获取季度部门内控自查表信息，按季度统计各单位下部门内控自查表填报情况，包括应参评部门数、实际参评部门数、实际参评占比、发现问题部门数、发现问题部门占比情况。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47</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报告管理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报告管理</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持对风险管理报告、内控体系工作报告进行上传维护及定稿上报；同时支持将线下整理的报告模板设置取数源后内置到系统中，从系统获取相关数据填充报告模板从而自动生成报告初稿，供下载后补充调整经确认后上传进行定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报告查询</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支持对本单位及各下级单位已定稿报告进行查询并下载，同时支持在线预览报告详情。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49</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决策支持</w:t>
            </w: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管理驾驶舱</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价值流场景</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提供企业级场景、专业级场景、主题场景下对应建设的场景数、涉及业务域数量、涉及风险数量、问题总数，点击价值流场景旁边的小箭头可以跳转到【价值流场景】页面。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指标预警情况</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提供查看指标预警数量、指标预警占比、红灯预警占比、黄灯预警占比情况。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风险监控情况</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提供查看风险提醒、风险预警和风险告警个数，同时点击小箭头可以跳转到【风险监控规则建设情况分析】页面。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52</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风险提示情况</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提供所有提示和预警类规则的风险数量总数、以及显示针对此类风险已被接收的数量比例，并支持穿透查看各单位风险消息接收和风险消息查看的统计数，以及消息查看的平均时间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风险处置情况</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告警类规则的风险数量总数、以及显示风险的各种处置状态的比例；并支持穿透查看各单位或各业务域各种风险处置状态的数量分布、各单位或各业务域风险涉及的金额和挽回损失金额的统计、处置结果的分类统计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54</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内控评价情况</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分别统计内控合规评价中重大缺陷、重要缺陷的数量。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55</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中间地图</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以地图形式展示指标预警情况、风险监控情况、风险提示情况、风险处置情况、内控评价情况。用户可以实现网、省、市、县四级数据查询。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56</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全景地图</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提供按照风险维度的地图，用户可以查询风险维度下风险的大小。按照流程维度的地图将在后期规划。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57</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价值流场景</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企业级场景</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以企业级场景主题卡片分别展示各场景的业务域数量、涉及风险数量、建设规则数量、问题总数，支持切换场景查看其下级分类，展示其环节数、问题总数（重大、重要问题个数），还可以查看各环节是否建设规则、重大/重要问题数量，支持穿透查看详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专业级场景</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以专业级场景主题卡片分别展示各场景涉及风险数量、建设规则数量、问题总数，支持切换场景查看其下各环节的重大、重要问题个数，支持穿透查看详情。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98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59</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主题场景</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根据不同的配置主题场景查看发现的重大问题、重要问题和一般问题对应的问题数量和涉及的金额（例四虚场景、计财场景、基建场景等），用户可以查看不同板块及不同单位的数量和金额分布。同时，可以实现明细数据查看功能包括单位名称、板块名称、业务域名称、一级业务分类、二级业务分类等。可以分为主题视角和单位视角进行查看。同时，可以查看问题整改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全景地图</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风险地图</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从风险维度统计建设、监控等维度的数据进行展示分析。初始页面只展示一级6大风险，二级穿透页面可查看下级风险。6大风险的一级展示建议用块状图，图上显示风险告警数量和百分比，二级穿透页面再用块状图表示，建议单个风险比例小于1%都归类为其他，不再分类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预警指标看板</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指标预警情况</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可以查看指标预警数量、指标预警占比、红灯预警个数和黄灯预警个数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62</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指标预警单位数排名（前十）</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可以查看预警指标单位数的指标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指标预警次数排名（前十）</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查看过去12个月内亮红灯和黄灯数量排名前十的指标。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64</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一级风险指标预警情况</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提供查看一级风险红灯预警和黄灯预警的个数。一级风险包括运营风险、财务风险、安全风险、市场风险、法律风险和战略风险6个方面。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65</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各业务域指标预警统计</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提供查看不同的业务域红灯预警指标和黄灯预警指标的个数和占比。业务域包括计财域、营销域、生产域、创新域、基建域、规划域和供应链域共7个业务域。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66</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风险监控看板</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风险监控数量分布</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提供规则不同的分类下的数量及占比，包括预警规则、提醒规则、告警规则。将告警规则的数量及占比、提醒规则的数量及占比、预警规则的数量及占比以环形图的形式进行展示。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67</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业务域分类维度告警分布</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业务域维度下计财域、生产域、创新域、基建域、规划域和供应链域的告警规则数量，预警规则数量，提醒规则数量。将不同业务域下的告警规则数量、预警规则数量和提醒规则数量以网状图的形式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监控问题前五的风险单位分布</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提供按单位风险数量排序，可以查询排名前五的单位风险数量和占比；并且支持按规则类型展示风险数量排名前五的单位所出现的风险数量和占比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69</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风险告警趋势分析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风险分类维度告警数量趋势分析</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勾选一级风险和单位，以折线图的形式展示勾选单位所勾选的一级风险中的告警规则的数量之和，时间跨度为当年日期倒推12个月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风险提示看板</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风险接收情况分析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提供提醒和预警类风险的风险消息已被接收的数量，以环形的图的形式展示已接收和未接收的数量总计；并针对已接收的风险展示被转送的风险占比。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风险查看情况分析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提供被转送的风险消息中已被查看的数量，以环形的图的形式展示已查看和未查看的数量总计；并针对已查看的风险展示查看消息的平均效率。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72</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各单位风险接收情况分析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提供各单位关于提醒和预警类规则的风险消息接收情况的统计，显示已接收风险、未接收风险以及转送风险提示占比以堆积柱状图的形式进行展示。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各单位风险查看情况分析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提供各单位关于提醒和预警类规则的风险消息被标记查看的情况统计，显示已查看风险、未查看风险以及消息查看平均效率以堆积柱状图的形式进行展示。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74</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单位平均风险查看效率排行</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提供各单位按风险消息查看平均效率的维度进行排名，提供排名榜的形式进行对比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75</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风险处置看板</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风险处置情况占比分布</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提供告警规则的风险总数，并显示各处置状态下的风险总数及占比，以环形图的形式进行展示。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76</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处置结果情况分析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提供风险处置后的问题分类统计，统计数据质量、业务管理和其它三种类型的问题数量，以环形图的形式进行展示。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77</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风险处置情况分析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提供告警规则的风险总数，按业务域或者按单位下，各处置状态下的风险总数，以柱状堆积图的形式进行展示。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单位平均风险处置效率排行</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提供各单位按风险处置的平均效率的维度进行排名，即计算风险从发生到处置闭环的时间；提供排名榜的形式进行对比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79</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各业务域风险涉及金额分布分析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风险分类维度</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提供告警规则的风险在业务域维度下，风险中所涉及的金额总计以及所挽回损失金额的总计并以条形图的形式进行展示。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各单位风险涉及金额分布分析</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业务域维度（数量）</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提供告警规则的风险在单位维度下，风险中所涉及的金额总计以及所挽回损失金额的总计并以条形图的形式进行展示。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规则处置成效</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业务域维度（金额）</w:t>
            </w: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提供告警规则的风险在处置中所带来的成效统计，包含挽回损失金额总数、新建或修订制度总数、优化或完善流程总数等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系统设置</w:t>
            </w: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风控组织体系</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风控组织</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风控组织支持从4A用户中心中引入基础组织信息为风控组织，并支持设置单位扩展属性字段，例如单位所在省份，所在城市等，用于支撑系统功能的实现。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风控部门及人员管理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按单位设置各单位的风控业务部门，单位风险管理员、部门风险管理员、部门负责人，负责开展本单位日常风险管理工作。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84</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体系责任管理</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风险责任管理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各单位可将本单位管理的风险清单，为其指定对应的主管部门，满足将风险进行横向认责明确风险防控责任，后续用于年度风险评估打分、风险处置、统计部门风险分布信息等。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2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85</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流程责任管理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单位可将本单位管理的内控流程，为其指定对应的归口管理部门、执行主责部门，满足将流程进行横向认责明确流程防控责任，其中归口管理部门负责流程的制定、解释和监督；执行主责部门负责流程的执行及对单位流程优化提出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86</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指标责任管理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各单位可将本单位适用的指标，为其指定对应的责任部门，后续负责本单位风险指标预警应对工作。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87</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规则责任管理</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规则认责管理支持各单位按照业务域设置自己单位各业务域（各部门）负责人信息，用于规则扫描产生结果时，所设置用户可接收到系统自动下发风险信息数据以及对应的消息提醒，及时开展风险派发工作。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规则对应关系管理</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规则与风险对应清单</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用于建立风险与规则的关联关系，后续支持按风险维度统计、展示、查看其关联规则，对相关规则监控出的问题按风险维度进行归类分析。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89</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规则与流程对应清单</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用于建立末级流程与规则的关联关系，后续支持按末级流程入上汇总到一级流程（即业务域）维度统计、展示、查看其关联规则，对相关规则监控出的问题按流程维度进行归类分析。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风险策略管理</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规则输出结果展示字段设置</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输出结果展示字段设置功能支持用户自定义设置每条规则的输出结果字段信息，用于查看规则监控结果明细展示明细业务数据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风险消息设置</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风险消息设置功能支持用户维护各类消息信息内容，例如风险提醒信息，督办消息等，在规则扫描产生结果时，系统则会按照此功能预先设计好的消息发送给对应用户。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92</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指标预警策略设置</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支持对已启用指标体系下的各个指标分别设置预警策略，设置预警级别、预警范围、预警方式、预警消息内容、各区段预警阈值等，并设置体系的调度频率，作为风险指标预警的基础。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预警消息推送设置</w:t>
            </w: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用于设置指标预警时消息接收人员，支持按岗位（角色）、人员设置各单位接收指标预警消息的人员。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94</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流程关联</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用于按单位自定义配置审批流程，例如：风险提示函处置单、风险核查单、问题整改单等。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9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95</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系统参数</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提供系统参数设置功能，支持对风险等级（重大风险、重要风险、一般风险）、指标预警级别（红灯、黄灯、绿灯）等参数值或显示颜色按需设置内容。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96</w:t>
            </w:r>
          </w:p>
        </w:tc>
        <w:tc>
          <w:tcPr>
            <w:tcW w:w="1192" w:type="dxa"/>
            <w:vMerge w:val="restart"/>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首页微件</w:t>
            </w: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价值流场景</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展示企业级场景、专业级场景、主题场景下对应建设的场景数、涉及业务域数量、涉及风险数量、问题总数，支持穿透到价值流场景看板。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97</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待办及提醒</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用于统计消息提醒、风险派单、风险处置、审批的数量，并支持穿透查看详情并处理。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98</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风险处置看板</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以饼图形式分别展示处置各进度的数量及占比、核查问题、问题整改的数据，支持风险处置情况分析中进行查看。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99</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风险提示看板</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展示提醒和预警类规则的风险数量，并统计已接收风险提醒的数量及占比，支持穿透到风险提示情况看板。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100</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指标预警看板</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展示指标预警占比比例，支持穿透到指标预警情况分析看板。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6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101</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风险监控看板</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展示风险预警、提醒、风险告警数量，及风险监控情况趋势缩略图，支持穿透到风险监控情况分析看板。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102</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全景地图</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展示场景数据，支持穿透到全景地图看板。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0" w:hRule="atLeast"/>
        </w:trPr>
        <w:tc>
          <w:tcPr>
            <w:tcW w:w="605"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103</w:t>
            </w:r>
          </w:p>
        </w:tc>
        <w:tc>
          <w:tcPr>
            <w:tcW w:w="1192" w:type="dxa"/>
            <w:vMerge w:val="continue"/>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06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决策支持</w:t>
            </w:r>
          </w:p>
        </w:tc>
        <w:tc>
          <w:tcPr>
            <w:tcW w:w="1192"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1169"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sz w:val="21"/>
                <w:szCs w:val="21"/>
                <w:highlight w:val="none"/>
                <w:lang w:val="en-US" w:eastAsia="zh-CN"/>
              </w:rPr>
            </w:pPr>
          </w:p>
        </w:tc>
        <w:tc>
          <w:tcPr>
            <w:tcW w:w="4151" w:type="dxa"/>
            <w:shd w:val="clear" w:color="auto" w:fill="auto"/>
            <w:tcMar>
              <w:top w:w="10" w:type="dxa"/>
              <w:left w:w="10" w:type="dxa"/>
              <w:right w:w="10"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提供决策支持的快捷入口，支持穿透到管理驾驶舱主页。</w:t>
            </w:r>
          </w:p>
        </w:tc>
      </w:tr>
    </w:tbl>
    <w:p>
      <w:pPr>
        <w:pStyle w:val="5"/>
        <w:rPr>
          <w:rFonts w:hint="eastAsia"/>
          <w:highlight w:val="none"/>
          <w:lang w:val="en-US" w:eastAsia="zh-CN"/>
        </w:rPr>
      </w:pPr>
      <w:r>
        <w:rPr>
          <w:rFonts w:hint="eastAsia"/>
          <w:highlight w:val="none"/>
          <w:lang w:val="en-US" w:eastAsia="zh-CN"/>
        </w:rPr>
        <w:t>4.1.2 风险监测规则清单</w:t>
      </w:r>
    </w:p>
    <w:p>
      <w:pPr>
        <w:pageBreakBefore w:val="0"/>
        <w:widowControl w:val="0"/>
        <w:kinsoku/>
        <w:wordWrap/>
        <w:overflowPunct/>
        <w:topLinePunct w:val="0"/>
        <w:autoSpaceDE/>
        <w:autoSpaceDN/>
        <w:bidi w:val="0"/>
        <w:adjustRightInd/>
        <w:spacing w:line="560" w:lineRule="exact"/>
        <w:ind w:firstLine="480"/>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监督控制管理平台已建成了一批风险监测规则，</w:t>
      </w:r>
      <w:r>
        <w:rPr>
          <w:rFonts w:hint="eastAsia" w:ascii="宋体" w:hAnsi="宋体" w:eastAsia="宋体" w:cs="宋体"/>
          <w:sz w:val="24"/>
          <w:szCs w:val="24"/>
          <w:highlight w:val="none"/>
        </w:rPr>
        <w:t>结合自身经营管理要求对风险监控规则做适配性校验，决定上线应用以下</w:t>
      </w: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条风险监控规则</w:t>
      </w:r>
      <w:r>
        <w:rPr>
          <w:rFonts w:hint="eastAsia" w:ascii="宋体" w:hAnsi="宋体" w:eastAsia="宋体" w:cs="宋体"/>
          <w:kern w:val="2"/>
          <w:sz w:val="24"/>
          <w:szCs w:val="24"/>
          <w:highlight w:val="none"/>
          <w:lang w:val="en-US" w:eastAsia="zh-CN" w:bidi="ar-SA"/>
        </w:rPr>
        <w:t>。</w:t>
      </w:r>
    </w:p>
    <w:tbl>
      <w:tblPr>
        <w:tblStyle w:val="17"/>
        <w:tblW w:w="8972"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
        <w:gridCol w:w="813"/>
        <w:gridCol w:w="2"/>
        <w:gridCol w:w="1598"/>
        <w:gridCol w:w="2"/>
        <w:gridCol w:w="3253"/>
        <w:gridCol w:w="2"/>
        <w:gridCol w:w="3298"/>
        <w:gridCol w:w="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gridAfter w:val="1"/>
          <w:wAfter w:w="2" w:type="dxa"/>
          <w:trHeight w:val="416" w:hRule="atLeast"/>
          <w:tblHeader/>
        </w:trPr>
        <w:tc>
          <w:tcPr>
            <w:tcW w:w="815" w:type="dxa"/>
            <w:gridSpan w:val="2"/>
            <w:shd w:val="clear" w:color="auto" w:fill="D7D7D7" w:themeFill="background1" w:themeFillShade="D8"/>
            <w:vAlign w:val="center"/>
          </w:tcPr>
          <w:p>
            <w:pPr>
              <w:widowControl w:val="0"/>
              <w:spacing w:after="0" w:line="240" w:lineRule="auto"/>
              <w:ind w:firstLine="0" w:firstLineChars="0"/>
              <w:jc w:val="center"/>
              <w:rPr>
                <w:rFonts w:hint="default" w:ascii="Times New Roman" w:hAnsi="Times New Roman" w:cs="Times New Roman" w:eastAsiaTheme="minorEastAsia"/>
                <w:b/>
                <w:bCs/>
                <w:kern w:val="2"/>
                <w:sz w:val="21"/>
                <w:szCs w:val="21"/>
                <w:highlight w:val="none"/>
                <w:lang w:val="en-US" w:eastAsia="zh-CN" w:bidi="ar-SA"/>
              </w:rPr>
            </w:pPr>
            <w:r>
              <w:rPr>
                <w:rFonts w:hint="eastAsia" w:ascii="Times New Roman" w:hAnsi="Times New Roman" w:cs="Times New Roman" w:eastAsiaTheme="minorEastAsia"/>
                <w:b/>
                <w:bCs/>
                <w:kern w:val="2"/>
                <w:sz w:val="21"/>
                <w:szCs w:val="21"/>
                <w:highlight w:val="none"/>
                <w:lang w:val="en-US" w:eastAsia="zh-CN" w:bidi="ar-SA"/>
              </w:rPr>
              <w:t>序号</w:t>
            </w:r>
          </w:p>
        </w:tc>
        <w:tc>
          <w:tcPr>
            <w:tcW w:w="1600" w:type="dxa"/>
            <w:gridSpan w:val="2"/>
            <w:shd w:val="clear" w:color="auto" w:fill="D7D7D7" w:themeFill="background1" w:themeFillShade="D8"/>
            <w:vAlign w:val="center"/>
          </w:tcPr>
          <w:p>
            <w:pPr>
              <w:widowControl w:val="0"/>
              <w:spacing w:after="0" w:line="240" w:lineRule="auto"/>
              <w:ind w:firstLine="0" w:firstLineChars="0"/>
              <w:jc w:val="center"/>
              <w:rPr>
                <w:rFonts w:hint="eastAsia" w:ascii="Times New Roman" w:hAnsi="Times New Roman" w:cs="Times New Roman" w:eastAsiaTheme="minorEastAsia"/>
                <w:b/>
                <w:bCs/>
                <w:kern w:val="2"/>
                <w:sz w:val="21"/>
                <w:szCs w:val="21"/>
                <w:highlight w:val="none"/>
                <w:lang w:val="en-US" w:eastAsia="zh-CN" w:bidi="ar-SA"/>
              </w:rPr>
            </w:pPr>
            <w:r>
              <w:rPr>
                <w:rFonts w:hint="eastAsia" w:ascii="Times New Roman" w:hAnsi="Times New Roman" w:cs="Times New Roman" w:eastAsiaTheme="minorEastAsia"/>
                <w:b/>
                <w:bCs/>
                <w:kern w:val="2"/>
                <w:sz w:val="21"/>
                <w:szCs w:val="21"/>
                <w:highlight w:val="none"/>
                <w:lang w:val="en-US" w:eastAsia="zh-CN" w:bidi="ar-SA"/>
              </w:rPr>
              <w:t>业务域名称</w:t>
            </w:r>
          </w:p>
        </w:tc>
        <w:tc>
          <w:tcPr>
            <w:tcW w:w="3255" w:type="dxa"/>
            <w:gridSpan w:val="2"/>
            <w:shd w:val="clear" w:color="auto" w:fill="D7D7D7" w:themeFill="background1" w:themeFillShade="D8"/>
            <w:vAlign w:val="center"/>
          </w:tcPr>
          <w:p>
            <w:pPr>
              <w:widowControl w:val="0"/>
              <w:spacing w:after="0" w:line="240" w:lineRule="auto"/>
              <w:ind w:firstLine="0" w:firstLineChars="0"/>
              <w:jc w:val="center"/>
              <w:rPr>
                <w:rFonts w:hint="eastAsia" w:ascii="Times New Roman" w:hAnsi="Times New Roman" w:cs="Times New Roman" w:eastAsiaTheme="minorEastAsia"/>
                <w:b/>
                <w:bCs/>
                <w:kern w:val="2"/>
                <w:sz w:val="21"/>
                <w:szCs w:val="21"/>
                <w:highlight w:val="none"/>
                <w:lang w:val="en-US" w:eastAsia="zh-CN" w:bidi="ar-SA"/>
              </w:rPr>
            </w:pPr>
            <w:r>
              <w:rPr>
                <w:rFonts w:hint="eastAsia" w:ascii="Times New Roman" w:hAnsi="Times New Roman" w:cs="Times New Roman" w:eastAsiaTheme="minorEastAsia"/>
                <w:b/>
                <w:bCs/>
                <w:kern w:val="2"/>
                <w:sz w:val="21"/>
                <w:szCs w:val="21"/>
                <w:highlight w:val="none"/>
                <w:lang w:val="en-US" w:eastAsia="zh-CN" w:bidi="ar-SA"/>
              </w:rPr>
              <w:t>规则名称</w:t>
            </w:r>
          </w:p>
        </w:tc>
        <w:tc>
          <w:tcPr>
            <w:tcW w:w="3300" w:type="dxa"/>
            <w:gridSpan w:val="2"/>
            <w:shd w:val="clear" w:color="auto" w:fill="D7D7D7" w:themeFill="background1" w:themeFillShade="D8"/>
            <w:vAlign w:val="center"/>
          </w:tcPr>
          <w:p>
            <w:pPr>
              <w:widowControl w:val="0"/>
              <w:spacing w:after="0" w:line="240" w:lineRule="auto"/>
              <w:ind w:firstLine="0" w:firstLineChars="0"/>
              <w:jc w:val="center"/>
              <w:rPr>
                <w:rFonts w:hint="eastAsia" w:ascii="Times New Roman" w:hAnsi="Times New Roman" w:cs="Times New Roman" w:eastAsiaTheme="minorEastAsia"/>
                <w:b/>
                <w:bCs/>
                <w:kern w:val="2"/>
                <w:sz w:val="21"/>
                <w:szCs w:val="21"/>
                <w:highlight w:val="none"/>
                <w:lang w:val="en-US" w:eastAsia="zh-CN" w:bidi="ar-SA"/>
              </w:rPr>
            </w:pPr>
            <w:r>
              <w:rPr>
                <w:rFonts w:hint="eastAsia" w:ascii="Times New Roman" w:hAnsi="Times New Roman" w:cs="Times New Roman" w:eastAsiaTheme="minorEastAsia"/>
                <w:b/>
                <w:bCs/>
                <w:kern w:val="2"/>
                <w:sz w:val="21"/>
                <w:szCs w:val="21"/>
                <w:highlight w:val="none"/>
                <w:lang w:val="en-US" w:eastAsia="zh-CN" w:bidi="ar-SA"/>
              </w:rPr>
              <w:t>监控目标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921"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危险废物超期处置</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监控危险废物处置遵循“即回收、即处置”的原则。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979"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危险废物超期处置(预警)</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监控危险废物处置遵循“即回收、即处置”的原则。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9"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应招标未招标</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监控招标采购的规范性，防止采购中出现未按照规定的招标方式进行招标的现象。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储备物资轮换、更新不及时</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监控储备物资轮换、更新及时性。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储备物资轮换、更新不及时(预警)</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监控储备物资轮换、更新及时性。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招标公告发布时限不满足法定要求</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监控招标公告发布时限规范性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58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违规采取零星采购</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监控零星采购规范性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投产后仍发生物资领用</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监控投产后仍发生物资领用情况。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58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采购合同无法按期交货</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监控合同履约时效性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未按规定对供应商进行履约评价</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监控合同承办人对供货商履约实施评价情况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未按规定对供应商进行履约评价(预警)</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监控合同承办人对供货商履约实施评价情况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物资出库不满足“先进先出”要求</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确保物资出库作业“先进先出”，减少闲置物资存量。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疑似物资虚假出库（物料整体出入）</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监控物资整体出入的虚假出库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74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电网基建项目物资应退未退(预警)</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监控主、配网、业扩基建项目完成结算后，是否长期未完成物资退库。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74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电网基建项目物资应退未退</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监控主、配网、业扩基建项目完成结算后，是否长期未完成物资退库。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232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储备物资不满足日常抢修需求</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监控日常修理项目物资领用情况与备品备件储备物资对比。常用的日常抢修物资未纳入储备方案。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45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备品备件储备方案适用度不高</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监控备品备件储备方案中储备物资在当年1-12月使用情况。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在库项目物资长期未使用(预警)</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监控各类在建工程项目物资长期未使用。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在库项目物资长期未使用</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监控各类在建工程项目物资长期未使用。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急救包长期零库存</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监控急救包超六个月仍然零库存，未发挥急救包作用。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急救包存在长库龄物资</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监控急救包库存物资入库时间大于1年长库龄物资。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供应链</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物资仓库未每月开展盘点</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监控物资仓库是否每月开展月度盘点工作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项目取费未按照标准执行</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检查项目经费预算是否符合取费标准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45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专利长时间未获得授权</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有效管控专利申请进度，尽快取得专利授权，保护自身权益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45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专利长时间未获得授权（预警）</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有效管控专利申请进度，尽快取得专利授权，保护自身权益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45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项目结算后未转固</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检查涉及物资采购的项目及项目完成后需转固的项目是否及时转固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项目时间变更、延期未经审批</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规范项目变更流程，复合资金计划是否需要调整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45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科技项目计划预算编制错误</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检查科技项目立项计划任务书编制内容，避免出现预算不精准情况。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项目未按期交付</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检查项目是否按约定时间交付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项目未按期交付（预警）</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检查项目是否按约定时间交付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未按管理办法要求选择第三方鉴定评价机构</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检查科技项目科技成果是否经过第三方鉴定评价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规划</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电网规划配网项目落地数量占比较低</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确保电网规划配网网架规划建设有针对性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规划</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变电站扩建后仍出现动态低电压</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核查变电站扩建后电压低或电压不稳的情况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232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规划</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变电站和线路重过载、220kV及以上项目不满足“N-1"的问题未及时列入投资计划以解决</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确保变电站和线路重过载、220kV及以上项目不满足“N-1"的问题及时纳入投资计划进行改造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45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规划</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主网项目前期工作开展超时</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监控项目前期进度缓慢等原因造成的异常情况，督促加快项目进度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74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规划</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输电网项目核准手续取得即将超期(预警)</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监控已纳入计划的输电网项目核准手续取得是否即将到期，影响项目正常开工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203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规划</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变电站新出线满足新增负荷供电类项目立项必要性相同的项目优选类别不统一</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确保立项必要性一致的项目优选类别也一致，加强项目库项目基础信息管理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物资、财务对账不及时，存在较大差异</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监控物资结余数与财务账面结余数的差异情况。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45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运输费用支出进项税应抵扣未抵扣</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监控运输费支出未进行进项税抵扣，造成企业浪费的情况。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2" w:type="dxa"/>
          <w:trHeight w:val="145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租赁费支出未取得增值税发票</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监控租赁费支出未进行进项税抵扣，造成企业浪费的情况。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预付账款挂账为个人</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检查是否存在预付款挂个人的情况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116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固定资产处置未及时清理回收</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检查“固定资产清理”科目是否未及时清理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法治域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合同款项支付严重超期告警</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监控合同款项是否按照计划履行支付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2" w:type="dxa"/>
          <w:trHeight w:val="870" w:hRule="atLeast"/>
        </w:trPr>
        <w:tc>
          <w:tcPr>
            <w:tcW w:w="8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法治域</w:t>
            </w:r>
          </w:p>
        </w:tc>
        <w:tc>
          <w:tcPr>
            <w:tcW w:w="32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合同款项支付超期提醒</w:t>
            </w:r>
          </w:p>
        </w:tc>
        <w:tc>
          <w:tcPr>
            <w:tcW w:w="33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监控合同款项是否按照计划履行支付</w:t>
            </w:r>
          </w:p>
        </w:tc>
      </w:tr>
    </w:tbl>
    <w:p>
      <w:pPr>
        <w:pStyle w:val="5"/>
        <w:rPr>
          <w:rFonts w:hint="eastAsia"/>
          <w:highlight w:val="none"/>
          <w:lang w:val="en-US" w:eastAsia="zh-CN"/>
        </w:rPr>
      </w:pPr>
      <w:r>
        <w:rPr>
          <w:rFonts w:hint="eastAsia"/>
          <w:highlight w:val="none"/>
          <w:lang w:val="en-US" w:eastAsia="zh-CN"/>
        </w:rPr>
        <w:t>4.1.3风险监测指标清单</w:t>
      </w:r>
    </w:p>
    <w:p>
      <w:pPr>
        <w:pageBreakBefore w:val="0"/>
        <w:widowControl w:val="0"/>
        <w:kinsoku/>
        <w:wordWrap/>
        <w:overflowPunct/>
        <w:topLinePunct w:val="0"/>
        <w:autoSpaceDE/>
        <w:autoSpaceDN/>
        <w:bidi w:val="0"/>
        <w:adjustRightInd/>
        <w:spacing w:line="560" w:lineRule="exact"/>
        <w:ind w:firstLine="480"/>
        <w:textAlignment w:val="auto"/>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监督控制管理平台已建成了一批风险监测指标，甲方结合自身经营管理要求对风险监测指标做适配性校验，决定上线应用以下31条风险监测指标。</w:t>
      </w:r>
    </w:p>
    <w:p>
      <w:pPr>
        <w:shd w:val="clear"/>
        <w:ind w:firstLine="480"/>
        <w:rPr>
          <w:rFonts w:hint="default" w:asciiTheme="minorEastAsia" w:hAnsiTheme="minorEastAsia" w:eastAsiaTheme="minorEastAsia" w:cstheme="minorBidi"/>
          <w:szCs w:val="22"/>
          <w:highlight w:val="none"/>
          <w:lang w:val="en-US"/>
        </w:rPr>
      </w:pPr>
    </w:p>
    <w:tbl>
      <w:tblPr>
        <w:tblStyle w:val="17"/>
        <w:tblW w:w="95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46"/>
        <w:gridCol w:w="6"/>
        <w:gridCol w:w="1850"/>
        <w:gridCol w:w="21"/>
        <w:gridCol w:w="1579"/>
        <w:gridCol w:w="33"/>
        <w:gridCol w:w="5100"/>
        <w:gridCol w:w="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77" w:type="dxa"/>
          <w:trHeight w:val="23" w:hRule="atLeast"/>
        </w:trPr>
        <w:tc>
          <w:tcPr>
            <w:tcW w:w="846"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序号</w:t>
            </w:r>
          </w:p>
        </w:tc>
        <w:tc>
          <w:tcPr>
            <w:tcW w:w="1856"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业务域</w:t>
            </w:r>
          </w:p>
        </w:tc>
        <w:tc>
          <w:tcPr>
            <w:tcW w:w="1600"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指标名称</w:t>
            </w:r>
          </w:p>
        </w:tc>
        <w:tc>
          <w:tcPr>
            <w:tcW w:w="5133" w:type="dxa"/>
            <w:gridSpan w:val="2"/>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指标定义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9"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流动比率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统计期内，流动资产对流动负债的比率，用来衡量企业流动资产在短期债务到期以前，可以变为现金用于偿还负债的能力，反映企业的短期偿债能力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资产负债率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指总负债占总资产的比例，反映企业债务风险的管控能力。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1"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现金流动负债比率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统计期内，经营现金净流量同流动负债的比率，反映统计期内经营活动所产生的现金净流量足以抵付流动负债的倍数，从现金流量角度来反映企业当期偿付短期负债的能力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两金余额</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两金（应收账款和存货）总额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两金（应收账款和存货）总额占流动资产比重</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为应收账款和库存现金总额占流动资产比重，反映公司现金流状况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9"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净资产收益率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又称股东权益报酬率/净值报酬率/权益报酬率/权益利润率/净资产利润率，是衡量上市公司盈利能力的重要指标，是指利润额与平均股东权益的比值。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4"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营业收入利润率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指企业一定时期主营业务利润同主营业务收入的比率。它表示企业每单位主营业务收入能带来多少主营业务利润。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5"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资本保值增值率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是财政部制定的评价企业经济效益的十大指标之一，资本保值增值率反映了企业资本的运营效益与安全状况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总资产周转率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指企业在一定时期内销售(营业)收入同平均资产总额的比值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成本费用占营业收入比重</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指企业各项成本与费用之和占营业总收入的比重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经济增加值</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即经济价值增加值，是营业利润减除资本成本后企业经营所产生的价值增长,反映企业整体盈利能力和价值创造能力。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经营活动现金流量净额（更名后：经营活动净现金流）</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企业经营活动相关的现金流入和现金流出的差额。经营活动是指企业投资活动和筹资活动以外的所有交易和事项。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未纳入在线监控账户数</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公司在银行的报表范围内未纳入在线监控账户数量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账户监控率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公司在银行的已纳入在线监控账户和当前正常账户的比例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直融占比</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公司的直接融资额度占公司融资总额度的比例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逾期应收账款占应收账款比重</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统计期内逾期应收账款占应收账款比重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营业现金比率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指标是反映收益质量的主要指标之一,也是间接评价销售(营业)所得现金的一个重要指标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高负债子企业户数</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资产负债率超过70%的子企业户数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平均贷款利率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用加权算数平均法计算的平均利息率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亏损子企业数量</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反映统计期内子企业亏损状况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亏损子企业金额</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反映统计期内子企业亏损状况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账龄三年及以上的应收账款金额</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账龄三年及以上的应收账款金额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账龄三年及以上的应收账款占应收账款比重</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账龄三年及以上的应收账款占应收账款的比例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逾期应收账款金额</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逾期应收账款金额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供应链域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公开采购率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公开采购的金额占总采购金额的百分比，反映采购公开度。管理目的是避免应采未采、保证公开透明。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29"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供应链域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需求计划准确率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需求计划报送准确率：反映需求计划提报的数量、需求日期、技术参数等信息的准确性，进一步作准计划，提高需求计划预测的准确性。</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框架协议执行率：反映框架协议采购执行情况的准确性。（调峰调频公司不纳入）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供应链域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合同未及时支付金额</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所属单位统计周期内未及时申请支付合同总金额，未及时支付包括两种情况：（1）未完成发票（票据）登记发送到财务。（2）完成发票（票据）登记发送到财务时间-接收到（票据）发票登记的时间&gt;60天。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9"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供应链域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合同待到货项目物资红灯条目数</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所属单位统计周期内工程项目签订的合同待到货且受控状态为红灯的总条目数量；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计财域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年度投资计划完成率【固定资产投资完成率】</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指当年年度投资计划完成率，年度投资计划完成率=年度投资计划完成金额/年度投资金额*100%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8"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研发投入金额（研发（R&amp;D）经费投入)</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统计期内研发投入金额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0" w:hRule="atLeast"/>
        </w:trPr>
        <w:tc>
          <w:tcPr>
            <w:tcW w:w="85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6"/>
              </w:numPr>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87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创新域</w:t>
            </w:r>
          </w:p>
        </w:tc>
        <w:tc>
          <w:tcPr>
            <w:tcW w:w="16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研发经费投入强度（统计系统_研发经费投入强度）</w:t>
            </w:r>
          </w:p>
        </w:tc>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本年科技研发投入（即科技支出合计数）占财务决算报表营业收入的比重</w:t>
            </w:r>
          </w:p>
        </w:tc>
      </w:tr>
    </w:tbl>
    <w:p>
      <w:pPr>
        <w:pStyle w:val="3"/>
        <w:keepNext/>
        <w:keepLines/>
        <w:pageBreakBefore w:val="0"/>
        <w:widowControl w:val="0"/>
        <w:numPr>
          <w:ilvl w:val="0"/>
          <w:numId w:val="0"/>
        </w:numPr>
        <w:kinsoku/>
        <w:wordWrap/>
        <w:overflowPunct/>
        <w:topLinePunct w:val="0"/>
        <w:autoSpaceDE/>
        <w:autoSpaceDN/>
        <w:bidi w:val="0"/>
        <w:adjustRightInd/>
        <w:snapToGrid/>
        <w:spacing w:before="138" w:line="240" w:lineRule="auto"/>
        <w:ind w:leftChars="0" w:right="0" w:rightChars="0"/>
        <w:jc w:val="left"/>
        <w:textAlignment w:val="auto"/>
        <w:outlineLvl w:val="0"/>
        <w:rPr>
          <w:rFonts w:hint="eastAsia" w:ascii="仿宋_GB2312" w:hAnsi="仿宋_GB2312" w:eastAsia="仿宋_GB2312" w:cs="仿宋_GB2312"/>
          <w:b/>
          <w:bCs/>
          <w:sz w:val="28"/>
          <w:szCs w:val="28"/>
          <w:highlight w:val="none"/>
        </w:rPr>
      </w:pPr>
      <w:bookmarkStart w:id="44" w:name="_Toc28851"/>
      <w:bookmarkStart w:id="45" w:name="_Toc17906"/>
      <w:bookmarkStart w:id="46" w:name="_Toc20733"/>
      <w:r>
        <w:rPr>
          <w:rFonts w:hint="eastAsia" w:ascii="宋体" w:hAnsi="宋体" w:eastAsia="宋体" w:cs="宋体"/>
          <w:sz w:val="44"/>
          <w:szCs w:val="44"/>
          <w:highlight w:val="none"/>
        </w:rPr>
        <w:t xml:space="preserve">5 </w:t>
      </w:r>
      <w:bookmarkStart w:id="47" w:name="5项目实施保证"/>
      <w:bookmarkEnd w:id="47"/>
      <w:r>
        <w:rPr>
          <w:rFonts w:hint="eastAsia" w:ascii="宋体" w:hAnsi="宋体" w:eastAsia="宋体" w:cs="宋体"/>
          <w:sz w:val="44"/>
          <w:szCs w:val="44"/>
          <w:highlight w:val="none"/>
        </w:rPr>
        <w:t>项目实施保证</w:t>
      </w:r>
      <w:bookmarkEnd w:id="44"/>
      <w:bookmarkEnd w:id="45"/>
      <w:bookmarkEnd w:id="46"/>
    </w:p>
    <w:p>
      <w:pPr>
        <w:pStyle w:val="4"/>
        <w:spacing w:line="240" w:lineRule="auto"/>
        <w:ind w:left="0" w:leftChars="0" w:right="0" w:firstLine="0" w:firstLineChars="0"/>
        <w:jc w:val="left"/>
        <w:outlineLvl w:val="1"/>
        <w:rPr>
          <w:rFonts w:hint="eastAsia" w:ascii="宋体" w:hAnsi="宋体" w:eastAsia="宋体" w:cs="宋体"/>
          <w:b/>
          <w:bCs/>
          <w:spacing w:val="1"/>
          <w:highlight w:val="none"/>
        </w:rPr>
      </w:pPr>
      <w:bookmarkStart w:id="48" w:name="_Toc20710"/>
      <w:bookmarkStart w:id="49" w:name="_Toc5810"/>
      <w:bookmarkStart w:id="50" w:name="_Toc8539"/>
      <w:r>
        <w:rPr>
          <w:rFonts w:hint="eastAsia" w:ascii="宋体" w:hAnsi="宋体" w:eastAsia="宋体" w:cs="宋体"/>
          <w:b/>
          <w:bCs/>
          <w:spacing w:val="1"/>
          <w:highlight w:val="none"/>
        </w:rPr>
        <w:t xml:space="preserve">5.1 </w:t>
      </w:r>
      <w:bookmarkStart w:id="51" w:name="5.1组织保证"/>
      <w:bookmarkEnd w:id="51"/>
      <w:r>
        <w:rPr>
          <w:rFonts w:hint="eastAsia" w:ascii="宋体" w:hAnsi="宋体" w:eastAsia="宋体" w:cs="宋体"/>
          <w:b/>
          <w:bCs/>
          <w:spacing w:val="1"/>
          <w:highlight w:val="none"/>
        </w:rPr>
        <w:t>组织保证</w:t>
      </w:r>
      <w:bookmarkEnd w:id="48"/>
      <w:bookmarkEnd w:id="49"/>
      <w:bookmarkEnd w:id="50"/>
    </w:p>
    <w:p>
      <w:pPr>
        <w:spacing w:before="5" w:line="240" w:lineRule="auto"/>
        <w:rPr>
          <w:rFonts w:hint="eastAsia" w:ascii="仿宋_GB2312" w:hAnsi="仿宋_GB2312" w:eastAsia="仿宋_GB2312" w:cs="仿宋_GB2312"/>
          <w:b/>
          <w:bCs/>
          <w:sz w:val="24"/>
          <w:szCs w:val="24"/>
          <w:highlight w:val="none"/>
        </w:rPr>
      </w:pPr>
    </w:p>
    <w:p>
      <w:pPr>
        <w:pStyle w:val="11"/>
        <w:spacing w:before="48" w:line="419" w:lineRule="auto"/>
        <w:ind w:left="900" w:right="119" w:hanging="36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lang w:val="en-US" w:eastAsia="zh-CN"/>
        </w:rPr>
        <w:t>1）</w:t>
      </w:r>
      <w:r>
        <w:rPr>
          <w:rFonts w:hint="eastAsia" w:asciiTheme="minorEastAsia" w:hAnsiTheme="minorEastAsia" w:eastAsiaTheme="minorEastAsia" w:cstheme="minorEastAsia"/>
          <w:spacing w:val="-1"/>
          <w:sz w:val="24"/>
          <w:szCs w:val="24"/>
          <w:highlight w:val="none"/>
          <w:lang w:eastAsia="zh-CN"/>
        </w:rPr>
        <w:t>采购人</w:t>
      </w:r>
      <w:r>
        <w:rPr>
          <w:rFonts w:hint="eastAsia" w:asciiTheme="minorEastAsia" w:hAnsiTheme="minorEastAsia" w:eastAsiaTheme="minorEastAsia" w:cstheme="minorEastAsia"/>
          <w:spacing w:val="-1"/>
          <w:sz w:val="24"/>
          <w:szCs w:val="24"/>
          <w:highlight w:val="none"/>
        </w:rPr>
        <w:t>具有对</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所提供的</w:t>
      </w:r>
      <w:r>
        <w:rPr>
          <w:rFonts w:hint="eastAsia" w:asciiTheme="minorEastAsia" w:hAnsiTheme="minorEastAsia" w:eastAsiaTheme="minorEastAsia" w:cstheme="minorEastAsia"/>
          <w:spacing w:val="-1"/>
          <w:sz w:val="24"/>
          <w:szCs w:val="24"/>
          <w:highlight w:val="none"/>
          <w:lang w:val="en-US" w:eastAsia="zh-CN"/>
        </w:rPr>
        <w:t>项目服务质量</w:t>
      </w:r>
      <w:r>
        <w:rPr>
          <w:rFonts w:hint="eastAsia" w:asciiTheme="minorEastAsia" w:hAnsiTheme="minorEastAsia" w:eastAsiaTheme="minorEastAsia" w:cstheme="minorEastAsia"/>
          <w:spacing w:val="-1"/>
          <w:sz w:val="24"/>
          <w:szCs w:val="24"/>
          <w:highlight w:val="none"/>
        </w:rPr>
        <w:t>进行考核的权力。</w:t>
      </w:r>
    </w:p>
    <w:p>
      <w:pPr>
        <w:pStyle w:val="11"/>
        <w:spacing w:before="48" w:line="419" w:lineRule="auto"/>
        <w:ind w:left="900" w:right="119" w:hanging="36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2） </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须指派项目经理一人。</w:t>
      </w:r>
      <w:r>
        <w:rPr>
          <w:rFonts w:hint="eastAsia" w:asciiTheme="minorEastAsia" w:hAnsiTheme="minorEastAsia" w:eastAsiaTheme="minorEastAsia" w:cstheme="minorEastAsia"/>
          <w:spacing w:val="-1"/>
          <w:sz w:val="24"/>
          <w:szCs w:val="24"/>
          <w:highlight w:val="none"/>
          <w:lang w:eastAsia="zh-CN"/>
        </w:rPr>
        <w:t>供应商</w:t>
      </w:r>
      <w:r>
        <w:rPr>
          <w:rFonts w:hint="eastAsia" w:asciiTheme="minorEastAsia" w:hAnsiTheme="minorEastAsia" w:eastAsiaTheme="minorEastAsia" w:cstheme="minorEastAsia"/>
          <w:spacing w:val="-1"/>
          <w:sz w:val="24"/>
          <w:szCs w:val="24"/>
          <w:highlight w:val="none"/>
        </w:rPr>
        <w:t>须指派项目经理一人，负责项目管理、协调和 沟通等工作。</w:t>
      </w:r>
      <w:r>
        <w:rPr>
          <w:rFonts w:hint="eastAsia" w:asciiTheme="minorEastAsia" w:hAnsiTheme="minorEastAsia" w:eastAsiaTheme="minorEastAsia" w:cstheme="minorEastAsia"/>
          <w:spacing w:val="-1"/>
          <w:sz w:val="24"/>
          <w:szCs w:val="24"/>
          <w:highlight w:val="none"/>
          <w:lang w:eastAsia="zh-CN"/>
        </w:rPr>
        <w:t>供应商</w:t>
      </w:r>
      <w:r>
        <w:rPr>
          <w:rFonts w:hint="eastAsia" w:asciiTheme="minorEastAsia" w:hAnsiTheme="minorEastAsia" w:eastAsiaTheme="minorEastAsia" w:cstheme="minorEastAsia"/>
          <w:spacing w:val="-1"/>
          <w:sz w:val="24"/>
          <w:szCs w:val="24"/>
          <w:highlight w:val="none"/>
        </w:rPr>
        <w:t>须提供详细的人员资质及经验情况说明。</w:t>
      </w:r>
    </w:p>
    <w:p>
      <w:pPr>
        <w:pStyle w:val="11"/>
        <w:spacing w:before="48" w:line="419" w:lineRule="auto"/>
        <w:ind w:left="900" w:right="119" w:hanging="36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3） </w:t>
      </w:r>
      <w:r>
        <w:rPr>
          <w:rFonts w:hint="eastAsia" w:asciiTheme="minorEastAsia" w:hAnsiTheme="minorEastAsia" w:eastAsiaTheme="minorEastAsia" w:cstheme="minorEastAsia"/>
          <w:spacing w:val="-1"/>
          <w:sz w:val="24"/>
          <w:szCs w:val="24"/>
          <w:highlight w:val="none"/>
          <w:lang w:eastAsia="zh-CN"/>
        </w:rPr>
        <w:t>供应商</w:t>
      </w:r>
      <w:r>
        <w:rPr>
          <w:rFonts w:hint="eastAsia" w:asciiTheme="minorEastAsia" w:hAnsiTheme="minorEastAsia" w:eastAsiaTheme="minorEastAsia" w:cstheme="minorEastAsia"/>
          <w:spacing w:val="-1"/>
          <w:sz w:val="24"/>
          <w:szCs w:val="24"/>
          <w:highlight w:val="none"/>
        </w:rPr>
        <w:t>应标时，必须向</w:t>
      </w:r>
      <w:r>
        <w:rPr>
          <w:rFonts w:hint="eastAsia" w:asciiTheme="minorEastAsia" w:hAnsiTheme="minorEastAsia" w:eastAsiaTheme="minorEastAsia" w:cstheme="minorEastAsia"/>
          <w:spacing w:val="-1"/>
          <w:sz w:val="24"/>
          <w:szCs w:val="24"/>
          <w:highlight w:val="none"/>
          <w:lang w:eastAsia="zh-CN"/>
        </w:rPr>
        <w:t>采购人</w:t>
      </w:r>
      <w:r>
        <w:rPr>
          <w:rFonts w:hint="eastAsia" w:asciiTheme="minorEastAsia" w:hAnsiTheme="minorEastAsia" w:eastAsiaTheme="minorEastAsia" w:cstheme="minorEastAsia"/>
          <w:spacing w:val="-1"/>
          <w:sz w:val="24"/>
          <w:szCs w:val="24"/>
          <w:highlight w:val="none"/>
        </w:rPr>
        <w:t>提供拟派参加本项目的人员名单（包括候补人员）以及参加人员的资料。</w:t>
      </w:r>
    </w:p>
    <w:p>
      <w:pPr>
        <w:pStyle w:val="11"/>
        <w:spacing w:before="48" w:line="419" w:lineRule="auto"/>
        <w:ind w:left="900" w:right="119" w:hanging="36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pacing w:val="-89"/>
          <w:sz w:val="24"/>
          <w:szCs w:val="24"/>
          <w:highlight w:val="none"/>
        </w:rPr>
        <w:t xml:space="preserve"> </w:t>
      </w:r>
      <w:r>
        <w:rPr>
          <w:rFonts w:hint="eastAsia" w:asciiTheme="minorEastAsia" w:hAnsiTheme="minorEastAsia" w:eastAsiaTheme="minorEastAsia" w:cstheme="minorEastAsia"/>
          <w:spacing w:val="-1"/>
          <w:sz w:val="24"/>
          <w:szCs w:val="24"/>
          <w:highlight w:val="none"/>
          <w:lang w:eastAsia="zh-CN"/>
        </w:rPr>
        <w:t>供应商</w:t>
      </w:r>
      <w:r>
        <w:rPr>
          <w:rFonts w:hint="eastAsia" w:asciiTheme="minorEastAsia" w:hAnsiTheme="minorEastAsia" w:eastAsiaTheme="minorEastAsia" w:cstheme="minorEastAsia"/>
          <w:spacing w:val="-1"/>
          <w:sz w:val="24"/>
          <w:szCs w:val="24"/>
          <w:highlight w:val="none"/>
        </w:rPr>
        <w:t>必须向</w:t>
      </w:r>
      <w:r>
        <w:rPr>
          <w:rFonts w:hint="eastAsia" w:asciiTheme="minorEastAsia" w:hAnsiTheme="minorEastAsia" w:eastAsiaTheme="minorEastAsia" w:cstheme="minorEastAsia"/>
          <w:spacing w:val="-1"/>
          <w:sz w:val="24"/>
          <w:szCs w:val="24"/>
          <w:highlight w:val="none"/>
          <w:lang w:eastAsia="zh-CN"/>
        </w:rPr>
        <w:t>采购人</w:t>
      </w:r>
      <w:r>
        <w:rPr>
          <w:rFonts w:hint="eastAsia" w:asciiTheme="minorEastAsia" w:hAnsiTheme="minorEastAsia" w:eastAsiaTheme="minorEastAsia" w:cstheme="minorEastAsia"/>
          <w:spacing w:val="-1"/>
          <w:sz w:val="24"/>
          <w:szCs w:val="24"/>
          <w:highlight w:val="none"/>
        </w:rPr>
        <w:t>保证项目人员组织的稳定性，在本项目结束前，参加本项</w:t>
      </w:r>
      <w:r>
        <w:rPr>
          <w:rFonts w:hint="eastAsia" w:asciiTheme="minorEastAsia" w:hAnsiTheme="minorEastAsia" w:eastAsiaTheme="minorEastAsia" w:cstheme="minorEastAsia"/>
          <w:sz w:val="24"/>
          <w:szCs w:val="24"/>
          <w:highlight w:val="none"/>
        </w:rPr>
        <w:t>目的人员变动必须取得</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同意，并立即安排拟订候补人员予以补充。</w:t>
      </w:r>
    </w:p>
    <w:p>
      <w:pPr>
        <w:pStyle w:val="11"/>
        <w:spacing w:before="48" w:line="419" w:lineRule="auto"/>
        <w:ind w:left="900" w:right="119" w:hanging="36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w w:val="95"/>
          <w:sz w:val="24"/>
          <w:szCs w:val="24"/>
          <w:highlight w:val="none"/>
        </w:rPr>
        <w:t>5）</w:t>
      </w:r>
      <w:r>
        <w:rPr>
          <w:rFonts w:hint="eastAsia" w:asciiTheme="minorEastAsia" w:hAnsiTheme="minorEastAsia" w:eastAsiaTheme="minorEastAsia" w:cstheme="minorEastAsia"/>
          <w:spacing w:val="0"/>
          <w:w w:val="100"/>
          <w:sz w:val="24"/>
          <w:szCs w:val="24"/>
          <w:highlight w:val="none"/>
          <w:lang w:eastAsia="zh-CN"/>
        </w:rPr>
        <w:t>采购人</w:t>
      </w:r>
      <w:r>
        <w:rPr>
          <w:rFonts w:hint="eastAsia" w:asciiTheme="minorEastAsia" w:hAnsiTheme="minorEastAsia" w:eastAsiaTheme="minorEastAsia" w:cstheme="minorEastAsia"/>
          <w:spacing w:val="0"/>
          <w:w w:val="100"/>
          <w:sz w:val="24"/>
          <w:szCs w:val="24"/>
          <w:highlight w:val="none"/>
        </w:rPr>
        <w:t>有对</w:t>
      </w:r>
      <w:r>
        <w:rPr>
          <w:rFonts w:hint="eastAsia" w:asciiTheme="minorEastAsia" w:hAnsiTheme="minorEastAsia" w:eastAsiaTheme="minorEastAsia" w:cstheme="minorEastAsia"/>
          <w:spacing w:val="0"/>
          <w:w w:val="100"/>
          <w:sz w:val="24"/>
          <w:szCs w:val="24"/>
          <w:highlight w:val="none"/>
          <w:lang w:eastAsia="zh-CN"/>
        </w:rPr>
        <w:t>成交方</w:t>
      </w:r>
      <w:r>
        <w:rPr>
          <w:rFonts w:hint="eastAsia" w:asciiTheme="minorEastAsia" w:hAnsiTheme="minorEastAsia" w:eastAsiaTheme="minorEastAsia" w:cstheme="minorEastAsia"/>
          <w:spacing w:val="0"/>
          <w:w w:val="100"/>
          <w:sz w:val="24"/>
          <w:szCs w:val="24"/>
          <w:highlight w:val="none"/>
        </w:rPr>
        <w:t>参与项目人员进行能力测试的权力。对于不满足</w:t>
      </w:r>
      <w:r>
        <w:rPr>
          <w:rFonts w:hint="eastAsia" w:asciiTheme="minorEastAsia" w:hAnsiTheme="minorEastAsia" w:eastAsiaTheme="minorEastAsia" w:cstheme="minorEastAsia"/>
          <w:spacing w:val="0"/>
          <w:w w:val="100"/>
          <w:sz w:val="24"/>
          <w:szCs w:val="24"/>
          <w:highlight w:val="none"/>
          <w:lang w:eastAsia="zh-CN"/>
        </w:rPr>
        <w:t>采购人</w:t>
      </w:r>
      <w:r>
        <w:rPr>
          <w:rFonts w:hint="eastAsia" w:asciiTheme="minorEastAsia" w:hAnsiTheme="minorEastAsia" w:eastAsiaTheme="minorEastAsia" w:cstheme="minorEastAsia"/>
          <w:spacing w:val="0"/>
          <w:w w:val="100"/>
          <w:sz w:val="24"/>
          <w:szCs w:val="24"/>
          <w:highlight w:val="none"/>
        </w:rPr>
        <w:t>要求的</w:t>
      </w:r>
      <w:r>
        <w:rPr>
          <w:rFonts w:hint="eastAsia" w:asciiTheme="minorEastAsia" w:hAnsiTheme="minorEastAsia" w:eastAsiaTheme="minorEastAsia" w:cstheme="minorEastAsia"/>
          <w:w w:val="100"/>
          <w:sz w:val="24"/>
          <w:szCs w:val="24"/>
          <w:highlight w:val="none"/>
        </w:rPr>
        <w:t>人</w:t>
      </w:r>
      <w:r>
        <w:rPr>
          <w:rFonts w:hint="eastAsia" w:asciiTheme="minorEastAsia" w:hAnsiTheme="minorEastAsia" w:eastAsiaTheme="minorEastAsia" w:cstheme="minorEastAsia"/>
          <w:sz w:val="24"/>
          <w:szCs w:val="24"/>
          <w:highlight w:val="none"/>
        </w:rPr>
        <w:t>员，</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有权要求</w:t>
      </w:r>
      <w:r>
        <w:rPr>
          <w:rFonts w:hint="eastAsia" w:asciiTheme="minorEastAsia" w:hAnsiTheme="minorEastAsia" w:eastAsiaTheme="minorEastAsia" w:cstheme="minorEastAsia"/>
          <w:sz w:val="24"/>
          <w:szCs w:val="24"/>
          <w:highlight w:val="none"/>
          <w:lang w:eastAsia="zh-CN"/>
        </w:rPr>
        <w:t>成交方</w:t>
      </w:r>
      <w:r>
        <w:rPr>
          <w:rFonts w:hint="eastAsia" w:asciiTheme="minorEastAsia" w:hAnsiTheme="minorEastAsia" w:eastAsiaTheme="minorEastAsia" w:cstheme="minorEastAsia"/>
          <w:sz w:val="24"/>
          <w:szCs w:val="24"/>
          <w:highlight w:val="none"/>
        </w:rPr>
        <w:t>无条件更换，且不能影响项目进度。</w:t>
      </w:r>
    </w:p>
    <w:p>
      <w:pPr>
        <w:pStyle w:val="4"/>
        <w:spacing w:line="240" w:lineRule="auto"/>
        <w:ind w:left="0" w:leftChars="0" w:right="0" w:firstLine="0" w:firstLineChars="0"/>
        <w:jc w:val="left"/>
        <w:outlineLvl w:val="1"/>
        <w:rPr>
          <w:rFonts w:hint="eastAsia" w:ascii="宋体" w:hAnsi="宋体" w:eastAsia="宋体" w:cs="宋体"/>
          <w:b/>
          <w:bCs/>
          <w:spacing w:val="1"/>
          <w:highlight w:val="none"/>
        </w:rPr>
      </w:pPr>
      <w:bookmarkStart w:id="52" w:name="_Toc19181"/>
      <w:bookmarkStart w:id="53" w:name="_Toc6576"/>
      <w:bookmarkStart w:id="54" w:name="_Toc9123"/>
      <w:r>
        <w:rPr>
          <w:rFonts w:hint="eastAsia" w:ascii="宋体" w:hAnsi="宋体" w:eastAsia="宋体" w:cs="宋体"/>
          <w:b/>
          <w:bCs/>
          <w:spacing w:val="1"/>
          <w:highlight w:val="none"/>
        </w:rPr>
        <w:t xml:space="preserve">5.2 </w:t>
      </w:r>
      <w:bookmarkStart w:id="55" w:name="5.2质量保证"/>
      <w:bookmarkEnd w:id="55"/>
      <w:r>
        <w:rPr>
          <w:rFonts w:hint="eastAsia" w:ascii="宋体" w:hAnsi="宋体" w:eastAsia="宋体" w:cs="宋体"/>
          <w:b/>
          <w:bCs/>
          <w:spacing w:val="1"/>
          <w:highlight w:val="none"/>
        </w:rPr>
        <w:t>质量保证</w:t>
      </w:r>
      <w:bookmarkEnd w:id="52"/>
      <w:bookmarkEnd w:id="53"/>
      <w:bookmarkEnd w:id="54"/>
    </w:p>
    <w:p>
      <w:pPr>
        <w:spacing w:before="8" w:line="240" w:lineRule="auto"/>
        <w:rPr>
          <w:rFonts w:hint="eastAsia" w:ascii="仿宋_GB2312" w:hAnsi="仿宋_GB2312" w:eastAsia="仿宋_GB2312" w:cs="仿宋_GB2312"/>
          <w:b/>
          <w:bCs/>
          <w:sz w:val="24"/>
          <w:szCs w:val="24"/>
          <w:highlight w:val="none"/>
        </w:rPr>
      </w:pPr>
    </w:p>
    <w:p>
      <w:pPr>
        <w:pStyle w:val="11"/>
        <w:spacing w:before="48" w:line="419" w:lineRule="auto"/>
        <w:ind w:left="900" w:right="119" w:hanging="36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1） </w:t>
      </w:r>
      <w:r>
        <w:rPr>
          <w:rFonts w:hint="eastAsia" w:asciiTheme="minorEastAsia" w:hAnsiTheme="minorEastAsia" w:eastAsiaTheme="minorEastAsia" w:cstheme="minorEastAsia"/>
          <w:spacing w:val="-1"/>
          <w:sz w:val="24"/>
          <w:szCs w:val="24"/>
          <w:highlight w:val="none"/>
          <w:lang w:eastAsia="zh-CN"/>
        </w:rPr>
        <w:t>供应商</w:t>
      </w:r>
      <w:r>
        <w:rPr>
          <w:rFonts w:hint="eastAsia" w:asciiTheme="minorEastAsia" w:hAnsiTheme="minorEastAsia" w:eastAsiaTheme="minorEastAsia" w:cstheme="minorEastAsia"/>
          <w:spacing w:val="-1"/>
          <w:sz w:val="24"/>
          <w:szCs w:val="24"/>
          <w:highlight w:val="none"/>
        </w:rPr>
        <w:t>应保证所提供服务的功能、性能、质量均能满足本技术规范书的技术、质量等要求。</w:t>
      </w:r>
    </w:p>
    <w:p>
      <w:pPr>
        <w:pStyle w:val="11"/>
        <w:spacing w:before="48" w:line="419" w:lineRule="auto"/>
        <w:ind w:left="900" w:right="119" w:hanging="36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2）</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须协助</w:t>
      </w:r>
      <w:r>
        <w:rPr>
          <w:rFonts w:hint="eastAsia" w:asciiTheme="minorEastAsia" w:hAnsiTheme="minorEastAsia" w:eastAsiaTheme="minorEastAsia" w:cstheme="minorEastAsia"/>
          <w:spacing w:val="-1"/>
          <w:sz w:val="24"/>
          <w:szCs w:val="24"/>
          <w:highlight w:val="none"/>
          <w:lang w:eastAsia="zh-CN"/>
        </w:rPr>
        <w:t>采购人</w:t>
      </w:r>
      <w:r>
        <w:rPr>
          <w:rFonts w:hint="eastAsia" w:asciiTheme="minorEastAsia" w:hAnsiTheme="minorEastAsia" w:eastAsiaTheme="minorEastAsia" w:cstheme="minorEastAsia"/>
          <w:spacing w:val="-1"/>
          <w:sz w:val="24"/>
          <w:szCs w:val="24"/>
          <w:highlight w:val="none"/>
        </w:rPr>
        <w:t>建立独立于项目设计与实施的质量保证机制，建立和完善全面的项目质量管理体系，</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应遵循相应的质量保证机制及质量管理体系。</w:t>
      </w:r>
    </w:p>
    <w:p>
      <w:pPr>
        <w:pStyle w:val="11"/>
        <w:spacing w:before="48" w:line="419" w:lineRule="auto"/>
        <w:ind w:left="900" w:right="119" w:hanging="36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3）为保证项目的正常运行，要求</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遵循</w:t>
      </w:r>
      <w:r>
        <w:rPr>
          <w:rFonts w:hint="eastAsia" w:asciiTheme="minorEastAsia" w:hAnsiTheme="minorEastAsia" w:eastAsiaTheme="minorEastAsia" w:cstheme="minorEastAsia"/>
          <w:spacing w:val="-1"/>
          <w:sz w:val="24"/>
          <w:szCs w:val="24"/>
          <w:highlight w:val="none"/>
          <w:lang w:eastAsia="zh-CN"/>
        </w:rPr>
        <w:t>采购人</w:t>
      </w:r>
      <w:r>
        <w:rPr>
          <w:rFonts w:hint="eastAsia" w:asciiTheme="minorEastAsia" w:hAnsiTheme="minorEastAsia" w:eastAsiaTheme="minorEastAsia" w:cstheme="minorEastAsia"/>
          <w:spacing w:val="-1"/>
          <w:sz w:val="24"/>
          <w:szCs w:val="24"/>
          <w:highlight w:val="none"/>
        </w:rPr>
        <w:t>要求的项目执行跟踪和监控的具体措施，措施包括但不限于周报制度、例会制度、作业计划上报制度、阶段总结制度等。</w:t>
      </w:r>
    </w:p>
    <w:p>
      <w:pPr>
        <w:pStyle w:val="11"/>
        <w:spacing w:before="48" w:line="419" w:lineRule="auto"/>
        <w:ind w:left="900" w:right="119" w:hanging="36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lang w:val="en-US" w:eastAsia="zh-CN"/>
        </w:rPr>
        <w:t>4</w:t>
      </w:r>
      <w:r>
        <w:rPr>
          <w:rFonts w:hint="eastAsia" w:asciiTheme="minorEastAsia" w:hAnsiTheme="minorEastAsia" w:eastAsiaTheme="minorEastAsia" w:cstheme="minorEastAsia"/>
          <w:spacing w:val="-1"/>
          <w:sz w:val="24"/>
          <w:szCs w:val="24"/>
          <w:highlight w:val="none"/>
        </w:rPr>
        <w:t>）若由于</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自身原因导致项目进度滞后于项目里程碑计划，</w:t>
      </w:r>
      <w:r>
        <w:rPr>
          <w:rFonts w:hint="eastAsia" w:asciiTheme="minorEastAsia" w:hAnsiTheme="minorEastAsia" w:eastAsiaTheme="minorEastAsia" w:cstheme="minorEastAsia"/>
          <w:spacing w:val="-1"/>
          <w:sz w:val="24"/>
          <w:szCs w:val="24"/>
          <w:highlight w:val="none"/>
          <w:lang w:eastAsia="zh-CN"/>
        </w:rPr>
        <w:t>采购人</w:t>
      </w:r>
      <w:r>
        <w:rPr>
          <w:rFonts w:hint="eastAsia" w:asciiTheme="minorEastAsia" w:hAnsiTheme="minorEastAsia" w:eastAsiaTheme="minorEastAsia" w:cstheme="minorEastAsia"/>
          <w:spacing w:val="-1"/>
          <w:sz w:val="24"/>
          <w:szCs w:val="24"/>
          <w:highlight w:val="none"/>
        </w:rPr>
        <w:t>可根据合同要求追究</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责任。</w:t>
      </w:r>
    </w:p>
    <w:p>
      <w:pPr>
        <w:pStyle w:val="4"/>
        <w:spacing w:line="240" w:lineRule="auto"/>
        <w:ind w:left="0" w:leftChars="0" w:right="0" w:firstLine="0" w:firstLineChars="0"/>
        <w:jc w:val="left"/>
        <w:outlineLvl w:val="1"/>
        <w:rPr>
          <w:rFonts w:hint="eastAsia" w:ascii="宋体" w:hAnsi="宋体" w:eastAsia="宋体" w:cs="宋体"/>
          <w:b/>
          <w:bCs/>
          <w:spacing w:val="1"/>
          <w:highlight w:val="none"/>
        </w:rPr>
      </w:pPr>
      <w:bookmarkStart w:id="56" w:name="_Toc22100"/>
      <w:bookmarkStart w:id="57" w:name="_Toc7667"/>
      <w:bookmarkStart w:id="58" w:name="_Toc29862"/>
      <w:r>
        <w:rPr>
          <w:rFonts w:hint="eastAsia" w:ascii="宋体" w:hAnsi="宋体" w:eastAsia="宋体" w:cs="宋体"/>
          <w:b/>
          <w:bCs/>
          <w:spacing w:val="1"/>
          <w:highlight w:val="none"/>
        </w:rPr>
        <w:t xml:space="preserve">5.3 </w:t>
      </w:r>
      <w:bookmarkStart w:id="59" w:name="5.3项目管理"/>
      <w:bookmarkEnd w:id="59"/>
      <w:r>
        <w:rPr>
          <w:rFonts w:hint="eastAsia" w:ascii="宋体" w:hAnsi="宋体" w:eastAsia="宋体" w:cs="宋体"/>
          <w:b/>
          <w:bCs/>
          <w:spacing w:val="1"/>
          <w:highlight w:val="none"/>
        </w:rPr>
        <w:t>项目管理</w:t>
      </w:r>
      <w:bookmarkEnd w:id="56"/>
      <w:bookmarkEnd w:id="57"/>
      <w:bookmarkEnd w:id="58"/>
    </w:p>
    <w:p>
      <w:pPr>
        <w:pStyle w:val="5"/>
        <w:tabs>
          <w:tab w:val="left" w:pos="1799"/>
        </w:tabs>
        <w:spacing w:line="240" w:lineRule="auto"/>
        <w:ind w:left="0" w:leftChars="0" w:right="0" w:firstLine="305" w:firstLineChars="100"/>
        <w:jc w:val="left"/>
        <w:outlineLvl w:val="2"/>
        <w:rPr>
          <w:rFonts w:hint="eastAsia" w:ascii="仿宋_GB2312" w:hAnsi="仿宋_GB2312" w:eastAsia="仿宋_GB2312" w:cs="仿宋_GB2312"/>
          <w:b/>
          <w:bCs/>
          <w:sz w:val="37"/>
          <w:szCs w:val="37"/>
          <w:highlight w:val="none"/>
        </w:rPr>
      </w:pPr>
      <w:bookmarkStart w:id="60" w:name="_Toc8078"/>
      <w:r>
        <w:rPr>
          <w:rFonts w:hint="eastAsia" w:ascii="仿宋_GB2312" w:hAnsi="仿宋_GB2312" w:eastAsia="仿宋_GB2312" w:cs="仿宋_GB2312"/>
          <w:w w:val="95"/>
          <w:highlight w:val="none"/>
        </w:rPr>
        <w:t>5.3.1</w:t>
      </w:r>
      <w:bookmarkStart w:id="61" w:name="5.3.1有关项目实施的要求"/>
      <w:bookmarkEnd w:id="61"/>
      <w:r>
        <w:rPr>
          <w:rFonts w:hint="eastAsia" w:ascii="仿宋_GB2312" w:hAnsi="仿宋_GB2312" w:eastAsia="仿宋_GB2312" w:cs="仿宋_GB2312"/>
          <w:w w:val="95"/>
          <w:highlight w:val="none"/>
          <w:lang w:val="en-US" w:eastAsia="zh-CN"/>
        </w:rPr>
        <w:t xml:space="preserve"> </w:t>
      </w:r>
      <w:r>
        <w:rPr>
          <w:rFonts w:hint="eastAsia" w:ascii="仿宋_GB2312" w:hAnsi="仿宋_GB2312" w:eastAsia="仿宋_GB2312" w:cs="仿宋_GB2312"/>
          <w:spacing w:val="-1"/>
          <w:highlight w:val="none"/>
        </w:rPr>
        <w:t>有关项目实施的要求</w:t>
      </w:r>
      <w:bookmarkEnd w:id="60"/>
    </w:p>
    <w:p>
      <w:pPr>
        <w:pStyle w:val="11"/>
        <w:spacing w:before="5" w:line="408" w:lineRule="auto"/>
        <w:ind w:left="0" w:leftChars="0" w:right="119" w:firstLine="476" w:firstLineChars="200"/>
        <w:jc w:val="both"/>
        <w:rPr>
          <w:rFonts w:hint="eastAsia" w:ascii="仿宋_GB2312" w:hAnsi="仿宋_GB2312" w:eastAsia="仿宋_GB2312" w:cs="仿宋_GB2312"/>
          <w:spacing w:val="1"/>
          <w:w w:val="95"/>
          <w:sz w:val="28"/>
          <w:szCs w:val="28"/>
          <w:highlight w:val="none"/>
          <w:lang w:eastAsia="zh-CN"/>
        </w:rPr>
      </w:pP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需根据本技术规范书的要求，结合自身信息安全服务的实践和项目经验，认真实施此次的项目。</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应从项目的角度提出建设过程的安排，同时根据本项目</w:t>
      </w:r>
      <w:r>
        <w:rPr>
          <w:rFonts w:hint="eastAsia" w:asciiTheme="minorEastAsia" w:hAnsiTheme="minorEastAsia" w:eastAsiaTheme="minorEastAsia" w:cstheme="minorEastAsia"/>
          <w:spacing w:val="-1"/>
          <w:sz w:val="24"/>
          <w:szCs w:val="24"/>
          <w:highlight w:val="none"/>
          <w:lang w:eastAsia="zh-CN"/>
        </w:rPr>
        <w:t>的</w:t>
      </w:r>
      <w:r>
        <w:rPr>
          <w:rFonts w:hint="eastAsia" w:asciiTheme="minorEastAsia" w:hAnsiTheme="minorEastAsia" w:eastAsiaTheme="minorEastAsia" w:cstheme="minorEastAsia"/>
          <w:spacing w:val="-1"/>
          <w:sz w:val="24"/>
          <w:szCs w:val="24"/>
          <w:highlight w:val="none"/>
        </w:rPr>
        <w:t>特点，对拟投入本项目的人员情况进行说明，同时需详细说明此项目组成员以往参与过的项目以及在本项目中所承担的职责和所具有的优势，从人员方面确保项目的正常进行。</w:t>
      </w:r>
    </w:p>
    <w:p>
      <w:pPr>
        <w:pStyle w:val="5"/>
        <w:tabs>
          <w:tab w:val="left" w:pos="1799"/>
        </w:tabs>
        <w:spacing w:line="240" w:lineRule="auto"/>
        <w:ind w:left="0" w:leftChars="0" w:right="0" w:firstLine="321" w:firstLineChars="105"/>
        <w:jc w:val="left"/>
        <w:outlineLvl w:val="2"/>
        <w:rPr>
          <w:rFonts w:hint="eastAsia" w:ascii="仿宋_GB2312" w:hAnsi="仿宋_GB2312" w:eastAsia="仿宋_GB2312" w:cs="仿宋_GB2312"/>
          <w:b/>
          <w:bCs/>
          <w:sz w:val="37"/>
          <w:szCs w:val="37"/>
          <w:highlight w:val="none"/>
        </w:rPr>
      </w:pPr>
      <w:bookmarkStart w:id="62" w:name="_Toc14813"/>
      <w:r>
        <w:rPr>
          <w:rFonts w:hint="eastAsia" w:ascii="仿宋_GB2312" w:hAnsi="仿宋_GB2312" w:eastAsia="仿宋_GB2312" w:cs="仿宋_GB2312"/>
          <w:w w:val="95"/>
          <w:highlight w:val="none"/>
        </w:rPr>
        <w:t>5.3.2</w:t>
      </w:r>
      <w:bookmarkStart w:id="63" w:name="5.3.2技术联络会制度"/>
      <w:bookmarkEnd w:id="63"/>
      <w:r>
        <w:rPr>
          <w:rFonts w:hint="eastAsia" w:ascii="仿宋_GB2312" w:hAnsi="仿宋_GB2312" w:eastAsia="仿宋_GB2312" w:cs="仿宋_GB2312"/>
          <w:w w:val="95"/>
          <w:highlight w:val="none"/>
          <w:lang w:val="en-US" w:eastAsia="zh-CN"/>
        </w:rPr>
        <w:t xml:space="preserve"> </w:t>
      </w:r>
      <w:r>
        <w:rPr>
          <w:rFonts w:hint="eastAsia" w:ascii="仿宋_GB2312" w:hAnsi="仿宋_GB2312" w:eastAsia="仿宋_GB2312" w:cs="仿宋_GB2312"/>
          <w:spacing w:val="-1"/>
          <w:highlight w:val="none"/>
        </w:rPr>
        <w:t>技术联络会制度</w:t>
      </w:r>
      <w:bookmarkEnd w:id="62"/>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为了确保项目的顺利进行和完成，在项目建设过程中，</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应与</w:t>
      </w:r>
      <w:r>
        <w:rPr>
          <w:rFonts w:hint="eastAsia" w:asciiTheme="minorEastAsia" w:hAnsiTheme="minorEastAsia" w:eastAsiaTheme="minorEastAsia" w:cstheme="minorEastAsia"/>
          <w:spacing w:val="-1"/>
          <w:sz w:val="24"/>
          <w:szCs w:val="24"/>
          <w:highlight w:val="none"/>
          <w:lang w:eastAsia="zh-CN"/>
        </w:rPr>
        <w:t>采购人</w:t>
      </w:r>
      <w:r>
        <w:rPr>
          <w:rFonts w:hint="eastAsia" w:asciiTheme="minorEastAsia" w:hAnsiTheme="minorEastAsia" w:eastAsiaTheme="minorEastAsia" w:cstheme="minorEastAsia"/>
          <w:spacing w:val="-1"/>
          <w:sz w:val="24"/>
          <w:szCs w:val="24"/>
          <w:highlight w:val="none"/>
        </w:rPr>
        <w:t>建立必要的技术联络会制度。</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需组织召开必要的技术联络会，以便于</w:t>
      </w:r>
      <w:r>
        <w:rPr>
          <w:rFonts w:hint="eastAsia" w:asciiTheme="minorEastAsia" w:hAnsiTheme="minorEastAsia" w:eastAsiaTheme="minorEastAsia" w:cstheme="minorEastAsia"/>
          <w:spacing w:val="-1"/>
          <w:sz w:val="24"/>
          <w:szCs w:val="24"/>
          <w:highlight w:val="none"/>
          <w:lang w:eastAsia="zh-CN"/>
        </w:rPr>
        <w:t>采购人</w:t>
      </w:r>
      <w:r>
        <w:rPr>
          <w:rFonts w:hint="eastAsia" w:asciiTheme="minorEastAsia" w:hAnsiTheme="minorEastAsia" w:eastAsiaTheme="minorEastAsia" w:cstheme="minorEastAsia"/>
          <w:spacing w:val="-1"/>
          <w:sz w:val="24"/>
          <w:szCs w:val="24"/>
          <w:highlight w:val="none"/>
        </w:rPr>
        <w:t>在工程的实施阶段密切配合</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，确保</w:t>
      </w:r>
      <w:r>
        <w:rPr>
          <w:rFonts w:hint="eastAsia" w:asciiTheme="minorEastAsia" w:hAnsiTheme="minorEastAsia" w:eastAsiaTheme="minorEastAsia" w:cstheme="minorEastAsia"/>
          <w:spacing w:val="-1"/>
          <w:sz w:val="24"/>
          <w:szCs w:val="24"/>
          <w:highlight w:val="none"/>
          <w:lang w:val="en-US" w:eastAsia="zh-CN"/>
        </w:rPr>
        <w:t>项目</w:t>
      </w:r>
      <w:r>
        <w:rPr>
          <w:rFonts w:hint="eastAsia" w:asciiTheme="minorEastAsia" w:hAnsiTheme="minorEastAsia" w:eastAsiaTheme="minorEastAsia" w:cstheme="minorEastAsia"/>
          <w:spacing w:val="-1"/>
          <w:sz w:val="24"/>
          <w:szCs w:val="24"/>
          <w:highlight w:val="none"/>
        </w:rPr>
        <w:t>进展顺利。</w:t>
      </w:r>
    </w:p>
    <w:p>
      <w:pPr>
        <w:pStyle w:val="11"/>
        <w:spacing w:line="408" w:lineRule="auto"/>
        <w:ind w:right="117" w:firstLine="420"/>
        <w:jc w:val="left"/>
        <w:rPr>
          <w:rFonts w:hint="eastAsia" w:ascii="仿宋_GB2312" w:hAnsi="仿宋_GB2312" w:eastAsia="仿宋_GB2312" w:cs="仿宋_GB2312"/>
          <w:spacing w:val="1"/>
          <w:w w:val="95"/>
          <w:sz w:val="28"/>
          <w:szCs w:val="28"/>
          <w:highlight w:val="none"/>
          <w:lang w:eastAsia="zh-CN"/>
        </w:rPr>
        <w:sectPr>
          <w:headerReference r:id="rId6" w:type="default"/>
          <w:footerReference r:id="rId7" w:type="default"/>
          <w:pgSz w:w="11910" w:h="16840"/>
          <w:pgMar w:top="1580" w:right="1680" w:bottom="280" w:left="1680" w:header="720" w:footer="720" w:gutter="0"/>
          <w:pgNumType w:fmt="decimal"/>
          <w:cols w:space="720" w:num="1"/>
        </w:sectPr>
      </w:pPr>
    </w:p>
    <w:p>
      <w:pPr>
        <w:spacing w:before="1" w:line="240" w:lineRule="auto"/>
        <w:rPr>
          <w:rFonts w:hint="eastAsia" w:ascii="仿宋_GB2312" w:hAnsi="仿宋_GB2312" w:eastAsia="仿宋_GB2312" w:cs="仿宋_GB2312"/>
          <w:sz w:val="25"/>
          <w:szCs w:val="25"/>
          <w:highlight w:val="none"/>
        </w:rPr>
      </w:pPr>
    </w:p>
    <w:p>
      <w:pPr>
        <w:spacing w:before="1" w:line="240" w:lineRule="auto"/>
        <w:rPr>
          <w:rFonts w:hint="eastAsia" w:ascii="仿宋_GB2312" w:hAnsi="仿宋_GB2312" w:eastAsia="仿宋_GB2312" w:cs="仿宋_GB2312"/>
          <w:sz w:val="25"/>
          <w:szCs w:val="25"/>
          <w:highlight w:val="none"/>
        </w:rPr>
      </w:pPr>
    </w:p>
    <w:p>
      <w:pPr>
        <w:pStyle w:val="5"/>
        <w:tabs>
          <w:tab w:val="left" w:pos="1799"/>
        </w:tabs>
        <w:spacing w:line="240" w:lineRule="auto"/>
        <w:ind w:left="0" w:leftChars="0" w:right="0" w:firstLine="321" w:firstLineChars="105"/>
        <w:jc w:val="left"/>
        <w:outlineLvl w:val="2"/>
        <w:rPr>
          <w:rFonts w:hint="eastAsia" w:ascii="仿宋_GB2312" w:hAnsi="仿宋_GB2312" w:eastAsia="仿宋_GB2312" w:cs="仿宋_GB2312"/>
          <w:b/>
          <w:bCs/>
          <w:sz w:val="28"/>
          <w:szCs w:val="28"/>
          <w:highlight w:val="none"/>
        </w:rPr>
      </w:pPr>
      <w:bookmarkStart w:id="64" w:name="_Toc28327"/>
      <w:r>
        <w:rPr>
          <w:rFonts w:hint="eastAsia" w:ascii="仿宋_GB2312" w:hAnsi="仿宋_GB2312" w:eastAsia="仿宋_GB2312" w:cs="仿宋_GB2312"/>
          <w:w w:val="95"/>
          <w:highlight w:val="none"/>
        </w:rPr>
        <w:t>5.3.3</w:t>
      </w:r>
      <w:bookmarkStart w:id="65" w:name="5.3.3项目交付项"/>
      <w:bookmarkEnd w:id="65"/>
      <w:r>
        <w:rPr>
          <w:rFonts w:hint="eastAsia" w:ascii="仿宋_GB2312" w:hAnsi="仿宋_GB2312" w:eastAsia="仿宋_GB2312" w:cs="仿宋_GB2312"/>
          <w:w w:val="95"/>
          <w:highlight w:val="none"/>
          <w:lang w:val="en-US" w:eastAsia="zh-CN"/>
        </w:rPr>
        <w:t xml:space="preserve"> </w:t>
      </w:r>
      <w:r>
        <w:rPr>
          <w:rFonts w:hint="eastAsia" w:ascii="仿宋_GB2312" w:hAnsi="仿宋_GB2312" w:eastAsia="仿宋_GB2312" w:cs="仿宋_GB2312"/>
          <w:w w:val="95"/>
          <w:highlight w:val="none"/>
        </w:rPr>
        <w:t>项目交付项</w:t>
      </w:r>
      <w:bookmarkEnd w:id="64"/>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须承诺按照</w:t>
      </w:r>
      <w:r>
        <w:rPr>
          <w:rFonts w:hint="eastAsia" w:asciiTheme="minorEastAsia" w:hAnsiTheme="minorEastAsia" w:eastAsiaTheme="minorEastAsia" w:cstheme="minorEastAsia"/>
          <w:spacing w:val="-1"/>
          <w:sz w:val="24"/>
          <w:szCs w:val="24"/>
          <w:highlight w:val="none"/>
          <w:lang w:eastAsia="zh-CN"/>
        </w:rPr>
        <w:t>采购人</w:t>
      </w:r>
      <w:r>
        <w:rPr>
          <w:rFonts w:hint="eastAsia" w:asciiTheme="minorEastAsia" w:hAnsiTheme="minorEastAsia" w:eastAsiaTheme="minorEastAsia" w:cstheme="minorEastAsia"/>
          <w:spacing w:val="-1"/>
          <w:sz w:val="24"/>
          <w:szCs w:val="24"/>
          <w:highlight w:val="none"/>
        </w:rPr>
        <w:t>的要求提供项目交付资料，包括但不限于：</w:t>
      </w:r>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1）</w:t>
      </w:r>
      <w:r>
        <w:rPr>
          <w:rFonts w:hint="eastAsia" w:asciiTheme="minorEastAsia" w:hAnsiTheme="minorEastAsia" w:eastAsiaTheme="minorEastAsia" w:cstheme="minorEastAsia"/>
          <w:spacing w:val="-1"/>
          <w:sz w:val="24"/>
          <w:szCs w:val="24"/>
          <w:highlight w:val="none"/>
        </w:rPr>
        <w:t>项目</w:t>
      </w:r>
      <w:r>
        <w:rPr>
          <w:rFonts w:hint="eastAsia" w:asciiTheme="minorEastAsia" w:hAnsiTheme="minorEastAsia" w:eastAsiaTheme="minorEastAsia" w:cstheme="minorEastAsia"/>
          <w:spacing w:val="-1"/>
          <w:sz w:val="24"/>
          <w:szCs w:val="24"/>
          <w:highlight w:val="none"/>
          <w:lang w:val="en-US" w:eastAsia="zh-CN"/>
        </w:rPr>
        <w:t>推广实施方案、计划。</w:t>
      </w:r>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lang w:val="en-US" w:eastAsia="zh-CN"/>
        </w:rPr>
        <w:t>2）实施过程资料、培训资料。</w:t>
      </w:r>
    </w:p>
    <w:p>
      <w:pPr>
        <w:pStyle w:val="11"/>
        <w:spacing w:before="5" w:line="408" w:lineRule="auto"/>
        <w:ind w:left="0" w:leftChars="0" w:right="119" w:firstLine="476" w:firstLineChars="200"/>
        <w:jc w:val="both"/>
        <w:rPr>
          <w:rFonts w:hint="default" w:asciiTheme="minorEastAsia" w:hAnsiTheme="minorEastAsia" w:eastAsiaTheme="minorEastAsia" w:cstheme="minorEastAsia"/>
          <w:spacing w:val="-1"/>
          <w:sz w:val="24"/>
          <w:szCs w:val="24"/>
          <w:highlight w:val="none"/>
          <w:lang w:val="en-US"/>
        </w:rPr>
      </w:pPr>
      <w:r>
        <w:rPr>
          <w:rFonts w:hint="eastAsia" w:asciiTheme="minorEastAsia" w:hAnsiTheme="minorEastAsia" w:eastAsiaTheme="minorEastAsia" w:cstheme="minorEastAsia"/>
          <w:spacing w:val="-1"/>
          <w:sz w:val="24"/>
          <w:szCs w:val="24"/>
          <w:highlight w:val="none"/>
          <w:lang w:val="en-US" w:eastAsia="zh-CN"/>
        </w:rPr>
        <w:t>3</w:t>
      </w:r>
      <w:r>
        <w:rPr>
          <w:rFonts w:hint="eastAsia" w:asciiTheme="minorEastAsia" w:hAnsiTheme="minorEastAsia" w:eastAsiaTheme="minorEastAsia" w:cstheme="minorEastAsia"/>
          <w:spacing w:val="-1"/>
          <w:sz w:val="24"/>
          <w:szCs w:val="24"/>
          <w:highlight w:val="none"/>
        </w:rPr>
        <w:t>）</w:t>
      </w:r>
      <w:r>
        <w:rPr>
          <w:rFonts w:hint="eastAsia" w:asciiTheme="minorEastAsia" w:hAnsiTheme="minorEastAsia" w:eastAsiaTheme="minorEastAsia" w:cstheme="minorEastAsia"/>
          <w:spacing w:val="-1"/>
          <w:sz w:val="24"/>
          <w:szCs w:val="24"/>
          <w:highlight w:val="none"/>
          <w:lang w:val="en-US" w:eastAsia="zh-CN"/>
        </w:rPr>
        <w:t>验收报告。</w:t>
      </w:r>
    </w:p>
    <w:p>
      <w:pPr>
        <w:spacing w:before="9" w:line="240" w:lineRule="auto"/>
        <w:rPr>
          <w:rFonts w:hint="eastAsia" w:ascii="仿宋_GB2312" w:hAnsi="仿宋_GB2312" w:eastAsia="仿宋_GB2312" w:cs="仿宋_GB2312"/>
          <w:sz w:val="15"/>
          <w:szCs w:val="15"/>
          <w:highlight w:val="none"/>
        </w:rPr>
      </w:pPr>
    </w:p>
    <w:p>
      <w:pPr>
        <w:pStyle w:val="4"/>
        <w:spacing w:line="240" w:lineRule="auto"/>
        <w:ind w:left="0" w:leftChars="0" w:right="0" w:firstLine="0" w:firstLineChars="0"/>
        <w:jc w:val="left"/>
        <w:outlineLvl w:val="1"/>
        <w:rPr>
          <w:rFonts w:hint="eastAsia" w:ascii="宋体" w:hAnsi="宋体" w:eastAsia="宋体" w:cs="宋体"/>
          <w:b/>
          <w:bCs/>
          <w:spacing w:val="1"/>
          <w:highlight w:val="none"/>
        </w:rPr>
      </w:pPr>
      <w:bookmarkStart w:id="66" w:name="_Toc21525"/>
      <w:bookmarkStart w:id="67" w:name="_Toc12745"/>
      <w:bookmarkStart w:id="68" w:name="_Toc24797"/>
      <w:r>
        <w:rPr>
          <w:rFonts w:hint="eastAsia" w:ascii="宋体" w:hAnsi="宋体" w:eastAsia="宋体" w:cs="宋体"/>
          <w:b/>
          <w:bCs/>
          <w:spacing w:val="1"/>
          <w:highlight w:val="none"/>
        </w:rPr>
        <w:t xml:space="preserve">5.4 </w:t>
      </w:r>
      <w:bookmarkStart w:id="69" w:name="5.4保密要求"/>
      <w:bookmarkEnd w:id="69"/>
      <w:r>
        <w:rPr>
          <w:rFonts w:hint="eastAsia" w:ascii="宋体" w:hAnsi="宋体" w:eastAsia="宋体" w:cs="宋体"/>
          <w:b/>
          <w:bCs/>
          <w:spacing w:val="1"/>
          <w:highlight w:val="none"/>
        </w:rPr>
        <w:t>保密要求</w:t>
      </w:r>
      <w:bookmarkEnd w:id="66"/>
      <w:bookmarkEnd w:id="67"/>
      <w:bookmarkEnd w:id="68"/>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鉴于</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在提供</w:t>
      </w:r>
      <w:r>
        <w:rPr>
          <w:rFonts w:hint="eastAsia" w:asciiTheme="minorEastAsia" w:hAnsiTheme="minorEastAsia" w:eastAsiaTheme="minorEastAsia" w:cstheme="minorEastAsia"/>
          <w:spacing w:val="-1"/>
          <w:sz w:val="24"/>
          <w:szCs w:val="24"/>
          <w:highlight w:val="none"/>
          <w:lang w:val="en-US" w:eastAsia="zh-CN"/>
        </w:rPr>
        <w:t>实施</w:t>
      </w:r>
      <w:r>
        <w:rPr>
          <w:rFonts w:hint="eastAsia" w:asciiTheme="minorEastAsia" w:hAnsiTheme="minorEastAsia" w:eastAsiaTheme="minorEastAsia" w:cstheme="minorEastAsia"/>
          <w:spacing w:val="-1"/>
          <w:sz w:val="24"/>
          <w:szCs w:val="24"/>
          <w:highlight w:val="none"/>
        </w:rPr>
        <w:t>服务期间，需要</w:t>
      </w:r>
      <w:r>
        <w:rPr>
          <w:rFonts w:hint="eastAsia" w:asciiTheme="minorEastAsia" w:hAnsiTheme="minorEastAsia" w:eastAsiaTheme="minorEastAsia" w:cstheme="minorEastAsia"/>
          <w:spacing w:val="-1"/>
          <w:sz w:val="24"/>
          <w:szCs w:val="24"/>
          <w:highlight w:val="none"/>
          <w:lang w:val="en-US" w:eastAsia="zh-CN"/>
        </w:rPr>
        <w:t>访问信息系统</w:t>
      </w:r>
      <w:r>
        <w:rPr>
          <w:rFonts w:hint="eastAsia" w:asciiTheme="minorEastAsia" w:hAnsiTheme="minorEastAsia" w:eastAsiaTheme="minorEastAsia" w:cstheme="minorEastAsia"/>
          <w:spacing w:val="-1"/>
          <w:sz w:val="24"/>
          <w:szCs w:val="24"/>
          <w:highlight w:val="none"/>
        </w:rPr>
        <w:t>，为加强信息系统的安全管理，提出以下保密要求：</w:t>
      </w:r>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在访问信息系统期间，负有保护企业的网络安全、信息安全和系统数据的义务和责任；负有保护所持有、接触的属于或涉及企业商业秘密的信息安全的义务和责任。</w:t>
      </w:r>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商业秘密是指因其信息泄露会影响企业生产和发展、影响企业营销活动、影响企业技术进步、使企业在商业竞争中处于被动或不利地位、使企业经济利益受到损害、影响企业对外交流和商业谈判顺利进行、影响企业稳定和安全、影响企业对外承担保密义务的事项。</w:t>
      </w:r>
    </w:p>
    <w:p>
      <w:pPr>
        <w:spacing w:after="0" w:line="408" w:lineRule="auto"/>
        <w:jc w:val="both"/>
        <w:rPr>
          <w:rFonts w:hint="eastAsia" w:ascii="仿宋_GB2312" w:hAnsi="仿宋_GB2312" w:eastAsia="仿宋_GB2312" w:cs="仿宋_GB2312"/>
          <w:highlight w:val="none"/>
        </w:rPr>
        <w:sectPr>
          <w:headerReference r:id="rId8" w:type="default"/>
          <w:pgSz w:w="11910" w:h="16840"/>
          <w:pgMar w:top="1480" w:right="1680" w:bottom="280" w:left="1680" w:header="720" w:footer="720" w:gutter="0"/>
          <w:pgNumType w:fmt="decimal"/>
          <w:cols w:space="720" w:num="1"/>
        </w:sectPr>
      </w:pPr>
    </w:p>
    <w:p>
      <w:pPr>
        <w:pStyle w:val="3"/>
        <w:numPr>
          <w:ilvl w:val="0"/>
          <w:numId w:val="0"/>
        </w:numPr>
        <w:spacing w:line="513" w:lineRule="exact"/>
        <w:ind w:leftChars="0" w:right="0" w:rightChars="0"/>
        <w:jc w:val="left"/>
        <w:outlineLvl w:val="0"/>
        <w:rPr>
          <w:rFonts w:hint="eastAsia" w:ascii="仿宋_GB2312" w:hAnsi="仿宋_GB2312" w:eastAsia="仿宋_GB2312" w:cs="仿宋_GB2312"/>
          <w:b/>
          <w:bCs/>
          <w:sz w:val="26"/>
          <w:szCs w:val="26"/>
          <w:highlight w:val="none"/>
        </w:rPr>
      </w:pPr>
      <w:bookmarkStart w:id="70" w:name="_Toc11161"/>
      <w:bookmarkStart w:id="71" w:name="_Toc31591"/>
      <w:bookmarkStart w:id="72" w:name="_Toc2564"/>
      <w:r>
        <w:rPr>
          <w:rFonts w:hint="eastAsia" w:ascii="仿宋_GB2312" w:hAnsi="仿宋_GB2312" w:eastAsia="仿宋_GB2312" w:cs="仿宋_GB2312"/>
          <w:highlight w:val="none"/>
        </w:rPr>
        <w:t>6</w:t>
      </w:r>
      <w:r>
        <w:rPr>
          <w:rFonts w:hint="eastAsia" w:ascii="仿宋_GB2312" w:hAnsi="仿宋_GB2312" w:eastAsia="仿宋_GB2312" w:cs="仿宋_GB2312"/>
          <w:spacing w:val="-48"/>
          <w:highlight w:val="none"/>
        </w:rPr>
        <w:t xml:space="preserve"> </w:t>
      </w:r>
      <w:bookmarkStart w:id="73" w:name="6验收"/>
      <w:bookmarkEnd w:id="73"/>
      <w:r>
        <w:rPr>
          <w:rFonts w:hint="eastAsia" w:ascii="仿宋_GB2312" w:hAnsi="仿宋_GB2312" w:eastAsia="仿宋_GB2312" w:cs="仿宋_GB2312"/>
          <w:spacing w:val="2"/>
          <w:highlight w:val="none"/>
        </w:rPr>
        <w:t>验</w:t>
      </w:r>
      <w:r>
        <w:rPr>
          <w:rFonts w:hint="eastAsia" w:ascii="仿宋_GB2312" w:hAnsi="仿宋_GB2312" w:eastAsia="仿宋_GB2312" w:cs="仿宋_GB2312"/>
          <w:highlight w:val="none"/>
        </w:rPr>
        <w:t>收</w:t>
      </w:r>
      <w:bookmarkEnd w:id="70"/>
      <w:bookmarkEnd w:id="71"/>
      <w:bookmarkEnd w:id="72"/>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lang w:val="en-US" w:eastAsia="zh-CN"/>
        </w:rPr>
        <w:t>采购人</w:t>
      </w:r>
      <w:r>
        <w:rPr>
          <w:rFonts w:hint="eastAsia" w:asciiTheme="minorEastAsia" w:hAnsiTheme="minorEastAsia" w:eastAsiaTheme="minorEastAsia" w:cstheme="minorEastAsia"/>
          <w:spacing w:val="-1"/>
          <w:sz w:val="24"/>
          <w:szCs w:val="24"/>
          <w:highlight w:val="none"/>
        </w:rPr>
        <w:t>确定</w:t>
      </w:r>
      <w:r>
        <w:rPr>
          <w:rFonts w:hint="eastAsia" w:asciiTheme="minorEastAsia" w:hAnsiTheme="minorEastAsia" w:eastAsiaTheme="minorEastAsia" w:cstheme="minorEastAsia"/>
          <w:spacing w:val="-1"/>
          <w:sz w:val="24"/>
          <w:szCs w:val="24"/>
          <w:highlight w:val="none"/>
          <w:lang w:val="en-US" w:eastAsia="zh-CN"/>
        </w:rPr>
        <w:t>按</w:t>
      </w:r>
      <w:r>
        <w:rPr>
          <w:rFonts w:hint="eastAsia" w:asciiTheme="minorEastAsia" w:hAnsiTheme="minorEastAsia" w:eastAsiaTheme="minorEastAsia" w:cstheme="minorEastAsia"/>
          <w:spacing w:val="-1"/>
          <w:sz w:val="24"/>
          <w:szCs w:val="24"/>
          <w:highlight w:val="none"/>
        </w:rPr>
        <w:t>以下标准和方式对</w:t>
      </w:r>
      <w:r>
        <w:rPr>
          <w:rFonts w:hint="eastAsia" w:asciiTheme="minorEastAsia" w:hAnsiTheme="minorEastAsia" w:eastAsiaTheme="minorEastAsia" w:cstheme="minorEastAsia"/>
          <w:spacing w:val="-1"/>
          <w:sz w:val="24"/>
          <w:szCs w:val="24"/>
          <w:highlight w:val="none"/>
          <w:lang w:eastAsia="zh-CN"/>
        </w:rPr>
        <w:t>成交方</w:t>
      </w:r>
      <w:r>
        <w:rPr>
          <w:rFonts w:hint="eastAsia" w:asciiTheme="minorEastAsia" w:hAnsiTheme="minorEastAsia" w:eastAsiaTheme="minorEastAsia" w:cstheme="minorEastAsia"/>
          <w:spacing w:val="-1"/>
          <w:sz w:val="24"/>
          <w:szCs w:val="24"/>
          <w:highlight w:val="none"/>
        </w:rPr>
        <w:t>的</w:t>
      </w:r>
      <w:r>
        <w:rPr>
          <w:rFonts w:hint="eastAsia" w:asciiTheme="minorEastAsia" w:hAnsiTheme="minorEastAsia" w:eastAsiaTheme="minorEastAsia" w:cstheme="minorEastAsia"/>
          <w:spacing w:val="-1"/>
          <w:sz w:val="24"/>
          <w:szCs w:val="24"/>
          <w:highlight w:val="none"/>
          <w:lang w:val="en-US" w:eastAsia="zh-CN"/>
        </w:rPr>
        <w:t>实施</w:t>
      </w:r>
      <w:r>
        <w:rPr>
          <w:rFonts w:hint="eastAsia" w:asciiTheme="minorEastAsia" w:hAnsiTheme="minorEastAsia" w:eastAsiaTheme="minorEastAsia" w:cstheme="minorEastAsia"/>
          <w:spacing w:val="-1"/>
          <w:sz w:val="24"/>
          <w:szCs w:val="24"/>
          <w:highlight w:val="none"/>
        </w:rPr>
        <w:t>服务及工作成果进行验收：</w:t>
      </w:r>
    </w:p>
    <w:p>
      <w:pPr>
        <w:spacing w:before="7" w:line="240" w:lineRule="auto"/>
        <w:rPr>
          <w:rFonts w:hint="eastAsia" w:ascii="仿宋_GB2312" w:hAnsi="仿宋_GB2312" w:eastAsia="仿宋_GB2312" w:cs="仿宋_GB2312"/>
          <w:sz w:val="16"/>
          <w:szCs w:val="16"/>
          <w:highlight w:val="none"/>
        </w:rPr>
      </w:pPr>
    </w:p>
    <w:p>
      <w:pPr>
        <w:pStyle w:val="4"/>
        <w:spacing w:line="240" w:lineRule="auto"/>
        <w:ind w:left="0" w:leftChars="0" w:right="0" w:firstLine="0" w:firstLineChars="0"/>
        <w:jc w:val="left"/>
        <w:outlineLvl w:val="1"/>
        <w:rPr>
          <w:rFonts w:hint="eastAsia" w:ascii="宋体" w:hAnsi="宋体" w:eastAsia="宋体" w:cs="宋体"/>
          <w:b/>
          <w:bCs/>
          <w:spacing w:val="1"/>
          <w:highlight w:val="none"/>
        </w:rPr>
      </w:pPr>
      <w:bookmarkStart w:id="74" w:name="_Toc5138"/>
      <w:bookmarkStart w:id="75" w:name="_Toc9942"/>
      <w:bookmarkStart w:id="76" w:name="_Toc1886"/>
      <w:r>
        <w:rPr>
          <w:rFonts w:hint="eastAsia" w:ascii="宋体" w:hAnsi="宋体" w:eastAsia="宋体" w:cs="宋体"/>
          <w:b/>
          <w:bCs/>
          <w:spacing w:val="1"/>
          <w:highlight w:val="none"/>
        </w:rPr>
        <w:t xml:space="preserve">6.1 </w:t>
      </w:r>
      <w:bookmarkStart w:id="77" w:name="6.1验收标准"/>
      <w:bookmarkEnd w:id="77"/>
      <w:r>
        <w:rPr>
          <w:rFonts w:hint="eastAsia" w:ascii="宋体" w:hAnsi="宋体" w:eastAsia="宋体" w:cs="宋体"/>
          <w:b/>
          <w:bCs/>
          <w:spacing w:val="1"/>
          <w:highlight w:val="none"/>
        </w:rPr>
        <w:t>验收标准</w:t>
      </w:r>
      <w:bookmarkEnd w:id="74"/>
      <w:bookmarkEnd w:id="75"/>
      <w:bookmarkEnd w:id="76"/>
    </w:p>
    <w:p>
      <w:pPr>
        <w:spacing w:before="5" w:line="240" w:lineRule="auto"/>
        <w:rPr>
          <w:rFonts w:hint="eastAsia" w:ascii="仿宋_GB2312" w:hAnsi="仿宋_GB2312" w:eastAsia="仿宋_GB2312" w:cs="仿宋_GB2312"/>
          <w:b/>
          <w:bCs/>
          <w:sz w:val="24"/>
          <w:szCs w:val="24"/>
          <w:highlight w:val="none"/>
        </w:rPr>
      </w:pPr>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1）按照双方签订的技术协议完成双方约定的工作内容。</w:t>
      </w:r>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2）成交方提交成果必须符合采购人系统运行相关标准和管理办法。</w:t>
      </w:r>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3）成交方必须完成项目要求的所有工作内容，工作完成情况证明由甲方提供。</w:t>
      </w:r>
    </w:p>
    <w:p>
      <w:pPr>
        <w:pStyle w:val="4"/>
        <w:spacing w:line="240" w:lineRule="auto"/>
        <w:ind w:left="0" w:leftChars="0" w:right="0" w:firstLine="0" w:firstLineChars="0"/>
        <w:jc w:val="left"/>
        <w:outlineLvl w:val="1"/>
        <w:rPr>
          <w:rFonts w:hint="eastAsia" w:ascii="宋体" w:hAnsi="宋体" w:eastAsia="宋体" w:cs="宋体"/>
          <w:b/>
          <w:bCs/>
          <w:spacing w:val="1"/>
          <w:highlight w:val="none"/>
        </w:rPr>
      </w:pPr>
      <w:bookmarkStart w:id="78" w:name="_Toc14923"/>
      <w:bookmarkStart w:id="79" w:name="_Toc1181"/>
      <w:bookmarkStart w:id="80" w:name="_Toc7762"/>
      <w:r>
        <w:rPr>
          <w:rFonts w:hint="eastAsia" w:ascii="宋体" w:hAnsi="宋体" w:eastAsia="宋体" w:cs="宋体"/>
          <w:b/>
          <w:bCs/>
          <w:spacing w:val="1"/>
          <w:highlight w:val="none"/>
        </w:rPr>
        <w:t xml:space="preserve">6.2 </w:t>
      </w:r>
      <w:bookmarkStart w:id="81" w:name="6.2验收方法"/>
      <w:bookmarkEnd w:id="81"/>
      <w:r>
        <w:rPr>
          <w:rFonts w:hint="eastAsia" w:ascii="宋体" w:hAnsi="宋体" w:eastAsia="宋体" w:cs="宋体"/>
          <w:b/>
          <w:bCs/>
          <w:spacing w:val="1"/>
          <w:highlight w:val="none"/>
        </w:rPr>
        <w:t>验收方法</w:t>
      </w:r>
      <w:bookmarkEnd w:id="78"/>
      <w:bookmarkEnd w:id="79"/>
      <w:bookmarkEnd w:id="80"/>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如双方认为项目已具备验收条件，成交方向采购人提出验收申请，采购人在接到成交方验收申请后组织对成交方提交</w:t>
      </w:r>
      <w:bookmarkStart w:id="86" w:name="_GoBack"/>
      <w:bookmarkEnd w:id="86"/>
      <w:r>
        <w:rPr>
          <w:rFonts w:hint="eastAsia" w:asciiTheme="minorEastAsia" w:hAnsiTheme="minorEastAsia" w:eastAsiaTheme="minorEastAsia" w:cstheme="minorEastAsia"/>
          <w:spacing w:val="-1"/>
          <w:sz w:val="24"/>
          <w:szCs w:val="24"/>
          <w:highlight w:val="none"/>
          <w:lang w:val="en-US" w:eastAsia="zh-CN"/>
        </w:rPr>
        <w:t>的资料进行审核，确认成交方提交资料符合</w:t>
      </w:r>
      <w:r>
        <w:rPr>
          <w:rFonts w:ascii="宋体" w:hAnsi="宋体" w:eastAsia="宋体" w:cs="宋体"/>
          <w:sz w:val="24"/>
          <w:szCs w:val="24"/>
        </w:rPr>
        <w:t>南方电网国际公司</w:t>
      </w:r>
      <w:r>
        <w:rPr>
          <w:rFonts w:hint="eastAsia" w:asciiTheme="minorEastAsia" w:hAnsiTheme="minorEastAsia" w:eastAsiaTheme="minorEastAsia" w:cstheme="minorEastAsia"/>
          <w:spacing w:val="-1"/>
          <w:sz w:val="24"/>
          <w:szCs w:val="24"/>
          <w:highlight w:val="none"/>
          <w:lang w:val="en-US" w:eastAsia="zh-CN"/>
        </w:rPr>
        <w:t>信息化项目验收标准后，由采购人组织相关人员对成交方工作提交的交付物进行评审，由采购人系统运行管理部门对系统运行情况进行评价。</w:t>
      </w:r>
    </w:p>
    <w:p>
      <w:pPr>
        <w:pStyle w:val="4"/>
        <w:spacing w:line="240" w:lineRule="auto"/>
        <w:ind w:left="0" w:leftChars="0" w:right="0" w:firstLine="0" w:firstLineChars="0"/>
        <w:jc w:val="left"/>
        <w:outlineLvl w:val="1"/>
        <w:rPr>
          <w:rFonts w:hint="eastAsia" w:ascii="宋体" w:hAnsi="宋体" w:eastAsia="宋体" w:cs="宋体"/>
          <w:b/>
          <w:bCs/>
          <w:spacing w:val="1"/>
          <w:highlight w:val="none"/>
        </w:rPr>
      </w:pPr>
      <w:bookmarkStart w:id="82" w:name="_Toc8255"/>
      <w:bookmarkStart w:id="83" w:name="_Toc33"/>
      <w:bookmarkStart w:id="84" w:name="_Toc25249"/>
      <w:r>
        <w:rPr>
          <w:rFonts w:hint="eastAsia" w:ascii="宋体" w:hAnsi="宋体" w:eastAsia="宋体" w:cs="宋体"/>
          <w:b/>
          <w:bCs/>
          <w:spacing w:val="1"/>
          <w:highlight w:val="none"/>
        </w:rPr>
        <w:t xml:space="preserve">6.3 </w:t>
      </w:r>
      <w:bookmarkStart w:id="85" w:name="6.3验收时间与地点"/>
      <w:bookmarkEnd w:id="85"/>
      <w:r>
        <w:rPr>
          <w:rFonts w:hint="eastAsia" w:ascii="宋体" w:hAnsi="宋体" w:eastAsia="宋体" w:cs="宋体"/>
          <w:b/>
          <w:bCs/>
          <w:spacing w:val="1"/>
          <w:highlight w:val="none"/>
        </w:rPr>
        <w:t>验收时间与地点</w:t>
      </w:r>
      <w:bookmarkEnd w:id="82"/>
      <w:bookmarkEnd w:id="83"/>
      <w:bookmarkEnd w:id="84"/>
    </w:p>
    <w:p>
      <w:pPr>
        <w:spacing w:before="5" w:line="240" w:lineRule="auto"/>
        <w:rPr>
          <w:rFonts w:hint="eastAsia" w:ascii="仿宋_GB2312" w:hAnsi="仿宋_GB2312" w:eastAsia="仿宋_GB2312" w:cs="仿宋_GB2312"/>
          <w:b/>
          <w:bCs/>
          <w:sz w:val="24"/>
          <w:szCs w:val="24"/>
          <w:highlight w:val="none"/>
        </w:rPr>
      </w:pPr>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1）验收时间：成交方提交验收申请，经采购人确认提交资料满足甲方信息化项目验收标准，可以开展验收。</w:t>
      </w:r>
    </w:p>
    <w:p>
      <w:pPr>
        <w:pStyle w:val="11"/>
        <w:spacing w:before="5" w:line="408" w:lineRule="auto"/>
        <w:ind w:left="0" w:leftChars="0" w:right="119" w:firstLine="476" w:firstLineChars="200"/>
        <w:jc w:val="both"/>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t>2） 验收地点：双方具体约定。</w:t>
      </w:r>
    </w:p>
    <w:sectPr>
      <w:headerReference r:id="rId9"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rPr>
                              <w:rFonts w:hint="eastAsia" w:eastAsia="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4"/>
                      <w:rPr>
                        <w:rFonts w:hint="eastAsia" w:eastAsia="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ind w:firstLine="360"/>
                            <w:jc w:val="center"/>
                            <w:rPr>
                              <w:rFonts w:hint="eastAsia" w:eastAsia="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sHnBgyQEAAJoDAAAOAAAAAAAAAAEAIAAAAB4BAABkcnMvZTJvRG9j&#10;LnhtbFBLBQYAAAAABgAGAFkBAABZBQAAAAA=&#10;">
              <v:fill on="f" focussize="0,0"/>
              <v:stroke on="f"/>
              <v:imagedata o:title=""/>
              <o:lock v:ext="edit" aspectratio="f"/>
              <v:textbox inset="0mm,0mm,0mm,0mm" style="mso-fit-shape-to-text:t;">
                <w:txbxContent>
                  <w:p>
                    <w:pPr>
                      <w:pStyle w:val="14"/>
                      <w:ind w:firstLine="360"/>
                      <w:jc w:val="center"/>
                      <w:rPr>
                        <w:rFonts w:hint="eastAsia" w:eastAsia="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p>
  <w:p>
    <w:pPr>
      <w:pStyle w:val="14"/>
      <w:ind w:firstLine="360"/>
      <w:rPr>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left"/>
      <w:rPr>
        <w:rFonts w:hint="default" w:eastAsia="仿宋"/>
        <w:lang w:val="en-US" w:eastAsia="zh-CN"/>
      </w:rPr>
    </w:pPr>
    <w:r>
      <w:rPr>
        <w:sz w:val="20"/>
      </w:rPr>
      <w:drawing>
        <wp:inline distT="0" distB="0" distL="114300" distR="114300">
          <wp:extent cx="1129665" cy="226695"/>
          <wp:effectExtent l="0" t="0" r="13335" b="1905"/>
          <wp:docPr id="2" name="图片 1" descr="说明: 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说明: tttt"/>
                  <pic:cNvPicPr>
                    <a:picLocks noChangeAspect="1"/>
                  </pic:cNvPicPr>
                </pic:nvPicPr>
                <pic:blipFill>
                  <a:blip r:embed="rId1"/>
                  <a:stretch>
                    <a:fillRect/>
                  </a:stretch>
                </pic:blipFill>
                <pic:spPr>
                  <a:xfrm>
                    <a:off x="0" y="0"/>
                    <a:ext cx="1129665" cy="226695"/>
                  </a:xfrm>
                  <a:prstGeom prst="rect">
                    <a:avLst/>
                  </a:prstGeom>
                  <a:noFill/>
                  <a:ln>
                    <a:noFill/>
                  </a:ln>
                </pic:spPr>
              </pic:pic>
            </a:graphicData>
          </a:graphic>
        </wp:inline>
      </w:drawing>
    </w:r>
    <w:r>
      <w:rPr>
        <w:rFonts w:hint="eastAsia"/>
        <w:sz w:val="20"/>
        <w:lang w:val="en-US" w:eastAsia="zh-CN"/>
      </w:rPr>
      <w:t xml:space="preserve">                                                     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2F6EDD"/>
    <w:multiLevelType w:val="multilevel"/>
    <w:tmpl w:val="EE2F6EDD"/>
    <w:lvl w:ilvl="0" w:tentative="0">
      <w:start w:val="1"/>
      <w:numFmt w:val="decimal"/>
      <w:suff w:val="space"/>
      <w:lvlText w:val="%1"/>
      <w:lvlJc w:val="left"/>
      <w:pPr>
        <w:tabs>
          <w:tab w:val="left" w:pos="420"/>
        </w:tabs>
        <w:ind w:left="179" w:leftChars="0" w:hanging="179" w:firstLineChars="0"/>
      </w:pPr>
      <w:rPr>
        <w:rFonts w:hint="default"/>
      </w:rPr>
    </w:lvl>
    <w:lvl w:ilvl="1" w:tentative="0">
      <w:start w:val="1"/>
      <w:numFmt w:val="decimal"/>
      <w:suff w:val="space"/>
      <w:lvlText w:val="%1.%2"/>
      <w:lvlJc w:val="left"/>
      <w:pPr>
        <w:tabs>
          <w:tab w:val="left" w:pos="420"/>
        </w:tabs>
        <w:ind w:left="57" w:hanging="57"/>
      </w:pPr>
      <w:rPr>
        <w:rFonts w:hint="default"/>
      </w:rPr>
    </w:lvl>
    <w:lvl w:ilvl="2" w:tentative="0">
      <w:start w:val="1"/>
      <w:numFmt w:val="decimal"/>
      <w:suff w:val="space"/>
      <w:lvlText w:val="%1.%2.%3"/>
      <w:lvlJc w:val="left"/>
      <w:pPr>
        <w:tabs>
          <w:tab w:val="left" w:pos="420"/>
        </w:tabs>
        <w:ind w:left="0" w:leftChars="0" w:firstLine="0" w:firstLineChars="0"/>
      </w:pPr>
      <w:rPr>
        <w:rFonts w:hint="default"/>
      </w:rPr>
    </w:lvl>
    <w:lvl w:ilvl="3" w:tentative="0">
      <w:start w:val="1"/>
      <w:numFmt w:val="decimal"/>
      <w:suff w:val="space"/>
      <w:lvlText w:val="%1.%2.%3.%4"/>
      <w:lvlJc w:val="left"/>
      <w:pPr>
        <w:tabs>
          <w:tab w:val="left" w:pos="420"/>
        </w:tabs>
        <w:ind w:left="0" w:leftChars="0" w:firstLine="0" w:firstLineChars="0"/>
      </w:pPr>
      <w:rPr>
        <w:rFonts w:hint="default" w:ascii="宋体" w:hAnsi="宋体" w:eastAsia="宋体"/>
        <w:b/>
      </w:rPr>
    </w:lvl>
    <w:lvl w:ilvl="4" w:tentative="0">
      <w:start w:val="1"/>
      <w:numFmt w:val="decimal"/>
      <w:pStyle w:val="7"/>
      <w:suff w:val="space"/>
      <w:lvlText w:val="%1.%2.%3.%4.%5"/>
      <w:lvlJc w:val="left"/>
      <w:pPr>
        <w:tabs>
          <w:tab w:val="left" w:pos="420"/>
        </w:tabs>
        <w:ind w:left="0" w:leftChars="0" w:firstLine="0" w:firstLineChars="0"/>
      </w:pPr>
      <w:rPr>
        <w:rFonts w:hint="default"/>
      </w:rPr>
    </w:lvl>
    <w:lvl w:ilvl="5" w:tentative="0">
      <w:start w:val="1"/>
      <w:numFmt w:val="decimal"/>
      <w:suff w:val="space"/>
      <w:lvlText w:val="%1.%2.%3.%4.%5.%6"/>
      <w:lvlJc w:val="left"/>
      <w:pPr>
        <w:tabs>
          <w:tab w:val="left" w:pos="420"/>
        </w:tabs>
        <w:ind w:left="0" w:firstLine="0"/>
      </w:pPr>
      <w:rPr>
        <w:rFonts w:hint="default" w:ascii="宋体" w:hAnsi="宋体" w:eastAsia="宋体"/>
        <w:b/>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6" w:tentative="0">
      <w:start w:val="1"/>
      <w:numFmt w:val="decimal"/>
      <w:suff w:val="space"/>
      <w:lvlText w:val="%1.%2.%3.%4.%5.%6.%7"/>
      <w:lvlJc w:val="left"/>
      <w:pPr>
        <w:tabs>
          <w:tab w:val="left" w:pos="0"/>
        </w:tabs>
        <w:ind w:left="0" w:leftChars="0" w:firstLine="0" w:firstLineChars="0"/>
      </w:pPr>
      <w:rPr>
        <w:rFonts w:hint="default" w:ascii="宋体" w:hAnsi="宋体"/>
      </w:rPr>
    </w:lvl>
    <w:lvl w:ilvl="7" w:tentative="0">
      <w:start w:val="1"/>
      <w:numFmt w:val="decimal"/>
      <w:lvlText w:val="%1.%2.%3.%4.%5.%6.%7.%8"/>
      <w:lvlJc w:val="left"/>
      <w:pPr>
        <w:ind w:left="0" w:leftChars="0" w:firstLine="0" w:firstLineChars="0"/>
      </w:pPr>
      <w:rPr>
        <w:rFonts w:hint="default"/>
      </w:rPr>
    </w:lvl>
    <w:lvl w:ilvl="8" w:tentative="0">
      <w:start w:val="1"/>
      <w:numFmt w:val="decimal"/>
      <w:lvlText w:val="%1.%2.%3.%4.%5.%6.%7.%8.%9"/>
      <w:lvlJc w:val="left"/>
      <w:pPr>
        <w:ind w:left="0" w:leftChars="0" w:firstLine="0" w:firstLineChars="0"/>
      </w:pPr>
      <w:rPr>
        <w:rFonts w:hint="default"/>
      </w:rPr>
    </w:lvl>
  </w:abstractNum>
  <w:abstractNum w:abstractNumId="1">
    <w:nsid w:val="F20DD2E3"/>
    <w:multiLevelType w:val="singleLevel"/>
    <w:tmpl w:val="F20DD2E3"/>
    <w:lvl w:ilvl="0" w:tentative="0">
      <w:start w:val="2"/>
      <w:numFmt w:val="decimal"/>
      <w:suff w:val="space"/>
      <w:lvlText w:val="%1."/>
      <w:lvlJc w:val="left"/>
    </w:lvl>
  </w:abstractNum>
  <w:abstractNum w:abstractNumId="2">
    <w:nsid w:val="F3E79D88"/>
    <w:multiLevelType w:val="singleLevel"/>
    <w:tmpl w:val="F3E79D88"/>
    <w:lvl w:ilvl="0" w:tentative="0">
      <w:start w:val="1"/>
      <w:numFmt w:val="decimal"/>
      <w:suff w:val="nothing"/>
      <w:lvlText w:val="%1"/>
      <w:lvlJc w:val="left"/>
      <w:pPr>
        <w:ind w:left="0" w:firstLine="0"/>
      </w:pPr>
      <w:rPr>
        <w:rFonts w:hint="default"/>
      </w:rPr>
    </w:lvl>
  </w:abstractNum>
  <w:abstractNum w:abstractNumId="3">
    <w:nsid w:val="FFBD1F3C"/>
    <w:multiLevelType w:val="singleLevel"/>
    <w:tmpl w:val="FFBD1F3C"/>
    <w:lvl w:ilvl="0" w:tentative="0">
      <w:start w:val="1"/>
      <w:numFmt w:val="decimal"/>
      <w:suff w:val="nothing"/>
      <w:lvlText w:val="%1"/>
      <w:lvlJc w:val="left"/>
      <w:pPr>
        <w:ind w:left="0" w:firstLine="0"/>
      </w:pPr>
      <w:rPr>
        <w:rFonts w:hint="default"/>
      </w:rPr>
    </w:lvl>
  </w:abstractNum>
  <w:abstractNum w:abstractNumId="4">
    <w:nsid w:val="00000017"/>
    <w:multiLevelType w:val="multilevel"/>
    <w:tmpl w:val="00000017"/>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8"/>
      <w:isLgl/>
      <w:lvlText w:val="附录%1.%2. "/>
      <w:lvlJc w:val="left"/>
      <w:pPr>
        <w:tabs>
          <w:tab w:val="left" w:pos="2254"/>
        </w:tabs>
        <w:ind w:left="67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5">
    <w:nsid w:val="5EAD6CB7"/>
    <w:multiLevelType w:val="multilevel"/>
    <w:tmpl w:val="5EAD6CB7"/>
    <w:lvl w:ilvl="0" w:tentative="0">
      <w:start w:val="1"/>
      <w:numFmt w:val="decimal"/>
      <w:pStyle w:val="3"/>
      <w:lvlText w:val="%1"/>
      <w:lvlJc w:val="left"/>
      <w:pPr>
        <w:ind w:left="432" w:hanging="432"/>
      </w:pPr>
    </w:lvl>
    <w:lvl w:ilvl="1" w:tentative="0">
      <w:start w:val="1"/>
      <w:numFmt w:val="decimal"/>
      <w:lvlText w:val="%1.%2"/>
      <w:lvlJc w:val="left"/>
      <w:pPr>
        <w:ind w:left="576" w:hanging="576"/>
      </w:pPr>
    </w:lvl>
    <w:lvl w:ilvl="2" w:tentative="0">
      <w:start w:val="1"/>
      <w:numFmt w:val="decimal"/>
      <w:lvlText w:val="%1.%2.%3"/>
      <w:lvlJc w:val="left"/>
      <w:pPr>
        <w:ind w:left="720" w:hanging="720"/>
      </w:pPr>
    </w:lvl>
    <w:lvl w:ilvl="3" w:tentative="0">
      <w:start w:val="1"/>
      <w:numFmt w:val="decimal"/>
      <w:lvlText w:val="%1.%2.%3.%4"/>
      <w:lvlJc w:val="left"/>
      <w:pPr>
        <w:ind w:left="1148"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427F6D"/>
    <w:rsid w:val="00685917"/>
    <w:rsid w:val="008E4364"/>
    <w:rsid w:val="0102047C"/>
    <w:rsid w:val="01814BD9"/>
    <w:rsid w:val="01AF73B4"/>
    <w:rsid w:val="021D146B"/>
    <w:rsid w:val="02650BE8"/>
    <w:rsid w:val="027E7523"/>
    <w:rsid w:val="034D7B72"/>
    <w:rsid w:val="03755A4D"/>
    <w:rsid w:val="040B52BC"/>
    <w:rsid w:val="0477514D"/>
    <w:rsid w:val="049D07A1"/>
    <w:rsid w:val="04C200ED"/>
    <w:rsid w:val="06412622"/>
    <w:rsid w:val="08C93A63"/>
    <w:rsid w:val="093867FF"/>
    <w:rsid w:val="09BF7EEF"/>
    <w:rsid w:val="0A922E0D"/>
    <w:rsid w:val="0AD66C8D"/>
    <w:rsid w:val="0B1747B4"/>
    <w:rsid w:val="0E141329"/>
    <w:rsid w:val="0E6B2D75"/>
    <w:rsid w:val="0F600014"/>
    <w:rsid w:val="107A325C"/>
    <w:rsid w:val="10AC4117"/>
    <w:rsid w:val="10B827F8"/>
    <w:rsid w:val="11FE3C91"/>
    <w:rsid w:val="124472EA"/>
    <w:rsid w:val="12556E9D"/>
    <w:rsid w:val="12754B87"/>
    <w:rsid w:val="12B96A2F"/>
    <w:rsid w:val="1315076E"/>
    <w:rsid w:val="14D011B3"/>
    <w:rsid w:val="16D641B6"/>
    <w:rsid w:val="17E22EB6"/>
    <w:rsid w:val="184C24C3"/>
    <w:rsid w:val="19787F5E"/>
    <w:rsid w:val="198A0193"/>
    <w:rsid w:val="19FE1BE6"/>
    <w:rsid w:val="1AA113AA"/>
    <w:rsid w:val="1AD02021"/>
    <w:rsid w:val="1BE44BE5"/>
    <w:rsid w:val="1C524FC0"/>
    <w:rsid w:val="1CBE4CA4"/>
    <w:rsid w:val="1CD943D6"/>
    <w:rsid w:val="1CF640F5"/>
    <w:rsid w:val="1DBD492A"/>
    <w:rsid w:val="1EE27E64"/>
    <w:rsid w:val="1FE951E7"/>
    <w:rsid w:val="1FFF11AE"/>
    <w:rsid w:val="20B01A99"/>
    <w:rsid w:val="21D22345"/>
    <w:rsid w:val="222B35B0"/>
    <w:rsid w:val="224758B4"/>
    <w:rsid w:val="22682CF7"/>
    <w:rsid w:val="22F42C05"/>
    <w:rsid w:val="233F3AFF"/>
    <w:rsid w:val="23427E95"/>
    <w:rsid w:val="23554C0D"/>
    <w:rsid w:val="237E45DF"/>
    <w:rsid w:val="24AF326C"/>
    <w:rsid w:val="252744A5"/>
    <w:rsid w:val="255D6120"/>
    <w:rsid w:val="25D62B55"/>
    <w:rsid w:val="26315CE6"/>
    <w:rsid w:val="263C42C5"/>
    <w:rsid w:val="263E7782"/>
    <w:rsid w:val="26A97D50"/>
    <w:rsid w:val="27002532"/>
    <w:rsid w:val="278905B1"/>
    <w:rsid w:val="27AC4211"/>
    <w:rsid w:val="28E569BD"/>
    <w:rsid w:val="29441081"/>
    <w:rsid w:val="29B44E9F"/>
    <w:rsid w:val="2AAF183F"/>
    <w:rsid w:val="2B4C2AF8"/>
    <w:rsid w:val="2B67411F"/>
    <w:rsid w:val="2C1E16F9"/>
    <w:rsid w:val="2C885BE8"/>
    <w:rsid w:val="2FC46911"/>
    <w:rsid w:val="2FD230F3"/>
    <w:rsid w:val="30AA08EF"/>
    <w:rsid w:val="31975D05"/>
    <w:rsid w:val="320633B0"/>
    <w:rsid w:val="335A0450"/>
    <w:rsid w:val="33845C2E"/>
    <w:rsid w:val="33E7457C"/>
    <w:rsid w:val="341A34A7"/>
    <w:rsid w:val="345F555E"/>
    <w:rsid w:val="34766EE1"/>
    <w:rsid w:val="34D57CFC"/>
    <w:rsid w:val="34ED7900"/>
    <w:rsid w:val="356A0636"/>
    <w:rsid w:val="373341CB"/>
    <w:rsid w:val="37BA661D"/>
    <w:rsid w:val="37E9735D"/>
    <w:rsid w:val="38222202"/>
    <w:rsid w:val="384157EA"/>
    <w:rsid w:val="385B6638"/>
    <w:rsid w:val="3953697C"/>
    <w:rsid w:val="3A865DF5"/>
    <w:rsid w:val="3B932BC5"/>
    <w:rsid w:val="3CAF0B90"/>
    <w:rsid w:val="3CFB72A1"/>
    <w:rsid w:val="3DB51603"/>
    <w:rsid w:val="3DFE22A9"/>
    <w:rsid w:val="3E0327ED"/>
    <w:rsid w:val="3E764EBA"/>
    <w:rsid w:val="3E790D44"/>
    <w:rsid w:val="3ECD0BCB"/>
    <w:rsid w:val="3F566DBD"/>
    <w:rsid w:val="40E809BD"/>
    <w:rsid w:val="41C91724"/>
    <w:rsid w:val="42EA214F"/>
    <w:rsid w:val="42FD0FAA"/>
    <w:rsid w:val="43C730CB"/>
    <w:rsid w:val="44A840C7"/>
    <w:rsid w:val="457169D8"/>
    <w:rsid w:val="462E6DEC"/>
    <w:rsid w:val="474A76D3"/>
    <w:rsid w:val="48427F6D"/>
    <w:rsid w:val="485A278A"/>
    <w:rsid w:val="48C725C4"/>
    <w:rsid w:val="48F20CD7"/>
    <w:rsid w:val="493D278D"/>
    <w:rsid w:val="495F707A"/>
    <w:rsid w:val="498A7DA1"/>
    <w:rsid w:val="499305E2"/>
    <w:rsid w:val="4A18719B"/>
    <w:rsid w:val="4A831E2D"/>
    <w:rsid w:val="4B36723D"/>
    <w:rsid w:val="4BBD486B"/>
    <w:rsid w:val="4BD50248"/>
    <w:rsid w:val="4C1576F2"/>
    <w:rsid w:val="4C9F28B8"/>
    <w:rsid w:val="4F3B527D"/>
    <w:rsid w:val="50191FD4"/>
    <w:rsid w:val="50AF3482"/>
    <w:rsid w:val="51072A1E"/>
    <w:rsid w:val="52063BC2"/>
    <w:rsid w:val="543907EE"/>
    <w:rsid w:val="5487793E"/>
    <w:rsid w:val="54A15A76"/>
    <w:rsid w:val="54AB28FF"/>
    <w:rsid w:val="5533051A"/>
    <w:rsid w:val="553C75D7"/>
    <w:rsid w:val="55732502"/>
    <w:rsid w:val="57EC6A4D"/>
    <w:rsid w:val="58D410B7"/>
    <w:rsid w:val="59124D70"/>
    <w:rsid w:val="592035DA"/>
    <w:rsid w:val="59C92FD4"/>
    <w:rsid w:val="5A360123"/>
    <w:rsid w:val="5A8154F8"/>
    <w:rsid w:val="5AFA1864"/>
    <w:rsid w:val="5B0E5C9C"/>
    <w:rsid w:val="5B4E46FC"/>
    <w:rsid w:val="5CAE17D5"/>
    <w:rsid w:val="5CEB648A"/>
    <w:rsid w:val="5DAA2435"/>
    <w:rsid w:val="5E823B33"/>
    <w:rsid w:val="5EC64CDD"/>
    <w:rsid w:val="5EEB3651"/>
    <w:rsid w:val="5F2D6CE6"/>
    <w:rsid w:val="5FE309E1"/>
    <w:rsid w:val="611E5EB0"/>
    <w:rsid w:val="629344C6"/>
    <w:rsid w:val="63455E8C"/>
    <w:rsid w:val="63877A8E"/>
    <w:rsid w:val="640D4EF1"/>
    <w:rsid w:val="652E3B65"/>
    <w:rsid w:val="65A71BC7"/>
    <w:rsid w:val="65AF0E7D"/>
    <w:rsid w:val="65CF4570"/>
    <w:rsid w:val="65E02D9F"/>
    <w:rsid w:val="660836D8"/>
    <w:rsid w:val="667D5DC5"/>
    <w:rsid w:val="669E0D89"/>
    <w:rsid w:val="66A36106"/>
    <w:rsid w:val="66B66556"/>
    <w:rsid w:val="67077A03"/>
    <w:rsid w:val="67355F43"/>
    <w:rsid w:val="676E14F6"/>
    <w:rsid w:val="68450FFA"/>
    <w:rsid w:val="687E2A51"/>
    <w:rsid w:val="69D44A6D"/>
    <w:rsid w:val="69F021F4"/>
    <w:rsid w:val="6A052872"/>
    <w:rsid w:val="6A1D70C9"/>
    <w:rsid w:val="6CD83A86"/>
    <w:rsid w:val="6CF801D0"/>
    <w:rsid w:val="6E2552A7"/>
    <w:rsid w:val="6E517834"/>
    <w:rsid w:val="700F08EA"/>
    <w:rsid w:val="71675793"/>
    <w:rsid w:val="73486DC5"/>
    <w:rsid w:val="734E342F"/>
    <w:rsid w:val="73BF4ADF"/>
    <w:rsid w:val="747F43D1"/>
    <w:rsid w:val="74FC0856"/>
    <w:rsid w:val="75391631"/>
    <w:rsid w:val="757A3245"/>
    <w:rsid w:val="759A20CF"/>
    <w:rsid w:val="767F3C7B"/>
    <w:rsid w:val="7755535C"/>
    <w:rsid w:val="77A1318F"/>
    <w:rsid w:val="785C1F46"/>
    <w:rsid w:val="78AB76C6"/>
    <w:rsid w:val="7BE50345"/>
    <w:rsid w:val="7E28263C"/>
    <w:rsid w:val="7E86744F"/>
    <w:rsid w:val="7F0A0640"/>
    <w:rsid w:val="7F934A79"/>
    <w:rsid w:val="7FB553AF"/>
    <w:rsid w:val="7FD00CA4"/>
    <w:rsid w:val="7FEB4A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1"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2"/>
      <w:lang w:val="en-US" w:eastAsia="zh-CN" w:bidi="ar-SA"/>
    </w:rPr>
  </w:style>
  <w:style w:type="paragraph" w:styleId="3">
    <w:name w:val="heading 1"/>
    <w:basedOn w:val="1"/>
    <w:next w:val="1"/>
    <w:qFormat/>
    <w:uiPriority w:val="0"/>
    <w:pPr>
      <w:keepNext/>
      <w:keepLines/>
      <w:numPr>
        <w:ilvl w:val="0"/>
        <w:numId w:val="1"/>
      </w:numPr>
      <w:spacing w:before="340" w:after="330" w:line="578" w:lineRule="auto"/>
      <w:outlineLvl w:val="0"/>
    </w:pPr>
    <w:rPr>
      <w:b/>
      <w:bCs/>
      <w:kern w:val="44"/>
      <w:sz w:val="30"/>
      <w:szCs w:val="44"/>
    </w:rPr>
  </w:style>
  <w:style w:type="paragraph" w:styleId="4">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1"/>
    <w:pPr>
      <w:spacing w:before="26"/>
      <w:ind w:left="120"/>
      <w:outlineLvl w:val="4"/>
    </w:pPr>
    <w:rPr>
      <w:rFonts w:ascii="宋体" w:hAnsi="宋体" w:eastAsia="宋体"/>
      <w:b/>
      <w:bCs/>
      <w:sz w:val="24"/>
      <w:szCs w:val="24"/>
    </w:rPr>
  </w:style>
  <w:style w:type="paragraph" w:styleId="7">
    <w:name w:val="heading 5"/>
    <w:basedOn w:val="1"/>
    <w:next w:val="1"/>
    <w:qFormat/>
    <w:uiPriority w:val="0"/>
    <w:pPr>
      <w:keepNext/>
      <w:keepLines/>
      <w:numPr>
        <w:ilvl w:val="4"/>
        <w:numId w:val="2"/>
      </w:numPr>
      <w:spacing w:line="360" w:lineRule="auto"/>
      <w:ind w:left="0" w:firstLine="0" w:firstLineChars="0"/>
      <w:jc w:val="left"/>
      <w:outlineLvl w:val="4"/>
    </w:pPr>
    <w:rPr>
      <w:rFonts w:asciiTheme="minorEastAsia" w:hAnsiTheme="minorEastAsia" w:eastAsiaTheme="minorEastAsia"/>
      <w:b/>
      <w:szCs w:val="28"/>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39"/>
    <w:pPr>
      <w:ind w:left="210"/>
      <w:jc w:val="left"/>
    </w:pPr>
    <w:rPr>
      <w:rFonts w:ascii="Calibri" w:hAnsi="Calibri" w:cs="Calibri"/>
      <w:smallCaps/>
      <w:sz w:val="20"/>
      <w:szCs w:val="20"/>
    </w:rPr>
  </w:style>
  <w:style w:type="paragraph" w:styleId="8">
    <w:name w:val="Normal Indent"/>
    <w:basedOn w:val="1"/>
    <w:next w:val="9"/>
    <w:qFormat/>
    <w:uiPriority w:val="0"/>
    <w:pPr>
      <w:numPr>
        <w:ilvl w:val="1"/>
        <w:numId w:val="3"/>
      </w:numPr>
      <w:tabs>
        <w:tab w:val="clear" w:pos="2254"/>
      </w:tabs>
      <w:ind w:left="0" w:firstLine="420"/>
    </w:pPr>
    <w:rPr>
      <w:rFonts w:ascii="Calibri" w:hAnsi="Calibri"/>
    </w:rPr>
  </w:style>
  <w:style w:type="paragraph" w:customStyle="1" w:styleId="9">
    <w:name w:val="正文（绿盟科技）"/>
    <w:qFormat/>
    <w:uiPriority w:val="0"/>
    <w:pPr>
      <w:spacing w:line="300" w:lineRule="auto"/>
    </w:pPr>
    <w:rPr>
      <w:rFonts w:ascii="Arial" w:hAnsi="Arial" w:eastAsia="宋体" w:cs="Times New Roman"/>
      <w:szCs w:val="21"/>
      <w:lang w:val="en-US" w:eastAsia="zh-CN" w:bidi="ar-SA"/>
    </w:rPr>
  </w:style>
  <w:style w:type="paragraph" w:styleId="10">
    <w:name w:val="annotation text"/>
    <w:basedOn w:val="1"/>
    <w:qFormat/>
    <w:uiPriority w:val="0"/>
    <w:pPr>
      <w:jc w:val="left"/>
    </w:pPr>
  </w:style>
  <w:style w:type="paragraph" w:styleId="11">
    <w:name w:val="Body Text"/>
    <w:basedOn w:val="1"/>
    <w:next w:val="12"/>
    <w:qFormat/>
    <w:uiPriority w:val="1"/>
    <w:pPr>
      <w:ind w:left="120"/>
    </w:pPr>
    <w:rPr>
      <w:rFonts w:ascii="宋体" w:hAnsi="宋体" w:eastAsia="宋体"/>
      <w:sz w:val="21"/>
      <w:szCs w:val="21"/>
    </w:rPr>
  </w:style>
  <w:style w:type="paragraph" w:styleId="12">
    <w:name w:val="Title"/>
    <w:basedOn w:val="1"/>
    <w:next w:val="1"/>
    <w:qFormat/>
    <w:uiPriority w:val="10"/>
    <w:pPr>
      <w:spacing w:before="240" w:after="60"/>
      <w:jc w:val="center"/>
      <w:outlineLvl w:val="0"/>
    </w:pPr>
    <w:rPr>
      <w:rFonts w:ascii="Cambria" w:hAnsi="Cambria" w:eastAsia="宋体" w:cs="Times New Roman"/>
      <w:b/>
      <w:bCs/>
      <w:sz w:val="32"/>
      <w:szCs w:val="32"/>
    </w:rPr>
  </w:style>
  <w:style w:type="paragraph" w:styleId="13">
    <w:name w:val="toc 3"/>
    <w:basedOn w:val="1"/>
    <w:next w:val="1"/>
    <w:qFormat/>
    <w:uiPriority w:val="0"/>
    <w:pPr>
      <w:ind w:left="840" w:leftChars="400"/>
    </w:p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jc w:val="left"/>
    </w:pPr>
    <w:rPr>
      <w:rFonts w:ascii="Calibri" w:hAnsi="Calibri" w:cs="Calibri"/>
      <w:b/>
      <w:bCs/>
      <w:caps/>
      <w:sz w:val="20"/>
      <w:szCs w:val="20"/>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Hyperlink"/>
    <w:qFormat/>
    <w:uiPriority w:val="99"/>
    <w:rPr>
      <w:color w:val="0000FF"/>
      <w:u w:val="single"/>
    </w:rPr>
  </w:style>
  <w:style w:type="paragraph" w:customStyle="1" w:styleId="22">
    <w:name w:val="正文缩进2字符"/>
    <w:basedOn w:val="1"/>
    <w:qFormat/>
    <w:uiPriority w:val="0"/>
    <w:pPr>
      <w:widowControl/>
      <w:spacing w:before="100" w:beforeLines="0" w:beforeAutospacing="1" w:after="100" w:afterLines="0" w:afterAutospacing="1" w:line="300" w:lineRule="auto"/>
      <w:ind w:left="357"/>
      <w:jc w:val="left"/>
    </w:pPr>
    <w:rPr>
      <w:rFonts w:ascii="ˎ̥" w:hAnsi="ˎ̥"/>
      <w:color w:val="51585D"/>
      <w:kern w:val="0"/>
      <w:sz w:val="20"/>
      <w:szCs w:val="20"/>
    </w:rPr>
  </w:style>
  <w:style w:type="paragraph" w:customStyle="1" w:styleId="23">
    <w:name w:val="项目名称"/>
    <w:qFormat/>
    <w:uiPriority w:val="0"/>
    <w:pPr>
      <w:spacing w:before="100"/>
    </w:pPr>
    <w:rPr>
      <w:rFonts w:ascii="Century Gothic" w:hAnsi="Century Gothic" w:eastAsia="宋体" w:cs="Times New Roman"/>
      <w:b/>
      <w:sz w:val="44"/>
      <w:lang w:val="en-US" w:eastAsia="en-US" w:bidi="ar-SA"/>
    </w:rPr>
  </w:style>
  <w:style w:type="paragraph" w:customStyle="1" w:styleId="24">
    <w:name w:val="封面一级标题文字"/>
    <w:basedOn w:val="1"/>
    <w:qFormat/>
    <w:uiPriority w:val="0"/>
    <w:pPr>
      <w:spacing w:line="640" w:lineRule="exact"/>
      <w:ind w:firstLine="0" w:firstLineChars="0"/>
      <w:jc w:val="center"/>
    </w:pPr>
    <w:rPr>
      <w:rFonts w:ascii="黑体" w:hAnsi="黑体" w:eastAsia="黑体"/>
      <w:b/>
      <w:bCs/>
      <w:sz w:val="52"/>
    </w:rPr>
  </w:style>
  <w:style w:type="paragraph" w:customStyle="1" w:styleId="25">
    <w:name w:val="页眉1"/>
    <w:basedOn w:val="1"/>
    <w:qFormat/>
    <w:uiPriority w:val="0"/>
    <w:pPr>
      <w:pBdr>
        <w:bottom w:val="single" w:color="auto" w:sz="6" w:space="1"/>
      </w:pBdr>
      <w:tabs>
        <w:tab w:val="center" w:pos="4153"/>
        <w:tab w:val="right" w:pos="8306"/>
      </w:tabs>
      <w:snapToGrid w:val="0"/>
      <w:jc w:val="center"/>
    </w:pPr>
    <w:rPr>
      <w:kern w:val="0"/>
      <w:sz w:val="18"/>
      <w:szCs w:val="20"/>
    </w:rPr>
  </w:style>
  <w:style w:type="paragraph" w:customStyle="1" w:styleId="26">
    <w:name w:val="页脚1"/>
    <w:basedOn w:val="1"/>
    <w:qFormat/>
    <w:uiPriority w:val="0"/>
    <w:pPr>
      <w:widowControl/>
      <w:tabs>
        <w:tab w:val="right" w:pos="7200"/>
      </w:tabs>
      <w:overflowPunct w:val="0"/>
      <w:autoSpaceDE w:val="0"/>
      <w:autoSpaceDN w:val="0"/>
      <w:adjustRightInd w:val="0"/>
      <w:spacing w:line="180" w:lineRule="atLeast"/>
      <w:ind w:left="-3600" w:right="20"/>
      <w:jc w:val="left"/>
      <w:textAlignment w:val="baseline"/>
    </w:pPr>
    <w:rPr>
      <w:kern w:val="0"/>
      <w:sz w:val="22"/>
      <w:szCs w:val="20"/>
    </w:rPr>
  </w:style>
  <w:style w:type="paragraph" w:customStyle="1" w:styleId="27">
    <w:name w:val="WPSOffice手动目录 1"/>
    <w:qFormat/>
    <w:uiPriority w:val="0"/>
    <w:pPr>
      <w:ind w:leftChars="0"/>
    </w:pPr>
    <w:rPr>
      <w:rFonts w:asciiTheme="minorHAnsi" w:hAnsiTheme="minorHAnsi" w:eastAsiaTheme="minorEastAsia" w:cstheme="minorBidi"/>
      <w:sz w:val="20"/>
      <w:szCs w:val="20"/>
    </w:rPr>
  </w:style>
  <w:style w:type="paragraph" w:customStyle="1" w:styleId="28">
    <w:name w:val="WPSOffice手动目录 2"/>
    <w:qFormat/>
    <w:uiPriority w:val="0"/>
    <w:pPr>
      <w:ind w:leftChars="200"/>
    </w:pPr>
    <w:rPr>
      <w:rFonts w:asciiTheme="minorHAnsi" w:hAnsiTheme="minorHAnsi" w:eastAsiaTheme="minorEastAsia" w:cstheme="minorBidi"/>
      <w:sz w:val="20"/>
      <w:szCs w:val="20"/>
    </w:rPr>
  </w:style>
  <w:style w:type="paragraph" w:customStyle="1" w:styleId="29">
    <w:name w:val="WPSOffice手动目录 3"/>
    <w:qFormat/>
    <w:uiPriority w:val="0"/>
    <w:pPr>
      <w:ind w:leftChars="400"/>
    </w:pPr>
    <w:rPr>
      <w:rFonts w:asciiTheme="minorHAnsi" w:hAnsiTheme="minorHAnsi" w:eastAsiaTheme="minorEastAsia" w:cstheme="minorBidi"/>
      <w:sz w:val="20"/>
      <w:szCs w:val="20"/>
    </w:rPr>
  </w:style>
  <w:style w:type="paragraph" w:customStyle="1" w:styleId="30">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2022-01-11T12:20:00Z</dcterms:created>
  <dc:creator>Administrator</dc:creator>
  <cp:lastModifiedBy>郑韶婧</cp:lastModifiedBy>
  <dcterms:modified xsi:type="dcterms:W3CDTF">2025-04-21T07:05:21Z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302F9C9C14AC4BE5970FACE55BED920D</vt:lpwstr>
  </property>
</Properties>
</file>