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eastAsia="黑体"/>
          <w:b/>
          <w:sz w:val="52"/>
          <w:szCs w:val="24"/>
        </w:rPr>
      </w:pPr>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-1137285</wp:posOffset>
            </wp:positionH>
            <wp:positionV relativeFrom="paragraph">
              <wp:posOffset>-906145</wp:posOffset>
            </wp:positionV>
            <wp:extent cx="7578090" cy="2736850"/>
            <wp:effectExtent l="0" t="0" r="3810" b="6350"/>
            <wp:wrapTight wrapText="bothSides">
              <wp:wrapPolygon>
                <wp:start x="0" y="0"/>
                <wp:lineTo x="0" y="21550"/>
                <wp:lineTo x="21575" y="21550"/>
                <wp:lineTo x="21575"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4"/>
                    <a:stretch>
                      <a:fillRect/>
                    </a:stretch>
                  </pic:blipFill>
                  <pic:spPr>
                    <a:xfrm>
                      <a:off x="0" y="0"/>
                      <a:ext cx="7578090" cy="2736850"/>
                    </a:xfrm>
                    <a:prstGeom prst="rect">
                      <a:avLst/>
                    </a:prstGeom>
                    <a:noFill/>
                    <a:ln>
                      <a:noFill/>
                    </a:ln>
                  </pic:spPr>
                </pic:pic>
              </a:graphicData>
            </a:graphic>
          </wp:anchor>
        </w:drawing>
      </w:r>
    </w:p>
    <w:p>
      <w:pPr>
        <w:spacing w:before="624" w:beforeLines="200"/>
        <w:jc w:val="center"/>
        <w:rPr>
          <w:rFonts w:hint="eastAsia" w:eastAsia="黑体"/>
          <w:b/>
          <w:sz w:val="52"/>
          <w:szCs w:val="24"/>
          <w:lang w:val="en-US" w:eastAsia="zh-CN"/>
        </w:rPr>
      </w:pPr>
      <w:r>
        <w:rPr>
          <w:rFonts w:hint="eastAsia" w:eastAsia="黑体"/>
          <w:b/>
          <w:sz w:val="52"/>
          <w:szCs w:val="24"/>
        </w:rPr>
        <w:t>电缆隧道</w:t>
      </w:r>
      <w:r>
        <w:rPr>
          <w:rFonts w:hint="eastAsia" w:eastAsia="黑体"/>
          <w:b/>
          <w:sz w:val="52"/>
          <w:szCs w:val="24"/>
          <w:lang w:val="en-US" w:eastAsia="zh-CN"/>
        </w:rPr>
        <w:t>智能专网</w:t>
      </w:r>
      <w:r>
        <w:rPr>
          <w:rFonts w:hint="eastAsia" w:eastAsia="黑体"/>
          <w:b/>
          <w:sz w:val="52"/>
          <w:szCs w:val="24"/>
        </w:rPr>
        <w:t>系统</w:t>
      </w:r>
      <w:r>
        <w:rPr>
          <w:rFonts w:hint="eastAsia" w:eastAsia="黑体"/>
          <w:b/>
          <w:sz w:val="52"/>
          <w:szCs w:val="24"/>
          <w:lang w:val="en-US" w:eastAsia="zh-CN"/>
        </w:rPr>
        <w:t>建设</w:t>
      </w:r>
    </w:p>
    <w:p>
      <w:pPr>
        <w:spacing w:before="624" w:beforeLines="200"/>
        <w:jc w:val="center"/>
        <w:rPr>
          <w:rFonts w:hint="eastAsia" w:eastAsia="黑体"/>
          <w:b/>
          <w:sz w:val="52"/>
          <w:szCs w:val="24"/>
        </w:rPr>
      </w:pPr>
      <w:r>
        <w:rPr>
          <w:rFonts w:hint="eastAsia" w:eastAsia="黑体"/>
          <w:b/>
          <w:sz w:val="52"/>
          <w:szCs w:val="24"/>
        </w:rPr>
        <w:t>技术规范书</w:t>
      </w:r>
    </w:p>
    <w:p>
      <w:pPr>
        <w:spacing w:before="624" w:beforeLines="200"/>
        <w:jc w:val="center"/>
        <w:rPr>
          <w:rFonts w:hint="eastAsia" w:eastAsia="黑体"/>
          <w:b/>
          <w:sz w:val="52"/>
          <w:szCs w:val="24"/>
        </w:rPr>
      </w:pPr>
    </w:p>
    <w:p>
      <w:pPr>
        <w:ind w:left="2518" w:hanging="108"/>
        <w:rPr>
          <w:rFonts w:eastAsia="黑体"/>
          <w:b/>
          <w:sz w:val="36"/>
        </w:rPr>
      </w:pPr>
      <w:r>
        <w:rPr>
          <w:rFonts w:hint="eastAsia" w:eastAsia="黑体"/>
          <w:b/>
          <w:sz w:val="36"/>
        </w:rPr>
        <w:t>编号：</w:t>
      </w:r>
      <w:r>
        <w:rPr>
          <w:rFonts w:hint="eastAsia" w:eastAsia="黑体"/>
          <w:b/>
          <w:sz w:val="36"/>
        </w:rPr>
        <w:tab/>
      </w:r>
    </w:p>
    <w:p>
      <w:pPr>
        <w:ind w:left="2518" w:hanging="108"/>
        <w:rPr>
          <w:rFonts w:eastAsia="黑体"/>
          <w:b/>
          <w:sz w:val="36"/>
        </w:rPr>
      </w:pPr>
    </w:p>
    <w:p>
      <w:pPr>
        <w:ind w:left="2518" w:hanging="108"/>
        <w:rPr>
          <w:rFonts w:eastAsia="黑体"/>
          <w:b/>
          <w:sz w:val="36"/>
        </w:rPr>
      </w:pPr>
    </w:p>
    <w:p>
      <w:pPr>
        <w:ind w:left="2518" w:hanging="108"/>
        <w:rPr>
          <w:rFonts w:eastAsia="黑体"/>
          <w:b/>
          <w:sz w:val="36"/>
        </w:rPr>
      </w:pPr>
    </w:p>
    <w:p>
      <w:pPr>
        <w:ind w:left="2518" w:hanging="108"/>
        <w:rPr>
          <w:rFonts w:hint="eastAsia" w:eastAsia="黑体"/>
          <w:b/>
          <w:sz w:val="36"/>
        </w:rPr>
      </w:pPr>
    </w:p>
    <w:p>
      <w:pPr>
        <w:jc w:val="center"/>
        <w:rPr>
          <w:rFonts w:hint="eastAsia" w:ascii="黑体" w:eastAsia="黑体"/>
          <w:b/>
          <w:spacing w:val="20"/>
          <w:w w:val="135"/>
          <w:sz w:val="30"/>
          <w:szCs w:val="24"/>
          <w:lang w:eastAsia="zh-CN"/>
        </w:rPr>
      </w:pPr>
      <w:r>
        <w:rPr>
          <w:rFonts w:hint="eastAsia" w:ascii="黑体" w:eastAsia="黑体"/>
          <w:b/>
          <w:spacing w:val="20"/>
          <w:w w:val="135"/>
          <w:sz w:val="30"/>
          <w:szCs w:val="24"/>
          <w:lang w:eastAsia="zh-CN"/>
        </w:rPr>
        <w:t>深圳供电局有限公司</w:t>
      </w:r>
    </w:p>
    <w:p>
      <w:pPr>
        <w:jc w:val="center"/>
        <w:rPr>
          <w:rFonts w:hint="eastAsia" w:ascii="黑体" w:eastAsia="黑体"/>
          <w:b/>
          <w:spacing w:val="20"/>
          <w:w w:val="135"/>
          <w:sz w:val="30"/>
          <w:szCs w:val="24"/>
        </w:rPr>
      </w:pPr>
      <w:r>
        <w:rPr>
          <w:rFonts w:hint="eastAsia" w:ascii="黑体" w:eastAsia="黑体"/>
          <w:b/>
          <w:spacing w:val="20"/>
          <w:w w:val="135"/>
          <w:sz w:val="30"/>
          <w:szCs w:val="24"/>
        </w:rPr>
        <w:t>202</w:t>
      </w:r>
      <w:r>
        <w:rPr>
          <w:rFonts w:hint="eastAsia" w:ascii="黑体" w:eastAsia="黑体"/>
          <w:b/>
          <w:spacing w:val="20"/>
          <w:w w:val="135"/>
          <w:sz w:val="30"/>
          <w:szCs w:val="24"/>
          <w:lang w:val="en-US" w:eastAsia="zh-CN"/>
        </w:rPr>
        <w:t>5</w:t>
      </w:r>
      <w:r>
        <w:rPr>
          <w:rFonts w:hint="eastAsia" w:ascii="黑体" w:eastAsia="黑体"/>
          <w:b/>
          <w:spacing w:val="20"/>
          <w:w w:val="135"/>
          <w:sz w:val="30"/>
          <w:szCs w:val="24"/>
        </w:rPr>
        <w:t>年</w:t>
      </w:r>
      <w:r>
        <w:rPr>
          <w:rFonts w:hint="eastAsia" w:ascii="黑体" w:eastAsia="黑体"/>
          <w:b/>
          <w:spacing w:val="20"/>
          <w:w w:val="135"/>
          <w:sz w:val="30"/>
          <w:szCs w:val="24"/>
          <w:lang w:val="en-US" w:eastAsia="zh-CN"/>
        </w:rPr>
        <w:t>1</w:t>
      </w:r>
      <w:r>
        <w:rPr>
          <w:rFonts w:hint="eastAsia" w:ascii="黑体" w:eastAsia="黑体"/>
          <w:b/>
          <w:spacing w:val="20"/>
          <w:w w:val="135"/>
          <w:sz w:val="30"/>
          <w:szCs w:val="24"/>
        </w:rPr>
        <w:t>月</w:t>
      </w:r>
    </w:p>
    <w:p>
      <w:pPr>
        <w:jc w:val="center"/>
        <w:rPr>
          <w:rFonts w:hint="eastAsia" w:ascii="黑体" w:eastAsia="黑体"/>
          <w:b/>
          <w:spacing w:val="20"/>
          <w:w w:val="135"/>
          <w:sz w:val="30"/>
          <w:szCs w:val="24"/>
        </w:rPr>
      </w:pPr>
    </w:p>
    <w:p>
      <w:pPr>
        <w:jc w:val="both"/>
        <w:rPr>
          <w:rFonts w:hint="eastAsia" w:ascii="黑体" w:eastAsia="黑体"/>
          <w:b/>
          <w:spacing w:val="20"/>
          <w:w w:val="135"/>
          <w:sz w:val="30"/>
          <w:szCs w:val="24"/>
        </w:rPr>
      </w:pPr>
    </w:p>
    <w:p>
      <w:pPr>
        <w:jc w:val="center"/>
        <w:rPr>
          <w:rFonts w:hint="eastAsia" w:ascii="黑体" w:eastAsia="黑体"/>
          <w:b/>
          <w:spacing w:val="20"/>
          <w:w w:val="135"/>
          <w:sz w:val="30"/>
          <w:szCs w:val="24"/>
        </w:rPr>
      </w:pPr>
      <w:r>
        <w:rPr>
          <w:rFonts w:hint="eastAsia" w:ascii="黑体" w:eastAsia="黑体"/>
          <w:sz w:val="28"/>
          <w:szCs w:val="21"/>
        </w:rPr>
        <w:t>目  录</w:t>
      </w:r>
    </w:p>
    <w:p>
      <w:pPr>
        <w:jc w:val="center"/>
        <w:rPr>
          <w:rFonts w:hint="eastAsia" w:ascii="黑体" w:eastAsia="黑体"/>
          <w:b/>
          <w:spacing w:val="20"/>
          <w:w w:val="135"/>
          <w:sz w:val="30"/>
          <w:szCs w:val="24"/>
        </w:rPr>
      </w:pP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TOC \o "1-2" \h \u </w:instrText>
      </w:r>
      <w:r>
        <w:rPr>
          <w:rFonts w:hint="eastAsia" w:ascii="黑体" w:eastAsia="黑体"/>
          <w:szCs w:val="21"/>
        </w:rPr>
        <w:fldChar w:fldCharType="separate"/>
      </w:r>
      <w:r>
        <w:rPr>
          <w:rFonts w:hint="eastAsia" w:ascii="黑体" w:eastAsia="黑体"/>
          <w:szCs w:val="21"/>
        </w:rPr>
        <w:fldChar w:fldCharType="begin"/>
      </w:r>
      <w:r>
        <w:rPr>
          <w:rFonts w:hint="eastAsia" w:ascii="黑体" w:eastAsia="黑体"/>
          <w:szCs w:val="21"/>
        </w:rPr>
        <w:instrText xml:space="preserve"> HYPERLINK \l _Toc20254 </w:instrText>
      </w:r>
      <w:r>
        <w:rPr>
          <w:rFonts w:hint="eastAsia" w:ascii="黑体" w:eastAsia="黑体"/>
          <w:szCs w:val="21"/>
        </w:rPr>
        <w:fldChar w:fldCharType="separate"/>
      </w:r>
      <w:r>
        <w:rPr>
          <w:rFonts w:hint="eastAsia" w:ascii="黑体" w:hAnsi="黑体" w:eastAsia="黑体"/>
          <w:bCs/>
          <w:szCs w:val="24"/>
          <w:lang w:val="en-US" w:eastAsia="zh-CN"/>
        </w:rPr>
        <w:t>1 总则</w:t>
      </w:r>
      <w:r>
        <w:tab/>
      </w:r>
      <w:r>
        <w:fldChar w:fldCharType="begin"/>
      </w:r>
      <w:r>
        <w:instrText xml:space="preserve"> PAGEREF _Toc20254 \h </w:instrText>
      </w:r>
      <w:r>
        <w:fldChar w:fldCharType="separate"/>
      </w:r>
      <w:r>
        <w:t>3</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_Toc22412 </w:instrText>
      </w:r>
      <w:r>
        <w:rPr>
          <w:rFonts w:hint="eastAsia" w:ascii="黑体" w:eastAsia="黑体"/>
          <w:szCs w:val="21"/>
        </w:rPr>
        <w:fldChar w:fldCharType="separate"/>
      </w:r>
      <w:r>
        <w:rPr>
          <w:rFonts w:hint="eastAsia" w:ascii="黑体" w:hAnsi="黑体" w:eastAsia="黑体" w:cs="Times New Roman"/>
          <w:bCs/>
          <w:szCs w:val="24"/>
          <w:lang w:val="en-US" w:eastAsia="zh-CN"/>
        </w:rPr>
        <w:t>2 工作范围</w:t>
      </w:r>
      <w:r>
        <w:tab/>
      </w:r>
      <w:r>
        <w:fldChar w:fldCharType="begin"/>
      </w:r>
      <w:r>
        <w:instrText xml:space="preserve"> PAGEREF _Toc22412 \h </w:instrText>
      </w:r>
      <w:r>
        <w:fldChar w:fldCharType="separate"/>
      </w:r>
      <w:r>
        <w:t>4</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_Toc12881 </w:instrText>
      </w:r>
      <w:r>
        <w:rPr>
          <w:rFonts w:hint="eastAsia" w:ascii="黑体" w:eastAsia="黑体"/>
          <w:szCs w:val="21"/>
        </w:rPr>
        <w:fldChar w:fldCharType="separate"/>
      </w:r>
      <w:r>
        <w:rPr>
          <w:rFonts w:hint="eastAsia"/>
          <w:szCs w:val="21"/>
          <w:lang w:val="en-US" w:eastAsia="zh-CN"/>
        </w:rPr>
        <w:t>2</w:t>
      </w:r>
      <w:r>
        <w:rPr>
          <w:szCs w:val="21"/>
        </w:rPr>
        <w:t>.1</w:t>
      </w:r>
      <w:r>
        <w:rPr>
          <w:rFonts w:hint="eastAsia"/>
          <w:szCs w:val="21"/>
        </w:rPr>
        <w:t xml:space="preserve"> 工程概况</w:t>
      </w:r>
      <w:r>
        <w:tab/>
      </w:r>
      <w:r>
        <w:fldChar w:fldCharType="begin"/>
      </w:r>
      <w:r>
        <w:instrText xml:space="preserve"> PAGEREF _Toc12881 \h </w:instrText>
      </w:r>
      <w:r>
        <w:fldChar w:fldCharType="separate"/>
      </w:r>
      <w:r>
        <w:t>4</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_Toc3462 </w:instrText>
      </w:r>
      <w:r>
        <w:rPr>
          <w:rFonts w:hint="eastAsia" w:ascii="黑体" w:eastAsia="黑体"/>
          <w:szCs w:val="21"/>
        </w:rPr>
        <w:fldChar w:fldCharType="separate"/>
      </w:r>
      <w:r>
        <w:rPr>
          <w:rFonts w:hint="eastAsia" w:ascii="Times New Roman" w:hAnsi="Times New Roman" w:cs="Times New Roman"/>
          <w:szCs w:val="21"/>
          <w:lang w:val="en-US" w:eastAsia="zh-CN"/>
        </w:rPr>
        <w:t>2.2建设内容：</w:t>
      </w:r>
      <w:r>
        <w:tab/>
      </w:r>
      <w:r>
        <w:fldChar w:fldCharType="begin"/>
      </w:r>
      <w:r>
        <w:instrText xml:space="preserve"> PAGEREF _Toc3462 \h </w:instrText>
      </w:r>
      <w:r>
        <w:fldChar w:fldCharType="separate"/>
      </w:r>
      <w:r>
        <w:t>4</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_Toc8777 </w:instrText>
      </w:r>
      <w:r>
        <w:rPr>
          <w:rFonts w:hint="eastAsia" w:ascii="黑体" w:eastAsia="黑体"/>
          <w:szCs w:val="21"/>
        </w:rPr>
        <w:fldChar w:fldCharType="separate"/>
      </w:r>
      <w:r>
        <w:rPr>
          <w:rFonts w:hint="eastAsia" w:ascii="Times New Roman" w:hAnsi="Times New Roman" w:cs="Times New Roman"/>
          <w:szCs w:val="21"/>
          <w:lang w:val="en-US" w:eastAsia="zh-CN"/>
        </w:rPr>
        <w:t>2.3 范围和界限</w:t>
      </w:r>
      <w:r>
        <w:tab/>
      </w:r>
      <w:r>
        <w:fldChar w:fldCharType="begin"/>
      </w:r>
      <w:r>
        <w:instrText xml:space="preserve"> PAGEREF _Toc8777 \h </w:instrText>
      </w:r>
      <w:r>
        <w:fldChar w:fldCharType="separate"/>
      </w:r>
      <w:r>
        <w:t>5</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_Toc30224 </w:instrText>
      </w:r>
      <w:r>
        <w:rPr>
          <w:rFonts w:hint="eastAsia" w:ascii="黑体" w:eastAsia="黑体"/>
          <w:szCs w:val="21"/>
        </w:rPr>
        <w:fldChar w:fldCharType="separate"/>
      </w:r>
      <w:r>
        <w:rPr>
          <w:rFonts w:hAnsi="宋体"/>
        </w:rPr>
        <w:t>2.</w:t>
      </w:r>
      <w:r>
        <w:rPr>
          <w:rFonts w:hint="eastAsia" w:hAnsi="宋体"/>
          <w:lang w:val="en-US" w:eastAsia="zh-CN"/>
        </w:rPr>
        <w:t>4</w:t>
      </w:r>
      <w:r>
        <w:rPr>
          <w:rFonts w:hAnsi="宋体"/>
        </w:rPr>
        <w:t xml:space="preserve"> 服务范围</w:t>
      </w:r>
      <w:r>
        <w:tab/>
      </w:r>
      <w:r>
        <w:fldChar w:fldCharType="begin"/>
      </w:r>
      <w:r>
        <w:instrText xml:space="preserve"> PAGEREF _Toc30224 \h </w:instrText>
      </w:r>
      <w:r>
        <w:fldChar w:fldCharType="separate"/>
      </w:r>
      <w:r>
        <w:t>5</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_Toc29941 </w:instrText>
      </w:r>
      <w:r>
        <w:rPr>
          <w:rFonts w:hint="eastAsia" w:ascii="黑体" w:eastAsia="黑体"/>
          <w:szCs w:val="21"/>
        </w:rPr>
        <w:fldChar w:fldCharType="separate"/>
      </w:r>
      <w:r>
        <w:rPr>
          <w:rFonts w:eastAsia="黑体"/>
          <w:szCs w:val="21"/>
          <w:highlight w:val="none"/>
        </w:rPr>
        <w:t>3 应遵循的主要标准</w:t>
      </w:r>
      <w:r>
        <w:tab/>
      </w:r>
      <w:r>
        <w:fldChar w:fldCharType="begin"/>
      </w:r>
      <w:r>
        <w:instrText xml:space="preserve"> PAGEREF _Toc29941 \h </w:instrText>
      </w:r>
      <w:r>
        <w:fldChar w:fldCharType="separate"/>
      </w:r>
      <w:r>
        <w:t>7</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_Toc14403 </w:instrText>
      </w:r>
      <w:r>
        <w:rPr>
          <w:rFonts w:hint="eastAsia" w:ascii="黑体" w:eastAsia="黑体"/>
          <w:szCs w:val="21"/>
        </w:rPr>
        <w:fldChar w:fldCharType="separate"/>
      </w:r>
      <w:r>
        <w:rPr>
          <w:rFonts w:hint="eastAsia" w:eastAsia="黑体" w:cs="Times New Roman"/>
          <w:szCs w:val="21"/>
          <w:highlight w:val="none"/>
          <w:lang w:val="en-US" w:eastAsia="zh-CN"/>
        </w:rPr>
        <w:t>4</w:t>
      </w:r>
      <w:r>
        <w:rPr>
          <w:rFonts w:hint="eastAsia" w:ascii="Times New Roman" w:hAnsi="Times New Roman" w:eastAsia="黑体" w:cs="Times New Roman"/>
          <w:szCs w:val="21"/>
          <w:highlight w:val="none"/>
          <w:lang w:val="en-US" w:eastAsia="zh-CN"/>
        </w:rPr>
        <w:t xml:space="preserve"> </w:t>
      </w:r>
      <w:r>
        <w:rPr>
          <w:rFonts w:hint="eastAsia" w:ascii="Times New Roman" w:hAnsi="Times New Roman" w:eastAsia="黑体" w:cs="Times New Roman"/>
          <w:szCs w:val="21"/>
          <w:highlight w:val="none"/>
        </w:rPr>
        <w:t>技术要求</w:t>
      </w:r>
      <w:r>
        <w:tab/>
      </w:r>
      <w:r>
        <w:fldChar w:fldCharType="begin"/>
      </w:r>
      <w:r>
        <w:instrText xml:space="preserve"> PAGEREF _Toc14403 \h </w:instrText>
      </w:r>
      <w:r>
        <w:fldChar w:fldCharType="separate"/>
      </w:r>
      <w:r>
        <w:t>8</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_Toc25174 </w:instrText>
      </w:r>
      <w:r>
        <w:rPr>
          <w:rFonts w:hint="eastAsia" w:ascii="黑体" w:eastAsia="黑体"/>
          <w:szCs w:val="21"/>
        </w:rPr>
        <w:fldChar w:fldCharType="separate"/>
      </w:r>
      <w:r>
        <w:rPr>
          <w:rFonts w:hint="eastAsia" w:cs="Times New Roman"/>
          <w:highlight w:val="none"/>
          <w:lang w:val="en-US" w:eastAsia="zh-CN"/>
        </w:rPr>
        <w:t>4</w:t>
      </w:r>
      <w:r>
        <w:rPr>
          <w:rFonts w:hint="eastAsia" w:ascii="Times New Roman" w:hAnsi="Times New Roman" w:cs="Times New Roman"/>
          <w:highlight w:val="none"/>
          <w:lang w:val="en-US" w:eastAsia="zh-CN"/>
        </w:rPr>
        <w:t>.1</w:t>
      </w:r>
      <w:r>
        <w:rPr>
          <w:rFonts w:hint="eastAsia" w:hAnsi="宋体"/>
          <w:szCs w:val="21"/>
          <w:lang w:val="en-US" w:eastAsia="zh-CN"/>
        </w:rPr>
        <w:t xml:space="preserve"> NVR</w:t>
      </w:r>
      <w:r>
        <w:tab/>
      </w:r>
      <w:r>
        <w:fldChar w:fldCharType="begin"/>
      </w:r>
      <w:r>
        <w:instrText xml:space="preserve"> PAGEREF _Toc25174 \h </w:instrText>
      </w:r>
      <w:r>
        <w:fldChar w:fldCharType="separate"/>
      </w:r>
      <w:r>
        <w:t>8</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_Toc11354 </w:instrText>
      </w:r>
      <w:r>
        <w:rPr>
          <w:rFonts w:hint="eastAsia" w:ascii="黑体" w:eastAsia="黑体"/>
          <w:szCs w:val="21"/>
        </w:rPr>
        <w:fldChar w:fldCharType="separate"/>
      </w:r>
      <w:r>
        <w:rPr>
          <w:rFonts w:hint="eastAsia" w:cs="Times New Roman"/>
          <w:highlight w:val="none"/>
          <w:lang w:val="en-US" w:eastAsia="zh-CN"/>
        </w:rPr>
        <w:t>4</w:t>
      </w:r>
      <w:r>
        <w:rPr>
          <w:rFonts w:hint="eastAsia" w:ascii="Times New Roman" w:hAnsi="Times New Roman" w:cs="Times New Roman"/>
          <w:highlight w:val="none"/>
          <w:lang w:val="en-US" w:eastAsia="zh-CN"/>
        </w:rPr>
        <w:t>.2</w:t>
      </w:r>
      <w:r>
        <w:rPr>
          <w:rFonts w:hint="eastAsia" w:ascii="宋体" w:hAnsi="宋体" w:cs="宋体"/>
          <w:kern w:val="0"/>
          <w:szCs w:val="21"/>
        </w:rPr>
        <w:t>安全网关</w:t>
      </w:r>
      <w:r>
        <w:tab/>
      </w:r>
      <w:r>
        <w:fldChar w:fldCharType="begin"/>
      </w:r>
      <w:r>
        <w:instrText xml:space="preserve"> PAGEREF _Toc11354 \h </w:instrText>
      </w:r>
      <w:r>
        <w:fldChar w:fldCharType="separate"/>
      </w:r>
      <w:r>
        <w:t>9</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_Toc18692 </w:instrText>
      </w:r>
      <w:r>
        <w:rPr>
          <w:rFonts w:hint="eastAsia" w:ascii="黑体" w:eastAsia="黑体"/>
          <w:szCs w:val="21"/>
        </w:rPr>
        <w:fldChar w:fldCharType="separate"/>
      </w:r>
      <w:r>
        <w:rPr>
          <w:rFonts w:hint="eastAsia" w:cs="Times New Roman"/>
          <w:highlight w:val="none"/>
          <w:lang w:val="en-US" w:eastAsia="zh-CN"/>
        </w:rPr>
        <w:t>4</w:t>
      </w:r>
      <w:r>
        <w:rPr>
          <w:rFonts w:hint="eastAsia" w:ascii="Times New Roman" w:hAnsi="Times New Roman" w:cs="Times New Roman"/>
          <w:highlight w:val="none"/>
          <w:lang w:val="en-US" w:eastAsia="zh-CN"/>
        </w:rPr>
        <w:t>.3</w:t>
      </w:r>
      <w:r>
        <w:rPr>
          <w:rFonts w:hint="eastAsia" w:hAnsi="宋体" w:cs="宋体"/>
          <w:bCs w:val="0"/>
          <w:kern w:val="0"/>
          <w:szCs w:val="21"/>
          <w:lang w:val="en-US" w:eastAsia="zh-CN" w:bidi="ar-SA"/>
        </w:rPr>
        <w:t>核心</w:t>
      </w:r>
      <w:r>
        <w:rPr>
          <w:rFonts w:hint="eastAsia" w:ascii="宋体" w:hAnsi="宋体" w:cs="宋体"/>
          <w:bCs w:val="0"/>
          <w:kern w:val="0"/>
          <w:szCs w:val="21"/>
          <w:lang w:val="en-US" w:eastAsia="zh-CN" w:bidi="ar-SA"/>
        </w:rPr>
        <w:t>交换机</w:t>
      </w:r>
      <w:r>
        <w:tab/>
      </w:r>
      <w:r>
        <w:fldChar w:fldCharType="begin"/>
      </w:r>
      <w:r>
        <w:instrText xml:space="preserve"> PAGEREF _Toc18692 \h </w:instrText>
      </w:r>
      <w:r>
        <w:fldChar w:fldCharType="separate"/>
      </w:r>
      <w:r>
        <w:t>9</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_Toc18582 </w:instrText>
      </w:r>
      <w:r>
        <w:rPr>
          <w:rFonts w:hint="eastAsia" w:ascii="黑体" w:eastAsia="黑体"/>
          <w:szCs w:val="21"/>
        </w:rPr>
        <w:fldChar w:fldCharType="separate"/>
      </w:r>
      <w:r>
        <w:rPr>
          <w:rFonts w:hint="eastAsia" w:cs="Times New Roman"/>
          <w:highlight w:val="none"/>
          <w:lang w:val="en-US" w:eastAsia="zh-CN"/>
        </w:rPr>
        <w:t>4</w:t>
      </w:r>
      <w:r>
        <w:rPr>
          <w:rFonts w:hint="eastAsia" w:ascii="Times New Roman" w:hAnsi="Times New Roman" w:cs="Times New Roman"/>
          <w:highlight w:val="none"/>
          <w:lang w:val="en-US" w:eastAsia="zh-CN"/>
        </w:rPr>
        <w:t>.4</w:t>
      </w:r>
      <w:r>
        <w:rPr>
          <w:rFonts w:hint="eastAsia" w:hAnsi="宋体" w:cs="宋体"/>
          <w:kern w:val="0"/>
          <w:szCs w:val="21"/>
          <w:lang w:val="en-US" w:eastAsia="zh-CN"/>
        </w:rPr>
        <w:t>汇聚交换机</w:t>
      </w:r>
      <w:r>
        <w:tab/>
      </w:r>
      <w:r>
        <w:fldChar w:fldCharType="begin"/>
      </w:r>
      <w:r>
        <w:instrText xml:space="preserve"> PAGEREF _Toc18582 \h </w:instrText>
      </w:r>
      <w:r>
        <w:fldChar w:fldCharType="separate"/>
      </w:r>
      <w:r>
        <w:t>12</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_Toc14371 </w:instrText>
      </w:r>
      <w:r>
        <w:rPr>
          <w:rFonts w:hint="eastAsia" w:ascii="黑体" w:eastAsia="黑体"/>
          <w:szCs w:val="21"/>
        </w:rPr>
        <w:fldChar w:fldCharType="separate"/>
      </w:r>
      <w:r>
        <w:rPr>
          <w:rFonts w:hint="eastAsia" w:cs="Times New Roman"/>
          <w:highlight w:val="none"/>
          <w:lang w:val="en-US" w:eastAsia="zh-CN"/>
        </w:rPr>
        <w:t>4</w:t>
      </w:r>
      <w:r>
        <w:rPr>
          <w:rFonts w:hint="eastAsia" w:ascii="Times New Roman" w:hAnsi="Times New Roman" w:cs="Times New Roman"/>
          <w:highlight w:val="none"/>
          <w:lang w:val="en-US" w:eastAsia="zh-CN"/>
        </w:rPr>
        <w:t>.5</w:t>
      </w:r>
      <w:r>
        <w:rPr>
          <w:rFonts w:hint="eastAsia" w:hAnsi="宋体" w:cs="宋体"/>
          <w:bCs w:val="0"/>
          <w:kern w:val="0"/>
          <w:szCs w:val="21"/>
          <w:lang w:val="en-US" w:eastAsia="zh-CN" w:bidi="ar-SA"/>
        </w:rPr>
        <w:t>区域通讯单元</w:t>
      </w:r>
      <w:r>
        <w:tab/>
      </w:r>
      <w:r>
        <w:fldChar w:fldCharType="begin"/>
      </w:r>
      <w:r>
        <w:instrText xml:space="preserve"> PAGEREF _Toc14371 \h </w:instrText>
      </w:r>
      <w:r>
        <w:fldChar w:fldCharType="separate"/>
      </w:r>
      <w:r>
        <w:t>15</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_Toc4577 </w:instrText>
      </w:r>
      <w:r>
        <w:rPr>
          <w:rFonts w:hint="eastAsia" w:ascii="黑体" w:eastAsia="黑体"/>
          <w:szCs w:val="21"/>
        </w:rPr>
        <w:fldChar w:fldCharType="separate"/>
      </w:r>
      <w:r>
        <w:rPr>
          <w:rFonts w:hint="eastAsia"/>
          <w:highlight w:val="none"/>
          <w:lang w:val="en-US" w:eastAsia="zh-CN"/>
        </w:rPr>
        <w:t>5</w:t>
      </w:r>
      <w:r>
        <w:rPr>
          <w:highlight w:val="none"/>
        </w:rPr>
        <w:t xml:space="preserve"> </w:t>
      </w:r>
      <w:r>
        <w:rPr>
          <w:rFonts w:eastAsia="黑体"/>
          <w:szCs w:val="21"/>
          <w:highlight w:val="none"/>
        </w:rPr>
        <w:t>试验</w:t>
      </w:r>
      <w:r>
        <w:tab/>
      </w:r>
      <w:r>
        <w:fldChar w:fldCharType="begin"/>
      </w:r>
      <w:r>
        <w:instrText xml:space="preserve"> PAGEREF _Toc4577 \h </w:instrText>
      </w:r>
      <w:r>
        <w:fldChar w:fldCharType="separate"/>
      </w:r>
      <w:r>
        <w:t>17</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_Toc29156 </w:instrText>
      </w:r>
      <w:r>
        <w:rPr>
          <w:rFonts w:hint="eastAsia" w:ascii="黑体" w:eastAsia="黑体"/>
          <w:szCs w:val="21"/>
        </w:rPr>
        <w:fldChar w:fldCharType="separate"/>
      </w:r>
      <w:r>
        <w:rPr>
          <w:rFonts w:hint="eastAsia"/>
          <w:highlight w:val="none"/>
          <w:lang w:val="en-US" w:eastAsia="zh-CN"/>
        </w:rPr>
        <w:t>5</w:t>
      </w:r>
      <w:r>
        <w:rPr>
          <w:highlight w:val="none"/>
        </w:rPr>
        <w:t>.1试验分类</w:t>
      </w:r>
      <w:r>
        <w:tab/>
      </w:r>
      <w:r>
        <w:fldChar w:fldCharType="begin"/>
      </w:r>
      <w:r>
        <w:instrText xml:space="preserve"> PAGEREF _Toc29156 \h </w:instrText>
      </w:r>
      <w:r>
        <w:fldChar w:fldCharType="separate"/>
      </w:r>
      <w:r>
        <w:t>18</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_Toc5848 </w:instrText>
      </w:r>
      <w:r>
        <w:rPr>
          <w:rFonts w:hint="eastAsia" w:ascii="黑体" w:eastAsia="黑体"/>
          <w:szCs w:val="21"/>
        </w:rPr>
        <w:fldChar w:fldCharType="separate"/>
      </w:r>
      <w:r>
        <w:rPr>
          <w:rFonts w:hint="eastAsia"/>
          <w:highlight w:val="none"/>
          <w:lang w:val="en-US" w:eastAsia="zh-CN"/>
        </w:rPr>
        <w:t>5</w:t>
      </w:r>
      <w:r>
        <w:rPr>
          <w:rFonts w:hint="eastAsia"/>
          <w:highlight w:val="none"/>
        </w:rPr>
        <w:t>.2试验条件</w:t>
      </w:r>
      <w:r>
        <w:tab/>
      </w:r>
      <w:r>
        <w:fldChar w:fldCharType="begin"/>
      </w:r>
      <w:r>
        <w:instrText xml:space="preserve"> PAGEREF _Toc5848 \h </w:instrText>
      </w:r>
      <w:r>
        <w:fldChar w:fldCharType="separate"/>
      </w:r>
      <w:r>
        <w:t>18</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_Toc29427 </w:instrText>
      </w:r>
      <w:r>
        <w:rPr>
          <w:rFonts w:hint="eastAsia" w:ascii="黑体" w:eastAsia="黑体"/>
          <w:szCs w:val="21"/>
        </w:rPr>
        <w:fldChar w:fldCharType="separate"/>
      </w:r>
      <w:r>
        <w:rPr>
          <w:rFonts w:hint="eastAsia"/>
          <w:highlight w:val="none"/>
          <w:lang w:val="en-US" w:eastAsia="zh-CN"/>
        </w:rPr>
        <w:t>5</w:t>
      </w:r>
      <w:r>
        <w:rPr>
          <w:rFonts w:hint="eastAsia"/>
          <w:highlight w:val="none"/>
        </w:rPr>
        <w:t>.3功能检验</w:t>
      </w:r>
      <w:r>
        <w:tab/>
      </w:r>
      <w:r>
        <w:fldChar w:fldCharType="begin"/>
      </w:r>
      <w:r>
        <w:instrText xml:space="preserve"> PAGEREF _Toc29427 \h </w:instrText>
      </w:r>
      <w:r>
        <w:fldChar w:fldCharType="separate"/>
      </w:r>
      <w:r>
        <w:t>18</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_Toc28653 </w:instrText>
      </w:r>
      <w:r>
        <w:rPr>
          <w:rFonts w:hint="eastAsia" w:ascii="黑体" w:eastAsia="黑体"/>
          <w:szCs w:val="21"/>
        </w:rPr>
        <w:fldChar w:fldCharType="separate"/>
      </w:r>
      <w:r>
        <w:rPr>
          <w:rFonts w:hint="eastAsia"/>
          <w:highlight w:val="none"/>
          <w:lang w:val="en-US" w:eastAsia="zh-CN"/>
        </w:rPr>
        <w:t>5</w:t>
      </w:r>
      <w:r>
        <w:rPr>
          <w:rFonts w:hint="eastAsia"/>
          <w:highlight w:val="none"/>
        </w:rPr>
        <w:t>.</w:t>
      </w:r>
      <w:r>
        <w:rPr>
          <w:rFonts w:hint="eastAsia"/>
          <w:highlight w:val="none"/>
          <w:lang w:val="en-US" w:eastAsia="zh-CN"/>
        </w:rPr>
        <w:t>4</w:t>
      </w:r>
      <w:r>
        <w:rPr>
          <w:rFonts w:hint="eastAsia"/>
          <w:highlight w:val="none"/>
        </w:rPr>
        <w:t>绝缘性能试验</w:t>
      </w:r>
      <w:r>
        <w:tab/>
      </w:r>
      <w:r>
        <w:fldChar w:fldCharType="begin"/>
      </w:r>
      <w:r>
        <w:instrText xml:space="preserve"> PAGEREF _Toc28653 \h </w:instrText>
      </w:r>
      <w:r>
        <w:fldChar w:fldCharType="separate"/>
      </w:r>
      <w:r>
        <w:t>18</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_Toc11917 </w:instrText>
      </w:r>
      <w:r>
        <w:rPr>
          <w:rFonts w:hint="eastAsia" w:ascii="黑体" w:eastAsia="黑体"/>
          <w:szCs w:val="21"/>
        </w:rPr>
        <w:fldChar w:fldCharType="separate"/>
      </w:r>
      <w:r>
        <w:rPr>
          <w:rFonts w:hint="eastAsia"/>
          <w:highlight w:val="none"/>
          <w:lang w:val="en-US" w:eastAsia="zh-CN"/>
        </w:rPr>
        <w:t>5</w:t>
      </w:r>
      <w:r>
        <w:rPr>
          <w:rFonts w:hint="eastAsia"/>
          <w:highlight w:val="none"/>
        </w:rPr>
        <w:t>.</w:t>
      </w:r>
      <w:r>
        <w:rPr>
          <w:rFonts w:hint="eastAsia"/>
          <w:highlight w:val="none"/>
          <w:lang w:val="en-US" w:eastAsia="zh-CN"/>
        </w:rPr>
        <w:t>5</w:t>
      </w:r>
      <w:r>
        <w:rPr>
          <w:rFonts w:hint="eastAsia"/>
          <w:highlight w:val="none"/>
        </w:rPr>
        <w:t>电磁兼容试验</w:t>
      </w:r>
      <w:r>
        <w:tab/>
      </w:r>
      <w:r>
        <w:fldChar w:fldCharType="begin"/>
      </w:r>
      <w:r>
        <w:instrText xml:space="preserve"> PAGEREF _Toc11917 \h </w:instrText>
      </w:r>
      <w:r>
        <w:fldChar w:fldCharType="separate"/>
      </w:r>
      <w:r>
        <w:t>19</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_Toc21942 </w:instrText>
      </w:r>
      <w:r>
        <w:rPr>
          <w:rFonts w:hint="eastAsia" w:ascii="黑体" w:eastAsia="黑体"/>
          <w:szCs w:val="21"/>
        </w:rPr>
        <w:fldChar w:fldCharType="separate"/>
      </w:r>
      <w:r>
        <w:rPr>
          <w:rFonts w:hint="eastAsia"/>
          <w:highlight w:val="none"/>
          <w:lang w:val="en-US" w:eastAsia="zh-CN"/>
        </w:rPr>
        <w:t>5</w:t>
      </w:r>
      <w:r>
        <w:rPr>
          <w:rFonts w:hint="eastAsia"/>
          <w:highlight w:val="none"/>
        </w:rPr>
        <w:t>.</w:t>
      </w:r>
      <w:r>
        <w:rPr>
          <w:rFonts w:hint="eastAsia"/>
          <w:highlight w:val="none"/>
          <w:lang w:val="en-US" w:eastAsia="zh-CN"/>
        </w:rPr>
        <w:t>6</w:t>
      </w:r>
      <w:r>
        <w:rPr>
          <w:rFonts w:hint="eastAsia"/>
          <w:highlight w:val="none"/>
        </w:rPr>
        <w:t>环境适应性能试验</w:t>
      </w:r>
      <w:r>
        <w:tab/>
      </w:r>
      <w:r>
        <w:fldChar w:fldCharType="begin"/>
      </w:r>
      <w:r>
        <w:instrText xml:space="preserve"> PAGEREF _Toc21942 \h </w:instrText>
      </w:r>
      <w:r>
        <w:fldChar w:fldCharType="separate"/>
      </w:r>
      <w:r>
        <w:t>20</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_Toc27665 </w:instrText>
      </w:r>
      <w:r>
        <w:rPr>
          <w:rFonts w:hint="eastAsia" w:ascii="黑体" w:eastAsia="黑体"/>
          <w:szCs w:val="21"/>
        </w:rPr>
        <w:fldChar w:fldCharType="separate"/>
      </w:r>
      <w:r>
        <w:rPr>
          <w:rFonts w:hint="eastAsia"/>
          <w:highlight w:val="none"/>
          <w:lang w:val="en-US" w:eastAsia="zh-CN"/>
        </w:rPr>
        <w:t>5</w:t>
      </w:r>
      <w:r>
        <w:rPr>
          <w:rFonts w:hint="eastAsia"/>
          <w:highlight w:val="none"/>
        </w:rPr>
        <w:t>.</w:t>
      </w:r>
      <w:r>
        <w:rPr>
          <w:rFonts w:hint="eastAsia"/>
          <w:highlight w:val="none"/>
          <w:lang w:val="en-US" w:eastAsia="zh-CN"/>
        </w:rPr>
        <w:t>7</w:t>
      </w:r>
      <w:r>
        <w:rPr>
          <w:rFonts w:hint="eastAsia"/>
          <w:highlight w:val="none"/>
        </w:rPr>
        <w:t>机械性能试验</w:t>
      </w:r>
      <w:r>
        <w:tab/>
      </w:r>
      <w:r>
        <w:fldChar w:fldCharType="begin"/>
      </w:r>
      <w:r>
        <w:instrText xml:space="preserve"> PAGEREF _Toc27665 \h </w:instrText>
      </w:r>
      <w:r>
        <w:fldChar w:fldCharType="separate"/>
      </w:r>
      <w:r>
        <w:t>20</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_Toc9899 </w:instrText>
      </w:r>
      <w:r>
        <w:rPr>
          <w:rFonts w:hint="eastAsia" w:ascii="黑体" w:eastAsia="黑体"/>
          <w:szCs w:val="21"/>
        </w:rPr>
        <w:fldChar w:fldCharType="separate"/>
      </w:r>
      <w:r>
        <w:rPr>
          <w:rFonts w:hint="eastAsia" w:cs="Times New Roman"/>
          <w:highlight w:val="none"/>
          <w:lang w:val="en-US" w:eastAsia="zh-CN"/>
        </w:rPr>
        <w:t>5</w:t>
      </w:r>
      <w:r>
        <w:rPr>
          <w:rFonts w:hint="eastAsia" w:ascii="Times New Roman" w:hAnsi="Times New Roman" w:cs="Times New Roman"/>
          <w:highlight w:val="none"/>
        </w:rPr>
        <w:t>.</w:t>
      </w:r>
      <w:r>
        <w:rPr>
          <w:rFonts w:hint="eastAsia" w:cs="Times New Roman"/>
          <w:highlight w:val="none"/>
          <w:lang w:val="en-US" w:eastAsia="zh-CN"/>
        </w:rPr>
        <w:t>8</w:t>
      </w:r>
      <w:r>
        <w:rPr>
          <w:rFonts w:hint="eastAsia" w:ascii="Times New Roman" w:hAnsi="Times New Roman" w:cs="Times New Roman"/>
          <w:highlight w:val="none"/>
        </w:rPr>
        <w:t>功耗试验</w:t>
      </w:r>
      <w:r>
        <w:tab/>
      </w:r>
      <w:r>
        <w:fldChar w:fldCharType="begin"/>
      </w:r>
      <w:r>
        <w:instrText xml:space="preserve"> PAGEREF _Toc9899 \h </w:instrText>
      </w:r>
      <w:r>
        <w:fldChar w:fldCharType="separate"/>
      </w:r>
      <w:r>
        <w:t>21</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_Toc23112 </w:instrText>
      </w:r>
      <w:r>
        <w:rPr>
          <w:rFonts w:hint="eastAsia" w:ascii="黑体" w:eastAsia="黑体"/>
          <w:szCs w:val="21"/>
        </w:rPr>
        <w:fldChar w:fldCharType="separate"/>
      </w:r>
      <w:r>
        <w:rPr>
          <w:rFonts w:hint="eastAsia"/>
          <w:highlight w:val="none"/>
          <w:lang w:val="en-US" w:eastAsia="zh-CN"/>
        </w:rPr>
        <w:t>5</w:t>
      </w:r>
      <w:r>
        <w:rPr>
          <w:rFonts w:hint="eastAsia"/>
          <w:highlight w:val="none"/>
        </w:rPr>
        <w:t>.</w:t>
      </w:r>
      <w:r>
        <w:rPr>
          <w:rFonts w:hint="eastAsia"/>
          <w:highlight w:val="none"/>
          <w:lang w:val="en-US" w:eastAsia="zh-CN"/>
        </w:rPr>
        <w:t>9</w:t>
      </w:r>
      <w:r>
        <w:rPr>
          <w:rFonts w:hint="eastAsia"/>
          <w:highlight w:val="none"/>
        </w:rPr>
        <w:t>外观和结构检查</w:t>
      </w:r>
      <w:r>
        <w:tab/>
      </w:r>
      <w:r>
        <w:fldChar w:fldCharType="begin"/>
      </w:r>
      <w:r>
        <w:instrText xml:space="preserve"> PAGEREF _Toc23112 \h </w:instrText>
      </w:r>
      <w:r>
        <w:fldChar w:fldCharType="separate"/>
      </w:r>
      <w:r>
        <w:t>21</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_Toc16354 </w:instrText>
      </w:r>
      <w:r>
        <w:rPr>
          <w:rFonts w:hint="eastAsia" w:ascii="黑体" w:eastAsia="黑体"/>
          <w:szCs w:val="21"/>
        </w:rPr>
        <w:fldChar w:fldCharType="separate"/>
      </w:r>
      <w:r>
        <w:rPr>
          <w:rFonts w:hint="eastAsia"/>
          <w:highlight w:val="none"/>
          <w:lang w:val="en-US" w:eastAsia="zh-CN"/>
        </w:rPr>
        <w:t>5</w:t>
      </w:r>
      <w:r>
        <w:rPr>
          <w:rFonts w:hint="eastAsia"/>
          <w:highlight w:val="none"/>
        </w:rPr>
        <w:t>.</w:t>
      </w:r>
      <w:r>
        <w:rPr>
          <w:rFonts w:hint="eastAsia"/>
          <w:highlight w:val="none"/>
          <w:lang w:val="en-US" w:eastAsia="zh-CN"/>
        </w:rPr>
        <w:t>10</w:t>
      </w:r>
      <w:r>
        <w:rPr>
          <w:rFonts w:hint="eastAsia"/>
          <w:highlight w:val="none"/>
        </w:rPr>
        <w:t>防护等级试验</w:t>
      </w:r>
      <w:r>
        <w:tab/>
      </w:r>
      <w:r>
        <w:fldChar w:fldCharType="begin"/>
      </w:r>
      <w:r>
        <w:instrText xml:space="preserve"> PAGEREF _Toc16354 \h </w:instrText>
      </w:r>
      <w:r>
        <w:fldChar w:fldCharType="separate"/>
      </w:r>
      <w:r>
        <w:t>22</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_Toc19895 </w:instrText>
      </w:r>
      <w:r>
        <w:rPr>
          <w:rFonts w:hint="eastAsia" w:ascii="黑体" w:eastAsia="黑体"/>
          <w:szCs w:val="21"/>
        </w:rPr>
        <w:fldChar w:fldCharType="separate"/>
      </w:r>
      <w:r>
        <w:rPr>
          <w:rFonts w:hint="eastAsia"/>
          <w:highlight w:val="none"/>
          <w:lang w:val="en-US" w:eastAsia="zh-CN"/>
        </w:rPr>
        <w:t xml:space="preserve">5.11 </w:t>
      </w:r>
      <w:r>
        <w:rPr>
          <w:rFonts w:hint="default"/>
          <w:highlight w:val="none"/>
        </w:rPr>
        <w:t>连续</w:t>
      </w:r>
      <w:r>
        <w:rPr>
          <w:rFonts w:hint="eastAsia"/>
          <w:highlight w:val="none"/>
        </w:rPr>
        <w:t>通电</w:t>
      </w:r>
      <w:r>
        <w:rPr>
          <w:highlight w:val="none"/>
        </w:rPr>
        <w:t>试验</w:t>
      </w:r>
      <w:r>
        <w:tab/>
      </w:r>
      <w:r>
        <w:fldChar w:fldCharType="begin"/>
      </w:r>
      <w:r>
        <w:instrText xml:space="preserve"> PAGEREF _Toc19895 \h </w:instrText>
      </w:r>
      <w:r>
        <w:fldChar w:fldCharType="separate"/>
      </w:r>
      <w:r>
        <w:t>22</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_Toc26753 </w:instrText>
      </w:r>
      <w:r>
        <w:rPr>
          <w:rFonts w:hint="eastAsia" w:ascii="黑体" w:eastAsia="黑体"/>
          <w:szCs w:val="21"/>
        </w:rPr>
        <w:fldChar w:fldCharType="separate"/>
      </w:r>
      <w:r>
        <w:rPr>
          <w:rFonts w:hint="eastAsia" w:ascii="黑体" w:hAnsi="黑体" w:eastAsia="黑体"/>
          <w:szCs w:val="21"/>
          <w:lang w:val="en-US" w:eastAsia="zh-CN"/>
        </w:rPr>
        <w:t xml:space="preserve">6 </w:t>
      </w:r>
      <w:r>
        <w:rPr>
          <w:rFonts w:hint="eastAsia" w:ascii="黑体" w:hAnsi="黑体" w:eastAsia="黑体"/>
          <w:szCs w:val="21"/>
          <w:highlight w:val="none"/>
          <w:lang w:val="en-US" w:eastAsia="zh-CN"/>
        </w:rPr>
        <w:t>检验规则</w:t>
      </w:r>
      <w:r>
        <w:tab/>
      </w:r>
      <w:r>
        <w:fldChar w:fldCharType="begin"/>
      </w:r>
      <w:r>
        <w:instrText xml:space="preserve"> PAGEREF _Toc26753 \h </w:instrText>
      </w:r>
      <w:r>
        <w:fldChar w:fldCharType="separate"/>
      </w:r>
      <w:r>
        <w:t>22</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_Toc2742 </w:instrText>
      </w:r>
      <w:r>
        <w:rPr>
          <w:rFonts w:hint="eastAsia" w:ascii="黑体" w:eastAsia="黑体"/>
          <w:szCs w:val="21"/>
        </w:rPr>
        <w:fldChar w:fldCharType="separate"/>
      </w:r>
      <w:r>
        <w:rPr>
          <w:rFonts w:hint="eastAsia" w:ascii="黑体" w:hAnsi="黑体"/>
          <w:lang w:val="en-US" w:eastAsia="zh-CN"/>
        </w:rPr>
        <w:t>6.1</w:t>
      </w:r>
      <w:r>
        <w:rPr>
          <w:rFonts w:hint="eastAsia" w:ascii="黑体" w:hAnsi="黑体"/>
        </w:rPr>
        <w:t>型式试验项目</w:t>
      </w:r>
      <w:r>
        <w:tab/>
      </w:r>
      <w:r>
        <w:fldChar w:fldCharType="begin"/>
      </w:r>
      <w:r>
        <w:instrText xml:space="preserve"> PAGEREF _Toc2742 \h </w:instrText>
      </w:r>
      <w:r>
        <w:fldChar w:fldCharType="separate"/>
      </w:r>
      <w:r>
        <w:t>22</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_Toc19976 </w:instrText>
      </w:r>
      <w:r>
        <w:rPr>
          <w:rFonts w:hint="eastAsia" w:ascii="黑体" w:eastAsia="黑体"/>
          <w:szCs w:val="21"/>
        </w:rPr>
        <w:fldChar w:fldCharType="separate"/>
      </w:r>
      <w:r>
        <w:rPr>
          <w:rFonts w:hint="eastAsia" w:ascii="黑体" w:hAnsi="黑体"/>
          <w:lang w:val="en-US" w:eastAsia="zh-CN"/>
        </w:rPr>
        <w:t>6</w:t>
      </w:r>
      <w:r>
        <w:rPr>
          <w:rFonts w:hint="eastAsia" w:ascii="黑体" w:hAnsi="黑体"/>
        </w:rPr>
        <w:t>.</w:t>
      </w:r>
      <w:r>
        <w:rPr>
          <w:rFonts w:hint="eastAsia" w:ascii="黑体" w:hAnsi="黑体"/>
          <w:lang w:val="en-US" w:eastAsia="zh-CN"/>
        </w:rPr>
        <w:t>2</w:t>
      </w:r>
      <w:r>
        <w:rPr>
          <w:rFonts w:hint="eastAsia" w:ascii="黑体" w:hAnsi="黑体"/>
        </w:rPr>
        <w:t xml:space="preserve"> 出厂试验</w:t>
      </w:r>
      <w:r>
        <w:tab/>
      </w:r>
      <w:r>
        <w:fldChar w:fldCharType="begin"/>
      </w:r>
      <w:r>
        <w:instrText xml:space="preserve"> PAGEREF _Toc19976 \h </w:instrText>
      </w:r>
      <w:r>
        <w:fldChar w:fldCharType="separate"/>
      </w:r>
      <w:r>
        <w:t>22</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_Toc16685 </w:instrText>
      </w:r>
      <w:r>
        <w:rPr>
          <w:rFonts w:hint="eastAsia" w:ascii="黑体" w:eastAsia="黑体"/>
          <w:szCs w:val="21"/>
        </w:rPr>
        <w:fldChar w:fldCharType="separate"/>
      </w:r>
      <w:r>
        <w:rPr>
          <w:rFonts w:hint="eastAsia" w:ascii="黑体" w:hAnsi="黑体"/>
          <w:lang w:val="en-US" w:eastAsia="zh-CN"/>
        </w:rPr>
        <w:t>6.3</w:t>
      </w:r>
      <w:r>
        <w:rPr>
          <w:rFonts w:hint="eastAsia" w:ascii="黑体" w:hAnsi="黑体"/>
        </w:rPr>
        <w:t xml:space="preserve"> </w:t>
      </w:r>
      <w:r>
        <w:rPr>
          <w:rFonts w:hint="eastAsia" w:ascii="黑体" w:hAnsi="黑体"/>
          <w:lang w:val="en-US" w:eastAsia="zh-CN"/>
        </w:rPr>
        <w:t>到货</w:t>
      </w:r>
      <w:r>
        <w:rPr>
          <w:rFonts w:hint="eastAsia" w:ascii="黑体" w:hAnsi="黑体"/>
        </w:rPr>
        <w:t>检验</w:t>
      </w:r>
      <w:r>
        <w:tab/>
      </w:r>
      <w:r>
        <w:fldChar w:fldCharType="begin"/>
      </w:r>
      <w:r>
        <w:instrText xml:space="preserve"> PAGEREF _Toc16685 \h </w:instrText>
      </w:r>
      <w:r>
        <w:fldChar w:fldCharType="separate"/>
      </w:r>
      <w:r>
        <w:t>23</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_Toc16287 </w:instrText>
      </w:r>
      <w:r>
        <w:rPr>
          <w:rFonts w:hint="eastAsia" w:ascii="黑体" w:eastAsia="黑体"/>
          <w:szCs w:val="21"/>
        </w:rPr>
        <w:fldChar w:fldCharType="separate"/>
      </w:r>
      <w:r>
        <w:rPr>
          <w:rFonts w:hint="eastAsia" w:ascii="黑体" w:hAnsi="黑体" w:cs="Times New Roman"/>
          <w:lang w:val="en-US" w:eastAsia="zh-CN"/>
        </w:rPr>
        <w:t>6.4 检验规则</w:t>
      </w:r>
      <w:r>
        <w:tab/>
      </w:r>
      <w:r>
        <w:fldChar w:fldCharType="begin"/>
      </w:r>
      <w:r>
        <w:instrText xml:space="preserve"> PAGEREF _Toc16287 \h </w:instrText>
      </w:r>
      <w:r>
        <w:fldChar w:fldCharType="separate"/>
      </w:r>
      <w:r>
        <w:t>23</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_Toc20245 </w:instrText>
      </w:r>
      <w:r>
        <w:rPr>
          <w:rFonts w:hint="eastAsia" w:ascii="黑体" w:eastAsia="黑体"/>
          <w:szCs w:val="21"/>
        </w:rPr>
        <w:fldChar w:fldCharType="separate"/>
      </w:r>
      <w:r>
        <w:rPr>
          <w:rFonts w:hint="eastAsia" w:eastAsia="黑体"/>
          <w:szCs w:val="21"/>
          <w:highlight w:val="none"/>
          <w:lang w:val="en-US" w:eastAsia="zh-CN"/>
        </w:rPr>
        <w:t>7</w:t>
      </w:r>
      <w:r>
        <w:rPr>
          <w:rFonts w:eastAsia="黑体"/>
          <w:szCs w:val="21"/>
          <w:highlight w:val="none"/>
        </w:rPr>
        <w:t xml:space="preserve"> 产品对环境的影响</w:t>
      </w:r>
      <w:r>
        <w:tab/>
      </w:r>
      <w:r>
        <w:fldChar w:fldCharType="begin"/>
      </w:r>
      <w:r>
        <w:instrText xml:space="preserve"> PAGEREF _Toc20245 \h </w:instrText>
      </w:r>
      <w:r>
        <w:fldChar w:fldCharType="separate"/>
      </w:r>
      <w:r>
        <w:t>24</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_Toc2308 </w:instrText>
      </w:r>
      <w:r>
        <w:rPr>
          <w:rFonts w:hint="eastAsia" w:ascii="黑体" w:eastAsia="黑体"/>
          <w:szCs w:val="21"/>
        </w:rPr>
        <w:fldChar w:fldCharType="separate"/>
      </w:r>
      <w:r>
        <w:rPr>
          <w:rFonts w:hint="eastAsia" w:eastAsia="黑体"/>
          <w:szCs w:val="21"/>
          <w:highlight w:val="none"/>
          <w:lang w:val="en-US" w:eastAsia="zh-CN"/>
        </w:rPr>
        <w:t>8</w:t>
      </w:r>
      <w:r>
        <w:rPr>
          <w:rFonts w:eastAsia="黑体"/>
          <w:szCs w:val="21"/>
          <w:highlight w:val="none"/>
        </w:rPr>
        <w:t xml:space="preserve"> 技术文件要求</w:t>
      </w:r>
      <w:r>
        <w:tab/>
      </w:r>
      <w:r>
        <w:fldChar w:fldCharType="begin"/>
      </w:r>
      <w:r>
        <w:instrText xml:space="preserve"> PAGEREF _Toc2308 \h </w:instrText>
      </w:r>
      <w:r>
        <w:fldChar w:fldCharType="separate"/>
      </w:r>
      <w:r>
        <w:t>24</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_Toc18485 </w:instrText>
      </w:r>
      <w:r>
        <w:rPr>
          <w:rFonts w:hint="eastAsia" w:ascii="黑体" w:eastAsia="黑体"/>
          <w:szCs w:val="21"/>
        </w:rPr>
        <w:fldChar w:fldCharType="separate"/>
      </w:r>
      <w:r>
        <w:rPr>
          <w:rFonts w:hint="eastAsia" w:eastAsia="黑体"/>
          <w:szCs w:val="21"/>
          <w:highlight w:val="none"/>
          <w:lang w:val="en-US" w:eastAsia="zh-CN"/>
        </w:rPr>
        <w:t>9</w:t>
      </w:r>
      <w:r>
        <w:rPr>
          <w:rFonts w:eastAsia="黑体"/>
          <w:szCs w:val="21"/>
          <w:highlight w:val="none"/>
        </w:rPr>
        <w:t xml:space="preserve"> 标识、包装、储存、运输、安装及质量保证</w:t>
      </w:r>
      <w:r>
        <w:tab/>
      </w:r>
      <w:r>
        <w:fldChar w:fldCharType="begin"/>
      </w:r>
      <w:r>
        <w:instrText xml:space="preserve"> PAGEREF _Toc18485 \h </w:instrText>
      </w:r>
      <w:r>
        <w:fldChar w:fldCharType="separate"/>
      </w:r>
      <w:r>
        <w:t>25</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_Toc4567 </w:instrText>
      </w:r>
      <w:r>
        <w:rPr>
          <w:rFonts w:hint="eastAsia" w:ascii="黑体" w:eastAsia="黑体"/>
          <w:szCs w:val="21"/>
        </w:rPr>
        <w:fldChar w:fldCharType="separate"/>
      </w:r>
      <w:r>
        <w:rPr>
          <w:rFonts w:hint="eastAsia"/>
          <w:highlight w:val="none"/>
          <w:lang w:val="en-US" w:eastAsia="zh-CN"/>
        </w:rPr>
        <w:t>9</w:t>
      </w:r>
      <w:r>
        <w:rPr>
          <w:highlight w:val="none"/>
        </w:rPr>
        <w:t>.1标识</w:t>
      </w:r>
      <w:r>
        <w:tab/>
      </w:r>
      <w:r>
        <w:fldChar w:fldCharType="begin"/>
      </w:r>
      <w:r>
        <w:instrText xml:space="preserve"> PAGEREF _Toc4567 \h </w:instrText>
      </w:r>
      <w:r>
        <w:fldChar w:fldCharType="separate"/>
      </w:r>
      <w:r>
        <w:t>25</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_Toc29887 </w:instrText>
      </w:r>
      <w:r>
        <w:rPr>
          <w:rFonts w:hint="eastAsia" w:ascii="黑体" w:eastAsia="黑体"/>
          <w:szCs w:val="21"/>
        </w:rPr>
        <w:fldChar w:fldCharType="separate"/>
      </w:r>
      <w:r>
        <w:rPr>
          <w:rFonts w:hint="eastAsia"/>
          <w:highlight w:val="none"/>
          <w:lang w:val="en-US" w:eastAsia="zh-CN"/>
        </w:rPr>
        <w:t>9</w:t>
      </w:r>
      <w:r>
        <w:rPr>
          <w:highlight w:val="none"/>
        </w:rPr>
        <w:t>.2包装</w:t>
      </w:r>
      <w:r>
        <w:tab/>
      </w:r>
      <w:r>
        <w:fldChar w:fldCharType="begin"/>
      </w:r>
      <w:r>
        <w:instrText xml:space="preserve"> PAGEREF _Toc29887 \h </w:instrText>
      </w:r>
      <w:r>
        <w:fldChar w:fldCharType="separate"/>
      </w:r>
      <w:r>
        <w:t>25</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_Toc19538 </w:instrText>
      </w:r>
      <w:r>
        <w:rPr>
          <w:rFonts w:hint="eastAsia" w:ascii="黑体" w:eastAsia="黑体"/>
          <w:szCs w:val="21"/>
        </w:rPr>
        <w:fldChar w:fldCharType="separate"/>
      </w:r>
      <w:r>
        <w:rPr>
          <w:rFonts w:hint="eastAsia"/>
          <w:highlight w:val="none"/>
          <w:lang w:val="en-US" w:eastAsia="zh-CN"/>
        </w:rPr>
        <w:t>9</w:t>
      </w:r>
      <w:r>
        <w:rPr>
          <w:highlight w:val="none"/>
        </w:rPr>
        <w:t>.3储存与运输</w:t>
      </w:r>
      <w:r>
        <w:tab/>
      </w:r>
      <w:r>
        <w:fldChar w:fldCharType="begin"/>
      </w:r>
      <w:r>
        <w:instrText xml:space="preserve"> PAGEREF _Toc19538 \h </w:instrText>
      </w:r>
      <w:r>
        <w:fldChar w:fldCharType="separate"/>
      </w:r>
      <w:r>
        <w:t>26</w:t>
      </w:r>
      <w:r>
        <w:fldChar w:fldCharType="end"/>
      </w:r>
      <w:r>
        <w:rPr>
          <w:rFonts w:hint="eastAsia" w:ascii="黑体" w:eastAsia="黑体"/>
          <w:szCs w:val="21"/>
        </w:rPr>
        <w:fldChar w:fldCharType="end"/>
      </w:r>
    </w:p>
    <w:p>
      <w:pPr>
        <w:pStyle w:val="10"/>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_Toc17831 </w:instrText>
      </w:r>
      <w:r>
        <w:rPr>
          <w:rFonts w:hint="eastAsia" w:ascii="黑体" w:eastAsia="黑体"/>
          <w:szCs w:val="21"/>
        </w:rPr>
        <w:fldChar w:fldCharType="separate"/>
      </w:r>
      <w:r>
        <w:rPr>
          <w:rFonts w:hint="eastAsia"/>
          <w:highlight w:val="none"/>
          <w:lang w:val="en-US" w:eastAsia="zh-CN"/>
        </w:rPr>
        <w:t>9</w:t>
      </w:r>
      <w:r>
        <w:rPr>
          <w:highlight w:val="none"/>
        </w:rPr>
        <w:t>.4安装指导</w:t>
      </w:r>
      <w:r>
        <w:tab/>
      </w:r>
      <w:r>
        <w:fldChar w:fldCharType="begin"/>
      </w:r>
      <w:r>
        <w:instrText xml:space="preserve"> PAGEREF _Toc17831 \h </w:instrText>
      </w:r>
      <w:r>
        <w:fldChar w:fldCharType="separate"/>
      </w:r>
      <w:r>
        <w:t>26</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_Toc5806 </w:instrText>
      </w:r>
      <w:r>
        <w:rPr>
          <w:rFonts w:hint="eastAsia" w:ascii="黑体" w:eastAsia="黑体"/>
          <w:szCs w:val="21"/>
        </w:rPr>
        <w:fldChar w:fldCharType="separate"/>
      </w:r>
      <w:r>
        <w:rPr>
          <w:rFonts w:ascii="Times New Roman" w:hAnsi="Times New Roman" w:eastAsia="黑体" w:cs="Times New Roman"/>
          <w:szCs w:val="21"/>
          <w:highlight w:val="none"/>
        </w:rPr>
        <w:t>1</w:t>
      </w:r>
      <w:r>
        <w:rPr>
          <w:rFonts w:hint="eastAsia" w:eastAsia="黑体" w:cs="Times New Roman"/>
          <w:szCs w:val="21"/>
          <w:highlight w:val="none"/>
          <w:lang w:val="en-US" w:eastAsia="zh-CN"/>
        </w:rPr>
        <w:t>0</w:t>
      </w:r>
      <w:r>
        <w:rPr>
          <w:rFonts w:ascii="Times New Roman" w:hAnsi="Times New Roman" w:eastAsia="黑体" w:cs="Times New Roman"/>
          <w:szCs w:val="21"/>
          <w:highlight w:val="none"/>
        </w:rPr>
        <w:t>质量保证</w:t>
      </w:r>
      <w:r>
        <w:tab/>
      </w:r>
      <w:r>
        <w:fldChar w:fldCharType="begin"/>
      </w:r>
      <w:r>
        <w:instrText xml:space="preserve"> PAGEREF _Toc5806 \h </w:instrText>
      </w:r>
      <w:r>
        <w:fldChar w:fldCharType="separate"/>
      </w:r>
      <w:r>
        <w:t>26</w:t>
      </w:r>
      <w:r>
        <w:fldChar w:fldCharType="end"/>
      </w:r>
      <w:r>
        <w:rPr>
          <w:rFonts w:hint="eastAsia" w:ascii="黑体" w:eastAsia="黑体"/>
          <w:szCs w:val="21"/>
        </w:rPr>
        <w:fldChar w:fldCharType="end"/>
      </w:r>
    </w:p>
    <w:p>
      <w:pPr>
        <w:pStyle w:val="9"/>
        <w:tabs>
          <w:tab w:val="right" w:leader="dot" w:pos="8306"/>
          <w:tab w:val="clear" w:pos="8705"/>
        </w:tabs>
      </w:pPr>
      <w:r>
        <w:rPr>
          <w:rFonts w:hint="eastAsia" w:ascii="黑体" w:eastAsia="黑体"/>
          <w:szCs w:val="21"/>
        </w:rPr>
        <w:fldChar w:fldCharType="begin"/>
      </w:r>
      <w:r>
        <w:rPr>
          <w:rFonts w:hint="eastAsia" w:ascii="黑体" w:eastAsia="黑体"/>
          <w:szCs w:val="21"/>
        </w:rPr>
        <w:instrText xml:space="preserve"> HYPERLINK \l _Toc29939 </w:instrText>
      </w:r>
      <w:r>
        <w:rPr>
          <w:rFonts w:hint="eastAsia" w:ascii="黑体" w:eastAsia="黑体"/>
          <w:szCs w:val="21"/>
        </w:rPr>
        <w:fldChar w:fldCharType="separate"/>
      </w:r>
      <w:r>
        <w:rPr>
          <w:rFonts w:hint="eastAsia" w:ascii="Times New Roman" w:hAnsi="Times New Roman" w:eastAsia="黑体" w:cs="Times New Roman"/>
          <w:szCs w:val="21"/>
          <w:highlight w:val="none"/>
          <w:lang w:val="en-US" w:eastAsia="zh-CN"/>
        </w:rPr>
        <w:t>1</w:t>
      </w:r>
      <w:r>
        <w:rPr>
          <w:rFonts w:hint="eastAsia" w:eastAsia="黑体" w:cs="Times New Roman"/>
          <w:szCs w:val="21"/>
          <w:highlight w:val="none"/>
          <w:lang w:val="en-US" w:eastAsia="zh-CN"/>
        </w:rPr>
        <w:t>1</w:t>
      </w:r>
      <w:r>
        <w:rPr>
          <w:rFonts w:ascii="Times New Roman" w:hAnsi="Times New Roman" w:eastAsia="黑体" w:cs="Times New Roman"/>
          <w:szCs w:val="21"/>
          <w:highlight w:val="none"/>
        </w:rPr>
        <w:t>其他</w:t>
      </w:r>
      <w:r>
        <w:tab/>
      </w:r>
      <w:r>
        <w:fldChar w:fldCharType="begin"/>
      </w:r>
      <w:r>
        <w:instrText xml:space="preserve"> PAGEREF _Toc29939 \h </w:instrText>
      </w:r>
      <w:r>
        <w:fldChar w:fldCharType="separate"/>
      </w:r>
      <w:r>
        <w:t>26</w:t>
      </w:r>
      <w:r>
        <w:fldChar w:fldCharType="end"/>
      </w:r>
      <w:r>
        <w:rPr>
          <w:rFonts w:hint="eastAsia" w:ascii="黑体" w:eastAsia="黑体"/>
          <w:szCs w:val="21"/>
        </w:rPr>
        <w:fldChar w:fldCharType="end"/>
      </w:r>
    </w:p>
    <w:p>
      <w:pPr>
        <w:pStyle w:val="9"/>
        <w:tabs>
          <w:tab w:val="right" w:leader="dot" w:pos="8306"/>
          <w:tab w:val="clear" w:pos="8705"/>
        </w:tabs>
        <w:rPr>
          <w:rFonts w:hint="eastAsia"/>
          <w:lang w:val="en-US" w:eastAsia="zh-CN"/>
        </w:rPr>
      </w:pPr>
      <w:r>
        <w:rPr>
          <w:rFonts w:hint="eastAsia" w:ascii="黑体" w:eastAsia="黑体"/>
          <w:szCs w:val="21"/>
        </w:rPr>
        <w:fldChar w:fldCharType="begin"/>
      </w:r>
      <w:r>
        <w:rPr>
          <w:rFonts w:hint="eastAsia" w:ascii="黑体" w:eastAsia="黑体"/>
          <w:szCs w:val="21"/>
        </w:rPr>
        <w:instrText xml:space="preserve"> HYPERLINK \l _Toc3269 </w:instrText>
      </w:r>
      <w:r>
        <w:rPr>
          <w:rFonts w:hint="eastAsia" w:ascii="黑体" w:eastAsia="黑体"/>
          <w:szCs w:val="21"/>
        </w:rPr>
        <w:fldChar w:fldCharType="separate"/>
      </w:r>
      <w:r>
        <w:rPr>
          <w:rFonts w:hint="eastAsia" w:ascii="Times New Roman" w:hAnsi="Times New Roman" w:eastAsia="黑体" w:cs="Times New Roman"/>
          <w:szCs w:val="21"/>
          <w:highlight w:val="none"/>
          <w:lang w:val="en-US" w:eastAsia="zh-CN"/>
        </w:rPr>
        <w:t>12 自主可控指标要求</w:t>
      </w:r>
      <w:r>
        <w:tab/>
      </w:r>
      <w:r>
        <w:fldChar w:fldCharType="begin"/>
      </w:r>
      <w:r>
        <w:instrText xml:space="preserve"> PAGEREF _Toc3269 \h </w:instrText>
      </w:r>
      <w:r>
        <w:fldChar w:fldCharType="separate"/>
      </w:r>
      <w:r>
        <w:t>27</w:t>
      </w:r>
      <w:r>
        <w:fldChar w:fldCharType="end"/>
      </w:r>
      <w:r>
        <w:rPr>
          <w:rFonts w:hint="eastAsia" w:ascii="黑体" w:eastAsia="黑体"/>
          <w:szCs w:val="21"/>
        </w:rPr>
        <w:fldChar w:fldCharType="end"/>
      </w:r>
      <w:r>
        <w:rPr>
          <w:rFonts w:hint="eastAsia" w:ascii="黑体" w:eastAsia="黑体"/>
          <w:szCs w:val="21"/>
        </w:rPr>
        <w:fldChar w:fldCharType="end"/>
      </w:r>
      <w:bookmarkStart w:id="0" w:name="_Toc52269043"/>
    </w:p>
    <w:p>
      <w:pPr>
        <w:pStyle w:val="3"/>
        <w:numPr>
          <w:ilvl w:val="0"/>
          <w:numId w:val="0"/>
        </w:numPr>
        <w:rPr>
          <w:rFonts w:hint="eastAsia" w:ascii="黑体" w:hAnsi="黑体" w:eastAsia="黑体"/>
          <w:bCs/>
          <w:sz w:val="24"/>
          <w:szCs w:val="24"/>
          <w:lang w:val="en-US" w:eastAsia="zh-CN"/>
        </w:rPr>
      </w:pPr>
      <w:bookmarkStart w:id="1" w:name="_Toc9733"/>
      <w:bookmarkStart w:id="2" w:name="_Toc384340975"/>
      <w:bookmarkStart w:id="3" w:name="_Toc20254"/>
      <w:bookmarkStart w:id="4" w:name="_Toc493712332"/>
      <w:bookmarkStart w:id="5" w:name="_Toc13184"/>
      <w:bookmarkStart w:id="6" w:name="_Toc17276"/>
      <w:bookmarkStart w:id="7" w:name="_Toc9732"/>
      <w:bookmarkStart w:id="8" w:name="_Toc4456"/>
      <w:bookmarkStart w:id="9" w:name="_Toc19906"/>
      <w:bookmarkStart w:id="10" w:name="_Toc52268885"/>
      <w:r>
        <w:rPr>
          <w:rFonts w:hint="eastAsia" w:ascii="黑体" w:hAnsi="黑体" w:eastAsia="黑体"/>
          <w:bCs/>
          <w:sz w:val="24"/>
          <w:szCs w:val="24"/>
          <w:lang w:val="en-US" w:eastAsia="zh-CN"/>
        </w:rPr>
        <w:t>1 总则</w:t>
      </w:r>
      <w:bookmarkEnd w:id="1"/>
      <w:bookmarkEnd w:id="2"/>
      <w:bookmarkEnd w:id="3"/>
      <w:bookmarkEnd w:id="4"/>
      <w:bookmarkEnd w:id="5"/>
      <w:bookmarkEnd w:id="6"/>
      <w:bookmarkEnd w:id="7"/>
      <w:bookmarkEnd w:id="8"/>
      <w:bookmarkEnd w:id="9"/>
      <w:bookmarkEnd w:id="10"/>
    </w:p>
    <w:p>
      <w:pPr>
        <w:adjustRightInd w:val="0"/>
        <w:snapToGrid w:val="0"/>
        <w:spacing w:line="360" w:lineRule="auto"/>
        <w:rPr>
          <w:rFonts w:hAnsi="宋体" w:cs="Times New Roman"/>
          <w:szCs w:val="24"/>
        </w:rPr>
      </w:pPr>
      <w:r>
        <w:rPr>
          <w:rFonts w:hint="eastAsia" w:ascii="黑体" w:hAnsi="黑体" w:eastAsia="黑体" w:cs="黑体"/>
          <w:szCs w:val="24"/>
        </w:rPr>
        <w:t>1.1</w:t>
      </w:r>
      <w:r>
        <w:rPr>
          <w:rFonts w:hint="eastAsia" w:ascii="黑体" w:hAnsi="黑体" w:eastAsia="黑体" w:cs="黑体"/>
          <w:szCs w:val="24"/>
          <w:lang w:val="en-US" w:eastAsia="zh-CN"/>
        </w:rPr>
        <w:t xml:space="preserve">  </w:t>
      </w:r>
      <w:r>
        <w:rPr>
          <w:rFonts w:hint="eastAsia" w:hAnsi="宋体" w:cs="Times New Roman"/>
          <w:szCs w:val="24"/>
        </w:rPr>
        <w:t>本招标技术文件适用于</w:t>
      </w:r>
      <w:r>
        <w:rPr>
          <w:rFonts w:hint="eastAsia"/>
          <w:color w:val="auto"/>
          <w:spacing w:val="-4"/>
          <w:szCs w:val="21"/>
          <w:highlight w:val="none"/>
          <w:lang w:eastAsia="zh-CN"/>
        </w:rPr>
        <w:t>深圳供电局有限公司</w:t>
      </w:r>
      <w:r>
        <w:rPr>
          <w:color w:val="auto"/>
          <w:spacing w:val="-4"/>
          <w:szCs w:val="21"/>
          <w:highlight w:val="none"/>
        </w:rPr>
        <w:t>电网建设工程项目</w:t>
      </w:r>
      <w:r>
        <w:rPr>
          <w:rFonts w:hint="eastAsia"/>
        </w:rPr>
        <w:t>电缆隧道</w:t>
      </w:r>
      <w:r>
        <w:rPr>
          <w:rFonts w:hint="eastAsia"/>
          <w:lang w:val="en-US" w:eastAsia="zh-CN"/>
        </w:rPr>
        <w:t>智能专网</w:t>
      </w:r>
      <w:r>
        <w:rPr>
          <w:rFonts w:hint="eastAsia"/>
        </w:rPr>
        <w:t>系统</w:t>
      </w:r>
      <w:r>
        <w:rPr>
          <w:rFonts w:hint="eastAsia"/>
          <w:lang w:val="en-US" w:eastAsia="zh-CN"/>
        </w:rPr>
        <w:t>建设</w:t>
      </w:r>
      <w:r>
        <w:rPr>
          <w:color w:val="auto"/>
          <w:spacing w:val="-4"/>
          <w:szCs w:val="21"/>
          <w:highlight w:val="none"/>
        </w:rPr>
        <w:t>，它提出了该设备本体及附属设备的功能设计、结构、性能、安装和试验等方面的技术要求。</w:t>
      </w:r>
    </w:p>
    <w:p>
      <w:pPr>
        <w:pStyle w:val="6"/>
        <w:adjustRightInd w:val="0"/>
        <w:snapToGrid w:val="0"/>
        <w:spacing w:line="360" w:lineRule="auto"/>
        <w:rPr>
          <w:rFonts w:hAnsi="宋体" w:cs="Times New Roman"/>
          <w:szCs w:val="24"/>
        </w:rPr>
      </w:pPr>
      <w:r>
        <w:rPr>
          <w:rFonts w:ascii="黑体" w:hAnsi="黑体" w:eastAsia="黑体" w:cs="Times New Roman"/>
          <w:szCs w:val="24"/>
        </w:rPr>
        <w:t>1.2</w:t>
      </w:r>
      <w:r>
        <w:rPr>
          <w:rFonts w:hint="eastAsia" w:ascii="黑体" w:hAnsi="黑体" w:eastAsia="黑体" w:cs="Times New Roman"/>
          <w:szCs w:val="24"/>
          <w:lang w:val="en-US" w:eastAsia="zh-CN"/>
        </w:rPr>
        <w:t xml:space="preserve"> </w:t>
      </w:r>
      <w:r>
        <w:rPr>
          <w:rFonts w:hint="eastAsia" w:hAnsi="宋体" w:cs="Times New Roman"/>
          <w:szCs w:val="24"/>
        </w:rPr>
        <w:t>本设备技术规范书提出的是最低限度的技术要求。凡本技术规范书中未规定，但在相关设备的行业标准、国家标准或</w:t>
      </w:r>
      <w:r>
        <w:rPr>
          <w:rFonts w:hAnsi="宋体" w:cs="Times New Roman"/>
          <w:szCs w:val="24"/>
        </w:rPr>
        <w:t>IEC</w:t>
      </w:r>
      <w:r>
        <w:rPr>
          <w:rFonts w:hint="eastAsia" w:hAnsi="宋体" w:cs="Times New Roman"/>
          <w:szCs w:val="24"/>
        </w:rPr>
        <w:t>标准中有规定的规范条文，投标方应按相应标准的条文进行设备设计、制造、试验和安装。对国家有关安全、环保等强制性标准，必须满足其要求。</w:t>
      </w:r>
    </w:p>
    <w:p>
      <w:pPr>
        <w:adjustRightInd w:val="0"/>
        <w:snapToGrid w:val="0"/>
        <w:spacing w:line="360" w:lineRule="auto"/>
        <w:rPr>
          <w:rFonts w:ascii="宋体" w:hAnsi="宋体"/>
        </w:rPr>
      </w:pPr>
      <w:r>
        <w:rPr>
          <w:rFonts w:ascii="黑体" w:hAnsi="黑体" w:eastAsia="黑体"/>
        </w:rPr>
        <w:t>1.3</w:t>
      </w:r>
      <w:r>
        <w:rPr>
          <w:rFonts w:hint="eastAsia" w:ascii="黑体" w:hAnsi="黑体" w:eastAsia="黑体"/>
          <w:lang w:val="en-US" w:eastAsia="zh-CN"/>
        </w:rPr>
        <w:t xml:space="preserve"> </w:t>
      </w:r>
      <w:r>
        <w:rPr>
          <w:rFonts w:hint="eastAsia" w:ascii="宋体" w:hAnsi="宋体"/>
        </w:rPr>
        <w:t>如果投标方没有以书面形式对本技术规范书的条文提出异议，则意味着投标方提供的设备完全符合本技术规范书的要求。如有异议，不管是多么微小，都应在</w:t>
      </w:r>
      <w:r>
        <w:rPr>
          <w:rFonts w:hint="eastAsia" w:ascii="宋体" w:hAnsi="宋体"/>
          <w:lang w:val="en-US" w:eastAsia="zh-CN"/>
        </w:rPr>
        <w:t>投标文件</w:t>
      </w:r>
      <w:r>
        <w:rPr>
          <w:rFonts w:hint="eastAsia" w:ascii="宋体" w:hAnsi="宋体"/>
        </w:rPr>
        <w:t>中以“对技术规范书的意见和同技术规范书的差异”为标题的专门章节中加以详细描述。</w:t>
      </w:r>
    </w:p>
    <w:p>
      <w:pPr>
        <w:adjustRightInd w:val="0"/>
        <w:snapToGrid w:val="0"/>
        <w:spacing w:line="360" w:lineRule="auto"/>
        <w:rPr>
          <w:rFonts w:ascii="宋体" w:hAnsi="宋体"/>
        </w:rPr>
      </w:pPr>
      <w:r>
        <w:rPr>
          <w:rFonts w:ascii="黑体" w:hAnsi="黑体" w:eastAsia="黑体"/>
        </w:rPr>
        <w:t>1.4</w:t>
      </w:r>
      <w:r>
        <w:rPr>
          <w:rFonts w:hint="eastAsia" w:ascii="黑体" w:hAnsi="黑体" w:eastAsia="黑体"/>
          <w:lang w:val="en-US" w:eastAsia="zh-CN"/>
        </w:rPr>
        <w:t xml:space="preserve"> </w:t>
      </w:r>
      <w:r>
        <w:rPr>
          <w:rFonts w:hint="eastAsia" w:ascii="宋体" w:hAnsi="宋体"/>
        </w:rPr>
        <w:t>本技术规范书所使用的标准如遇与投标方所执行的标准不一致时，按较高标准执行。</w:t>
      </w:r>
    </w:p>
    <w:p>
      <w:pPr>
        <w:adjustRightInd w:val="0"/>
        <w:snapToGrid w:val="0"/>
        <w:spacing w:line="360" w:lineRule="auto"/>
        <w:rPr>
          <w:rFonts w:ascii="宋体" w:hAnsi="宋体"/>
        </w:rPr>
      </w:pPr>
      <w:r>
        <w:rPr>
          <w:rFonts w:ascii="黑体" w:hAnsi="黑体" w:eastAsia="黑体"/>
        </w:rPr>
        <w:t>1.5</w:t>
      </w:r>
      <w:r>
        <w:rPr>
          <w:rFonts w:hint="eastAsia" w:ascii="黑体" w:hAnsi="黑体" w:eastAsia="黑体"/>
          <w:lang w:val="en-US" w:eastAsia="zh-CN"/>
        </w:rPr>
        <w:t xml:space="preserve"> </w:t>
      </w:r>
      <w:r>
        <w:rPr>
          <w:rFonts w:hint="eastAsia" w:ascii="宋体" w:hAnsi="宋体"/>
        </w:rPr>
        <w:t>本技术规范书经招投标双方确认后作为订货合同的技术附件，与合同正文具有同等的法律效力。</w:t>
      </w:r>
    </w:p>
    <w:p>
      <w:pPr>
        <w:adjustRightInd w:val="0"/>
        <w:snapToGrid w:val="0"/>
        <w:spacing w:line="360" w:lineRule="auto"/>
        <w:outlineLvl w:val="9"/>
        <w:rPr>
          <w:rFonts w:ascii="宋体" w:hAnsi="宋体"/>
        </w:rPr>
      </w:pPr>
      <w:bookmarkStart w:id="11" w:name="_Toc29793"/>
      <w:r>
        <w:rPr>
          <w:rFonts w:ascii="黑体" w:hAnsi="黑体" w:eastAsia="黑体"/>
        </w:rPr>
        <w:t>1.6</w:t>
      </w:r>
      <w:r>
        <w:rPr>
          <w:rFonts w:hint="eastAsia" w:ascii="黑体" w:hAnsi="黑体" w:eastAsia="黑体"/>
          <w:lang w:eastAsia="zh-CN"/>
        </w:rPr>
        <w:t xml:space="preserve"> </w:t>
      </w:r>
      <w:r>
        <w:rPr>
          <w:rFonts w:hint="eastAsia" w:ascii="宋体" w:hAnsi="宋体"/>
        </w:rPr>
        <w:t>本技术规范书未尽事宜，由招标方与投标方双方协商确定。</w:t>
      </w:r>
      <w:bookmarkEnd w:id="11"/>
    </w:p>
    <w:p>
      <w:pPr>
        <w:pStyle w:val="6"/>
        <w:adjustRightInd w:val="0"/>
        <w:snapToGrid w:val="0"/>
        <w:spacing w:line="360" w:lineRule="auto"/>
        <w:rPr>
          <w:rFonts w:hAnsi="宋体" w:cs="Times New Roman"/>
          <w:szCs w:val="24"/>
        </w:rPr>
      </w:pPr>
      <w:r>
        <w:rPr>
          <w:rFonts w:hint="eastAsia" w:ascii="黑体" w:hAnsi="黑体" w:eastAsia="黑体" w:cs="Times New Roman"/>
          <w:szCs w:val="24"/>
        </w:rPr>
        <w:t>1.7</w:t>
      </w:r>
      <w:r>
        <w:rPr>
          <w:rFonts w:hint="eastAsia" w:hAnsi="宋体" w:cs="Times New Roman"/>
          <w:szCs w:val="24"/>
          <w:lang w:eastAsia="zh-CN"/>
        </w:rPr>
        <w:t xml:space="preserve"> </w:t>
      </w:r>
      <w:r>
        <w:rPr>
          <w:rFonts w:hint="eastAsia" w:hAnsi="宋体" w:cs="Times New Roman"/>
          <w:szCs w:val="24"/>
        </w:rPr>
        <w:t>投标方在应标技术规范书中应如实反映应标产品与本技术规范书的技术差异。如果投标方没有提出技术差异，而在执行合同的过程中，招标方发现投标方提供的产品与其应标技术规范书的条文存在差异，招标方有权利要求退货，并将对下一年度的评标工作有不同程度的影响。</w:t>
      </w:r>
    </w:p>
    <w:p>
      <w:pPr>
        <w:pStyle w:val="6"/>
        <w:adjustRightInd w:val="0"/>
        <w:snapToGrid w:val="0"/>
        <w:spacing w:line="360" w:lineRule="auto"/>
        <w:rPr>
          <w:rFonts w:hAnsi="宋体" w:cs="Times New Roman"/>
          <w:szCs w:val="24"/>
        </w:rPr>
      </w:pPr>
      <w:r>
        <w:rPr>
          <w:rFonts w:hint="eastAsia" w:ascii="黑体" w:hAnsi="黑体" w:eastAsia="黑体" w:cs="Times New Roman"/>
          <w:szCs w:val="24"/>
        </w:rPr>
        <w:t>1.8</w:t>
      </w:r>
      <w:r>
        <w:rPr>
          <w:rFonts w:hint="eastAsia" w:hAnsi="宋体" w:cs="Times New Roman"/>
          <w:szCs w:val="24"/>
          <w:lang w:eastAsia="zh-CN"/>
        </w:rPr>
        <w:t xml:space="preserve"> </w:t>
      </w:r>
      <w:r>
        <w:rPr>
          <w:rFonts w:hint="eastAsia" w:hAnsi="宋体" w:cs="Times New Roman"/>
          <w:szCs w:val="24"/>
        </w:rPr>
        <w:t>投标方应在应标技术部分按本技术规范书的要求如实详细</w:t>
      </w:r>
      <w:r>
        <w:rPr>
          <w:rFonts w:hint="eastAsia" w:hAnsi="宋体" w:cs="Times New Roman"/>
          <w:szCs w:val="24"/>
          <w:lang w:val="en-US" w:eastAsia="zh-CN"/>
        </w:rPr>
        <w:t>地</w:t>
      </w:r>
      <w:r>
        <w:rPr>
          <w:rFonts w:hint="eastAsia" w:hAnsi="宋体" w:cs="Times New Roman"/>
          <w:szCs w:val="24"/>
        </w:rPr>
        <w:t>填写应标设备的标准配置表，并在应标商务部分按此标准配置进行报价，如发现二者有矛盾之处，将对评标工作有不同程度的影响。</w:t>
      </w:r>
    </w:p>
    <w:p>
      <w:pPr>
        <w:adjustRightInd w:val="0"/>
        <w:snapToGrid w:val="0"/>
        <w:spacing w:line="360" w:lineRule="auto"/>
        <w:rPr>
          <w:rFonts w:ascii="宋体" w:hAnsi="宋体"/>
        </w:rPr>
      </w:pPr>
      <w:r>
        <w:rPr>
          <w:rFonts w:hint="eastAsia" w:ascii="黑体" w:hAnsi="黑体" w:eastAsia="黑体"/>
        </w:rPr>
        <w:t>1.9</w:t>
      </w:r>
      <w:r>
        <w:rPr>
          <w:rFonts w:hint="eastAsia" w:ascii="宋体" w:hAnsi="宋体"/>
          <w:lang w:eastAsia="zh-CN"/>
        </w:rPr>
        <w:t xml:space="preserve"> </w:t>
      </w:r>
      <w:r>
        <w:rPr>
          <w:rFonts w:hint="eastAsia" w:ascii="宋体" w:hAnsi="宋体"/>
        </w:rPr>
        <w:t>投标方应充分理解本技术规范书并按本技术规范书的具体条款、格式要求填写应标的技术文件，如发现应标的技术文件条款、格式不符合本技术规范书的要求，则认为应标不严肃，在评标时将有不同程度的扣分。</w:t>
      </w:r>
    </w:p>
    <w:p>
      <w:pPr>
        <w:adjustRightInd w:val="0"/>
        <w:snapToGrid w:val="0"/>
        <w:spacing w:line="360" w:lineRule="auto"/>
        <w:outlineLvl w:val="9"/>
        <w:rPr>
          <w:rFonts w:hint="eastAsia" w:ascii="宋体" w:hAnsi="宋体"/>
        </w:rPr>
      </w:pPr>
      <w:bookmarkStart w:id="12" w:name="_Toc13291"/>
      <w:r>
        <w:rPr>
          <w:rFonts w:hint="eastAsia" w:ascii="宋体" w:hAnsi="宋体"/>
        </w:rPr>
        <w:t>1.1</w:t>
      </w:r>
      <w:r>
        <w:rPr>
          <w:rFonts w:hint="eastAsia" w:ascii="宋体" w:hAnsi="宋体"/>
          <w:lang w:val="en-US" w:eastAsia="zh-CN"/>
        </w:rPr>
        <w:t>0</w:t>
      </w:r>
      <w:r>
        <w:rPr>
          <w:rFonts w:hint="eastAsia" w:ascii="宋体" w:hAnsi="宋体"/>
          <w:lang w:eastAsia="zh-CN"/>
        </w:rPr>
        <w:t xml:space="preserve"> </w:t>
      </w:r>
      <w:r>
        <w:rPr>
          <w:rFonts w:hint="eastAsia" w:ascii="宋体" w:hAnsi="宋体"/>
        </w:rPr>
        <w:t>招标方在任何时候保留和拥有对本技术规范书的解释权。</w:t>
      </w:r>
      <w:bookmarkEnd w:id="12"/>
    </w:p>
    <w:p>
      <w:pPr>
        <w:pStyle w:val="3"/>
        <w:numPr>
          <w:ilvl w:val="0"/>
          <w:numId w:val="0"/>
        </w:numPr>
        <w:rPr>
          <w:rFonts w:hint="eastAsia"/>
          <w:lang w:val="en-US" w:eastAsia="zh-CN"/>
        </w:rPr>
      </w:pPr>
      <w:bookmarkStart w:id="13" w:name="_Toc276492358"/>
      <w:bookmarkStart w:id="14" w:name="_Toc384340976"/>
      <w:bookmarkStart w:id="15" w:name="_Toc7902"/>
      <w:bookmarkStart w:id="16" w:name="_Toc22412"/>
      <w:bookmarkStart w:id="17" w:name="_Toc246216316"/>
      <w:bookmarkStart w:id="18" w:name="_Toc271281204"/>
      <w:bookmarkStart w:id="19" w:name="_Toc276490890"/>
      <w:bookmarkStart w:id="20" w:name="_Toc11386"/>
      <w:bookmarkStart w:id="21" w:name="_Toc126594044"/>
      <w:bookmarkStart w:id="22" w:name="_Toc279695347"/>
      <w:bookmarkStart w:id="23" w:name="_Toc112756677"/>
      <w:r>
        <w:rPr>
          <w:rFonts w:hint="eastAsia" w:ascii="黑体" w:hAnsi="黑体" w:eastAsia="黑体" w:cs="Times New Roman"/>
          <w:bCs/>
          <w:sz w:val="24"/>
          <w:szCs w:val="24"/>
          <w:lang w:val="en-US" w:eastAsia="zh-CN"/>
        </w:rPr>
        <w:t>2 工作范围</w:t>
      </w:r>
      <w:bookmarkEnd w:id="13"/>
      <w:bookmarkEnd w:id="14"/>
      <w:bookmarkEnd w:id="15"/>
      <w:bookmarkEnd w:id="16"/>
      <w:bookmarkEnd w:id="17"/>
      <w:bookmarkEnd w:id="18"/>
      <w:bookmarkEnd w:id="19"/>
      <w:bookmarkEnd w:id="20"/>
      <w:bookmarkEnd w:id="21"/>
      <w:bookmarkEnd w:id="22"/>
      <w:bookmarkEnd w:id="23"/>
    </w:p>
    <w:bookmarkEnd w:id="0"/>
    <w:p>
      <w:pPr>
        <w:pStyle w:val="4"/>
        <w:numPr>
          <w:ilvl w:val="0"/>
          <w:numId w:val="0"/>
        </w:numPr>
        <w:spacing w:line="360" w:lineRule="auto"/>
        <w:rPr>
          <w:rFonts w:hint="eastAsia"/>
          <w:lang w:val="en-US" w:eastAsia="zh-CN"/>
        </w:rPr>
      </w:pPr>
      <w:bookmarkStart w:id="24" w:name="_Toc12881"/>
      <w:bookmarkStart w:id="25" w:name="_Toc52269044"/>
      <w:r>
        <w:rPr>
          <w:rFonts w:hint="eastAsia"/>
          <w:szCs w:val="21"/>
          <w:lang w:val="en-US" w:eastAsia="zh-CN"/>
        </w:rPr>
        <w:t>2</w:t>
      </w:r>
      <w:r>
        <w:rPr>
          <w:szCs w:val="21"/>
        </w:rPr>
        <w:t>.1</w:t>
      </w:r>
      <w:r>
        <w:rPr>
          <w:rFonts w:hint="eastAsia"/>
          <w:szCs w:val="21"/>
        </w:rPr>
        <w:t xml:space="preserve"> 工程概况</w:t>
      </w:r>
      <w:bookmarkEnd w:id="24"/>
      <w:bookmarkEnd w:id="25"/>
      <w:bookmarkStart w:id="26" w:name="_Toc52269045"/>
    </w:p>
    <w:p>
      <w:pPr>
        <w:pStyle w:val="18"/>
        <w:rPr>
          <w:rFonts w:hint="default"/>
          <w:lang w:val="en-US" w:eastAsia="zh-CN"/>
        </w:rPr>
      </w:pPr>
      <w:r>
        <w:rPr>
          <w:rFonts w:hint="eastAsia"/>
          <w:sz w:val="21"/>
          <w:lang w:val="en-US" w:eastAsia="zh-CN"/>
        </w:rPr>
        <w:t>目前深圳供电局输电存量电缆隧道61公里，隧道内共敷设118回线路，其中55回110kV线路，63回220kV，为电力输送主干道，且均已投产运行。电缆隧道内安装了大量的在线监测设备，包括环境监测系统、视频监控系统，沉降监测系统，有毒气体监测系统，无线信号覆盖系统、风机、水泵、照明联动系统、隧道主体震动监测系统等，目前隧道只有秀丽和松岗电缆隧道建设智能专网系统，其余隧道均建设没有智能专网系统，存量视频监控设备和物联网监测设备无法通过智能专网接入专网生产运行支持平台和物联网平台</w:t>
      </w:r>
      <w:r>
        <w:rPr>
          <w:rFonts w:hint="eastAsia"/>
          <w:sz w:val="21"/>
        </w:rPr>
        <w:t>。</w:t>
      </w:r>
      <w:r>
        <w:rPr>
          <w:rFonts w:hint="eastAsia" w:cs="宋体"/>
          <w:sz w:val="21"/>
          <w:shd w:val="clear" w:color="auto" w:fill="FFFFFF"/>
        </w:rPr>
        <w:t>本项目计划</w:t>
      </w:r>
      <w:r>
        <w:rPr>
          <w:rFonts w:hint="eastAsia" w:ascii="宋体" w:hAnsi="宋体" w:eastAsia="宋体" w:cs="Times New Roman"/>
          <w:sz w:val="21"/>
          <w:lang w:val="en-US" w:eastAsia="zh-CN"/>
        </w:rPr>
        <w:t>在电缆隧道建设一套智能专网系统，将隧道</w:t>
      </w:r>
      <w:r>
        <w:rPr>
          <w:rFonts w:hint="eastAsia"/>
          <w:sz w:val="21"/>
          <w:lang w:val="en-US" w:eastAsia="zh-CN"/>
        </w:rPr>
        <w:t>存量视频监控设备和物联网监测设备接入专网生产运行支持平台和物联网平台，再接入数字输电平台</w:t>
      </w:r>
      <w:r>
        <w:rPr>
          <w:rFonts w:hint="eastAsia" w:ascii="宋体" w:hAnsi="宋体" w:eastAsia="宋体" w:cs="Times New Roman"/>
          <w:sz w:val="21"/>
          <w:lang w:val="en-US" w:eastAsia="zh-CN"/>
        </w:rPr>
        <w:t>实现可视化展示，确保电缆隧道正常运行。</w:t>
      </w:r>
    </w:p>
    <w:p>
      <w:pPr>
        <w:pStyle w:val="15"/>
        <w:adjustRightInd w:val="0"/>
        <w:snapToGrid w:val="0"/>
        <w:spacing w:line="360" w:lineRule="auto"/>
        <w:rPr>
          <w:rFonts w:hint="eastAsia" w:ascii="宋体" w:hAnsi="宋体" w:eastAsia="宋体" w:cs="Times New Roman"/>
          <w:szCs w:val="21"/>
        </w:rPr>
      </w:pPr>
    </w:p>
    <w:p>
      <w:pPr>
        <w:pStyle w:val="4"/>
        <w:numPr>
          <w:ilvl w:val="0"/>
          <w:numId w:val="0"/>
        </w:numPr>
        <w:spacing w:line="360" w:lineRule="auto"/>
        <w:rPr>
          <w:rFonts w:hint="eastAsia" w:ascii="Times New Roman" w:hAnsi="Times New Roman" w:cs="Times New Roman"/>
          <w:szCs w:val="21"/>
          <w:lang w:val="en-US" w:eastAsia="zh-CN"/>
        </w:rPr>
      </w:pPr>
      <w:bookmarkStart w:id="27" w:name="_Toc3462"/>
      <w:bookmarkStart w:id="28" w:name="_Toc384340978"/>
      <w:bookmarkStart w:id="29" w:name="_Toc18203"/>
      <w:bookmarkStart w:id="30" w:name="_Toc126594046"/>
      <w:bookmarkStart w:id="31" w:name="_Toc5057"/>
      <w:r>
        <w:rPr>
          <w:rFonts w:hint="eastAsia" w:ascii="Times New Roman" w:hAnsi="Times New Roman" w:cs="Times New Roman"/>
          <w:szCs w:val="21"/>
          <w:lang w:val="en-US" w:eastAsia="zh-CN"/>
        </w:rPr>
        <w:t>2.2建设内容：</w:t>
      </w:r>
      <w:bookmarkEnd w:id="27"/>
    </w:p>
    <w:p>
      <w:pPr>
        <w:widowControl/>
        <w:spacing w:line="360" w:lineRule="auto"/>
        <w:ind w:firstLine="420"/>
        <w:jc w:val="left"/>
        <w:rPr>
          <w:rFonts w:hint="eastAsia" w:ascii="宋体" w:hAnsi="宋体" w:cs="宋体"/>
          <w:shd w:val="clear" w:color="auto" w:fill="FFFFFF"/>
        </w:rPr>
      </w:pPr>
      <w:r>
        <w:rPr>
          <w:rFonts w:hint="eastAsia" w:ascii="宋体" w:hAnsi="宋体" w:cs="宋体"/>
          <w:shd w:val="clear" w:color="auto" w:fill="FFFFFF"/>
        </w:rPr>
        <w:t>（1）</w:t>
      </w:r>
      <w:r>
        <w:rPr>
          <w:rFonts w:hint="eastAsia" w:ascii="宋体" w:hAnsi="宋体" w:eastAsia="宋体" w:cs="Times New Roman"/>
          <w:spacing w:val="4"/>
          <w:kern w:val="0"/>
          <w:sz w:val="21"/>
          <w:szCs w:val="24"/>
          <w:lang w:val="en-US" w:eastAsia="zh-CN" w:bidi="ar-SA"/>
        </w:rPr>
        <w:t>在监控中心建设一套智能专网系统，部署一台安全网关，一台核心交换机、两台汇聚交换机和四台NVR</w:t>
      </w:r>
      <w:r>
        <w:rPr>
          <w:rFonts w:hint="eastAsia" w:ascii="宋体" w:hAnsi="宋体" w:cs="宋体"/>
          <w:shd w:val="clear" w:color="auto" w:fill="FFFFFF"/>
        </w:rPr>
        <w:t>。</w:t>
      </w:r>
    </w:p>
    <w:p>
      <w:pPr>
        <w:widowControl/>
        <w:numPr>
          <w:ilvl w:val="0"/>
          <w:numId w:val="0"/>
        </w:numPr>
        <w:spacing w:line="360" w:lineRule="auto"/>
        <w:ind w:firstLine="420" w:firstLineChars="0"/>
        <w:jc w:val="left"/>
        <w:rPr>
          <w:rFonts w:hint="eastAsia"/>
          <w:sz w:val="21"/>
          <w:lang w:val="en-US" w:eastAsia="zh-CN"/>
        </w:rPr>
      </w:pPr>
      <w:r>
        <w:rPr>
          <w:rFonts w:hint="eastAsia" w:ascii="宋体" w:hAnsi="宋体" w:cs="宋体"/>
          <w:kern w:val="2"/>
          <w:sz w:val="21"/>
          <w:szCs w:val="24"/>
          <w:shd w:val="clear" w:color="auto" w:fill="FFFFFF"/>
          <w:lang w:val="en-US" w:eastAsia="zh-CN" w:bidi="ar-SA"/>
        </w:rPr>
        <w:t>（2）</w:t>
      </w:r>
      <w:r>
        <w:rPr>
          <w:rFonts w:hint="eastAsia" w:ascii="宋体" w:hAnsi="宋体" w:eastAsia="宋体" w:cs="Times New Roman"/>
          <w:spacing w:val="4"/>
          <w:kern w:val="0"/>
          <w:sz w:val="21"/>
          <w:szCs w:val="24"/>
          <w:lang w:val="en-US" w:eastAsia="zh-CN" w:bidi="ar-SA"/>
        </w:rPr>
        <w:t>电缆隧道全线敷设通讯主干光纤，在防火分区内装设区域通讯单元，实现隧道智能专网全线覆盖，</w:t>
      </w:r>
      <w:r>
        <w:rPr>
          <w:rFonts w:hint="eastAsia"/>
          <w:sz w:val="21"/>
          <w:lang w:val="en-US" w:eastAsia="zh-CN"/>
        </w:rPr>
        <w:t>在隧道内安装区域通讯单元。</w:t>
      </w:r>
    </w:p>
    <w:p>
      <w:pPr>
        <w:widowControl/>
        <w:numPr>
          <w:ilvl w:val="0"/>
          <w:numId w:val="0"/>
        </w:numPr>
        <w:spacing w:line="360" w:lineRule="auto"/>
        <w:ind w:firstLine="420" w:firstLineChars="0"/>
        <w:jc w:val="left"/>
        <w:rPr>
          <w:rFonts w:hint="eastAsia" w:ascii="Times New Roman" w:hAnsi="宋体" w:eastAsia="宋体" w:cs="Times New Roman"/>
          <w:shd w:val="clear" w:color="auto" w:fill="FFFFFF"/>
          <w:lang w:val="en-US" w:eastAsia="zh-CN"/>
        </w:rPr>
      </w:pPr>
      <w:r>
        <w:rPr>
          <w:rFonts w:hint="eastAsia" w:ascii="宋体" w:hAnsi="宋体" w:cs="Times New Roman"/>
          <w:sz w:val="21"/>
          <w:lang w:val="en-US" w:eastAsia="zh-CN"/>
        </w:rPr>
        <w:t>（3）</w:t>
      </w:r>
      <w:r>
        <w:rPr>
          <w:rFonts w:hint="eastAsia" w:ascii="宋体" w:hAnsi="宋体" w:eastAsia="宋体" w:cs="Times New Roman"/>
          <w:sz w:val="21"/>
          <w:lang w:val="en-US" w:eastAsia="zh-CN"/>
        </w:rPr>
        <w:t>将隧道</w:t>
      </w:r>
      <w:r>
        <w:rPr>
          <w:rFonts w:hint="eastAsia"/>
          <w:sz w:val="21"/>
          <w:lang w:val="en-US" w:eastAsia="zh-CN"/>
        </w:rPr>
        <w:t>存量视频监控设备和物联网监测设备通过智能专网接入生产运行支持平台和物联网平台，再接入数字输电平台，</w:t>
      </w:r>
      <w:r>
        <w:rPr>
          <w:rFonts w:hint="eastAsia" w:ascii="宋体" w:hAnsi="宋体" w:eastAsia="宋体" w:cs="Times New Roman"/>
          <w:sz w:val="21"/>
          <w:lang w:val="en-US" w:eastAsia="zh-CN"/>
        </w:rPr>
        <w:t>实现平台和隧道内隧道</w:t>
      </w:r>
      <w:r>
        <w:rPr>
          <w:rFonts w:hint="eastAsia"/>
          <w:sz w:val="21"/>
          <w:lang w:val="en-US" w:eastAsia="zh-CN"/>
        </w:rPr>
        <w:t>存量视频监控设备和物联网监测设备功能联动、远程控制和</w:t>
      </w:r>
      <w:r>
        <w:rPr>
          <w:rFonts w:hint="eastAsia" w:ascii="宋体" w:hAnsi="宋体" w:eastAsia="宋体" w:cs="Times New Roman"/>
          <w:sz w:val="21"/>
          <w:lang w:val="en-US" w:eastAsia="zh-CN"/>
        </w:rPr>
        <w:t>可视化展示</w:t>
      </w:r>
      <w:r>
        <w:rPr>
          <w:rFonts w:hint="eastAsia" w:ascii="宋体" w:hAnsi="宋体" w:eastAsia="宋体" w:cs="Times New Roman"/>
          <w:spacing w:val="4"/>
          <w:kern w:val="0"/>
          <w:sz w:val="21"/>
          <w:szCs w:val="24"/>
          <w:lang w:val="en-US" w:eastAsia="zh-CN" w:bidi="ar-SA"/>
        </w:rPr>
        <w:t>。</w:t>
      </w:r>
    </w:p>
    <w:p>
      <w:pPr>
        <w:bidi w:val="0"/>
        <w:rPr>
          <w:rFonts w:hint="eastAsia"/>
          <w:lang w:eastAsia="zh-CN"/>
        </w:rPr>
      </w:pPr>
      <w:r>
        <w:rPr>
          <w:rFonts w:hint="eastAsia" w:eastAsia="宋体"/>
          <w:lang w:eastAsia="zh-CN"/>
        </w:rPr>
        <w:drawing>
          <wp:inline distT="0" distB="0" distL="114300" distR="114300">
            <wp:extent cx="5259070" cy="1466215"/>
            <wp:effectExtent l="0" t="0" r="13970" b="12065"/>
            <wp:docPr id="4" name="图片 4" descr="专网改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专网改造"/>
                    <pic:cNvPicPr>
                      <a:picLocks noChangeAspect="1"/>
                    </pic:cNvPicPr>
                  </pic:nvPicPr>
                  <pic:blipFill>
                    <a:blip r:embed="rId5"/>
                    <a:stretch>
                      <a:fillRect/>
                    </a:stretch>
                  </pic:blipFill>
                  <pic:spPr>
                    <a:xfrm>
                      <a:off x="0" y="0"/>
                      <a:ext cx="5259070" cy="1466215"/>
                    </a:xfrm>
                    <a:prstGeom prst="rect">
                      <a:avLst/>
                    </a:prstGeom>
                  </pic:spPr>
                </pic:pic>
              </a:graphicData>
            </a:graphic>
          </wp:inline>
        </w:drawing>
      </w:r>
    </w:p>
    <w:p>
      <w:pPr>
        <w:bidi w:val="0"/>
        <w:jc w:val="center"/>
        <w:rPr>
          <w:rFonts w:hint="default"/>
          <w:lang w:val="en-US" w:eastAsia="zh-CN"/>
        </w:rPr>
      </w:pPr>
      <w:r>
        <w:rPr>
          <w:rFonts w:hint="eastAsia"/>
          <w:szCs w:val="21"/>
        </w:rPr>
        <w:t>电缆隧道</w:t>
      </w:r>
      <w:r>
        <w:rPr>
          <w:rFonts w:hint="eastAsia"/>
          <w:szCs w:val="21"/>
          <w:lang w:val="en-US" w:eastAsia="zh-CN"/>
        </w:rPr>
        <w:t>智能专网</w:t>
      </w:r>
      <w:r>
        <w:rPr>
          <w:rFonts w:hint="eastAsia"/>
          <w:szCs w:val="21"/>
        </w:rPr>
        <w:t>系统</w:t>
      </w:r>
      <w:r>
        <w:rPr>
          <w:rFonts w:hint="eastAsia"/>
          <w:lang w:val="en-US" w:eastAsia="zh-CN"/>
        </w:rPr>
        <w:t>网络拓扑图</w:t>
      </w:r>
    </w:p>
    <w:p>
      <w:pPr>
        <w:bidi w:val="0"/>
        <w:jc w:val="center"/>
        <w:rPr>
          <w:rFonts w:hint="default"/>
          <w:lang w:val="en-US" w:eastAsia="zh-CN"/>
        </w:rPr>
      </w:pPr>
    </w:p>
    <w:p>
      <w:pPr>
        <w:rPr>
          <w:rFonts w:hint="eastAsia"/>
          <w:lang w:val="en-US" w:eastAsia="zh-CN"/>
        </w:rPr>
      </w:pPr>
    </w:p>
    <w:p>
      <w:pPr>
        <w:pStyle w:val="4"/>
        <w:numPr>
          <w:ilvl w:val="0"/>
          <w:numId w:val="0"/>
        </w:numPr>
        <w:spacing w:line="360" w:lineRule="auto"/>
        <w:rPr>
          <w:rFonts w:hint="eastAsia" w:ascii="Times New Roman" w:hAnsi="Times New Roman" w:cs="Times New Roman"/>
          <w:szCs w:val="21"/>
          <w:lang w:val="en-US" w:eastAsia="zh-CN"/>
        </w:rPr>
      </w:pPr>
      <w:bookmarkStart w:id="32" w:name="_Toc8777"/>
      <w:r>
        <w:rPr>
          <w:rFonts w:hint="eastAsia" w:ascii="Times New Roman" w:hAnsi="Times New Roman" w:cs="Times New Roman"/>
          <w:szCs w:val="21"/>
          <w:lang w:val="en-US" w:eastAsia="zh-CN"/>
        </w:rPr>
        <w:t>2.3 范围和界限</w:t>
      </w:r>
      <w:bookmarkEnd w:id="28"/>
      <w:bookmarkEnd w:id="29"/>
      <w:bookmarkEnd w:id="30"/>
      <w:bookmarkEnd w:id="31"/>
      <w:bookmarkEnd w:id="32"/>
    </w:p>
    <w:p>
      <w:pPr>
        <w:adjustRightInd w:val="0"/>
        <w:snapToGrid w:val="0"/>
        <w:spacing w:line="360" w:lineRule="auto"/>
        <w:ind w:firstLine="420" w:firstLineChars="200"/>
        <w:rPr>
          <w:color w:val="auto"/>
          <w:highlight w:val="none"/>
        </w:rPr>
      </w:pPr>
      <w:r>
        <w:rPr>
          <w:rFonts w:eastAsia="黑体"/>
          <w:color w:val="auto"/>
          <w:highlight w:val="none"/>
        </w:rPr>
        <w:t>1</w:t>
      </w:r>
      <w:r>
        <w:rPr>
          <w:color w:val="auto"/>
          <w:highlight w:val="none"/>
        </w:rPr>
        <w:t>）本规范书适应于</w:t>
      </w:r>
      <w:r>
        <w:rPr>
          <w:rFonts w:hint="eastAsia"/>
          <w:color w:val="auto"/>
          <w:highlight w:val="none"/>
          <w:lang w:eastAsia="zh-CN"/>
        </w:rPr>
        <w:t>深圳供电局有限公司</w:t>
      </w:r>
      <w:r>
        <w:rPr>
          <w:color w:val="auto"/>
          <w:highlight w:val="none"/>
        </w:rPr>
        <w:t>所属</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hint="eastAsia" w:ascii="宋体" w:hAnsi="宋体"/>
          <w:szCs w:val="21"/>
          <w:lang w:val="en-US" w:eastAsia="zh-CN"/>
        </w:rPr>
        <w:t>建设</w:t>
      </w:r>
      <w:r>
        <w:rPr>
          <w:color w:val="auto"/>
          <w:highlight w:val="none"/>
        </w:rPr>
        <w:t>及其附属设备的设计，制造，装配，工厂试验，交付，现场安装和试验的指导、监督以及试运行工作。</w:t>
      </w:r>
    </w:p>
    <w:p>
      <w:pPr>
        <w:adjustRightInd w:val="0"/>
        <w:snapToGrid w:val="0"/>
        <w:spacing w:line="360" w:lineRule="auto"/>
        <w:ind w:firstLine="420" w:firstLineChars="200"/>
        <w:rPr>
          <w:color w:val="auto"/>
          <w:highlight w:val="none"/>
        </w:rPr>
      </w:pPr>
      <w:r>
        <w:rPr>
          <w:color w:val="auto"/>
          <w:highlight w:val="none"/>
        </w:rPr>
        <w:t>2）现场安装和试验</w:t>
      </w:r>
      <w:r>
        <w:rPr>
          <w:rFonts w:hint="eastAsia"/>
          <w:color w:val="auto"/>
          <w:highlight w:val="none"/>
          <w:lang w:val="en-US" w:eastAsia="zh-CN"/>
        </w:rPr>
        <w:t>应</w:t>
      </w:r>
      <w:r>
        <w:rPr>
          <w:color w:val="auto"/>
          <w:highlight w:val="none"/>
        </w:rPr>
        <w:t>在</w:t>
      </w:r>
      <w:r>
        <w:rPr>
          <w:rFonts w:hint="eastAsia"/>
          <w:color w:val="auto"/>
          <w:highlight w:val="none"/>
          <w:lang w:val="en-US" w:eastAsia="zh-CN"/>
        </w:rPr>
        <w:t>招</w:t>
      </w:r>
      <w:r>
        <w:rPr>
          <w:color w:val="auto"/>
          <w:highlight w:val="none"/>
        </w:rPr>
        <w:t>标方的技术指导和监督下完成。</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3</w:t>
      </w:r>
      <w:r>
        <w:rPr>
          <w:color w:val="auto"/>
          <w:highlight w:val="none"/>
        </w:rPr>
        <w:t>）本规范书未说明，但又与设计、制造、装配、试验、运输、包装、保管、安装和运行维护有关的技术要求，按条款3所规定的有关标准执行。</w:t>
      </w:r>
    </w:p>
    <w:p>
      <w:pPr>
        <w:pStyle w:val="4"/>
        <w:numPr>
          <w:ilvl w:val="1"/>
          <w:numId w:val="0"/>
        </w:numPr>
        <w:spacing w:before="156" w:beforeLines="50" w:line="360" w:lineRule="auto"/>
        <w:rPr>
          <w:rFonts w:hAnsi="宋体"/>
        </w:rPr>
      </w:pPr>
      <w:bookmarkStart w:id="33" w:name="_Toc14466"/>
      <w:bookmarkStart w:id="34" w:name="_Toc30224"/>
      <w:bookmarkStart w:id="35" w:name="_Toc290652073"/>
      <w:r>
        <w:rPr>
          <w:rFonts w:hAnsi="宋体"/>
        </w:rPr>
        <w:t>2.</w:t>
      </w:r>
      <w:r>
        <w:rPr>
          <w:rFonts w:hint="eastAsia" w:hAnsi="宋体"/>
          <w:lang w:val="en-US" w:eastAsia="zh-CN"/>
        </w:rPr>
        <w:t>4</w:t>
      </w:r>
      <w:r>
        <w:rPr>
          <w:rFonts w:hAnsi="宋体"/>
        </w:rPr>
        <w:t xml:space="preserve"> 服务范围</w:t>
      </w:r>
      <w:bookmarkEnd w:id="33"/>
      <w:bookmarkEnd w:id="34"/>
      <w:bookmarkEnd w:id="35"/>
    </w:p>
    <w:p>
      <w:pPr>
        <w:pStyle w:val="15"/>
        <w:adjustRightInd w:val="0"/>
        <w:snapToGrid w:val="0"/>
        <w:spacing w:line="360" w:lineRule="auto"/>
        <w:rPr>
          <w:rFonts w:ascii="宋体" w:hAnsi="宋体" w:eastAsia="宋体" w:cs="Times New Roman"/>
          <w:szCs w:val="21"/>
        </w:rPr>
      </w:pPr>
      <w:r>
        <w:rPr>
          <w:rFonts w:ascii="宋体" w:hAnsi="宋体" w:eastAsia="宋体" w:cs="Times New Roman"/>
          <w:szCs w:val="21"/>
        </w:rPr>
        <w:t>1）投标方应按本标书的要求提供全新的、合格的</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ascii="宋体" w:hAnsi="宋体" w:eastAsia="宋体" w:cs="Times New Roman"/>
          <w:szCs w:val="21"/>
        </w:rPr>
        <w:t>及其附属设备、备品备件、专用工具和仪器。</w:t>
      </w:r>
    </w:p>
    <w:p>
      <w:pPr>
        <w:pStyle w:val="15"/>
        <w:adjustRightInd w:val="0"/>
        <w:snapToGrid w:val="0"/>
        <w:spacing w:line="360" w:lineRule="auto"/>
        <w:rPr>
          <w:rFonts w:hint="eastAsia" w:ascii="宋体" w:hAnsi="宋体" w:eastAsia="宋体" w:cs="Times New Roman"/>
          <w:szCs w:val="21"/>
        </w:rPr>
      </w:pPr>
      <w:r>
        <w:rPr>
          <w:rFonts w:ascii="宋体" w:hAnsi="宋体" w:eastAsia="宋体" w:cs="Times New Roman"/>
          <w:szCs w:val="21"/>
        </w:rPr>
        <w:t>投标方所提供的组件或附件如需向第三方外购时</w:t>
      </w:r>
      <w:r>
        <w:rPr>
          <w:rFonts w:hint="eastAsia" w:ascii="宋体" w:hAnsi="宋体" w:eastAsia="宋体" w:cs="Times New Roman"/>
          <w:szCs w:val="21"/>
        </w:rPr>
        <w:t>，投标方</w:t>
      </w:r>
      <w:r>
        <w:rPr>
          <w:rFonts w:ascii="宋体" w:hAnsi="宋体" w:eastAsia="宋体" w:cs="Times New Roman"/>
          <w:szCs w:val="21"/>
        </w:rPr>
        <w:t>应对</w:t>
      </w:r>
      <w:r>
        <w:rPr>
          <w:rFonts w:hint="eastAsia" w:ascii="宋体" w:hAnsi="宋体" w:eastAsia="宋体" w:cs="Times New Roman"/>
          <w:szCs w:val="21"/>
        </w:rPr>
        <w:t>其</w:t>
      </w:r>
      <w:r>
        <w:rPr>
          <w:rFonts w:ascii="宋体" w:hAnsi="宋体" w:eastAsia="宋体" w:cs="Times New Roman"/>
          <w:szCs w:val="21"/>
        </w:rPr>
        <w:t>质量向招标方负责</w:t>
      </w:r>
      <w:r>
        <w:rPr>
          <w:rFonts w:hint="eastAsia" w:ascii="宋体" w:hAnsi="宋体" w:eastAsia="宋体" w:cs="Times New Roman"/>
          <w:szCs w:val="21"/>
        </w:rPr>
        <w:t>，</w:t>
      </w:r>
      <w:r>
        <w:rPr>
          <w:rFonts w:ascii="宋体" w:hAnsi="宋体" w:eastAsia="宋体" w:cs="Times New Roman"/>
          <w:szCs w:val="21"/>
        </w:rPr>
        <w:t>并提供相应出厂和验收证明。</w:t>
      </w:r>
    </w:p>
    <w:p>
      <w:pPr>
        <w:pStyle w:val="15"/>
        <w:adjustRightInd w:val="0"/>
        <w:snapToGrid w:val="0"/>
        <w:spacing w:line="360" w:lineRule="auto"/>
        <w:rPr>
          <w:rFonts w:hint="eastAsia" w:ascii="宋体" w:hAnsi="宋体" w:eastAsia="宋体" w:cs="Times New Roman"/>
          <w:szCs w:val="21"/>
        </w:rPr>
      </w:pPr>
      <w:r>
        <w:rPr>
          <w:rFonts w:hint="eastAsia" w:ascii="宋体" w:hAnsi="宋体" w:eastAsia="宋体" w:cs="Times New Roman"/>
          <w:szCs w:val="21"/>
        </w:rPr>
        <w:t>2）供货范围</w:t>
      </w:r>
      <w:bookmarkStart w:id="36" w:name="_Toc282433715"/>
      <w:bookmarkStart w:id="37" w:name="_Toc283142589"/>
      <w:bookmarkStart w:id="38" w:name="_Toc283011667"/>
      <w:r>
        <w:rPr>
          <w:rFonts w:hint="eastAsia" w:ascii="宋体" w:hAnsi="宋体" w:eastAsia="宋体" w:cs="Times New Roman"/>
          <w:szCs w:val="21"/>
        </w:rPr>
        <w:t>一览表</w:t>
      </w:r>
      <w:bookmarkEnd w:id="36"/>
      <w:bookmarkEnd w:id="37"/>
      <w:bookmarkEnd w:id="38"/>
    </w:p>
    <w:p>
      <w:pPr>
        <w:pStyle w:val="15"/>
        <w:adjustRightInd w:val="0"/>
        <w:snapToGrid w:val="0"/>
        <w:spacing w:line="360" w:lineRule="auto"/>
        <w:rPr>
          <w:rFonts w:hint="eastAsia" w:ascii="宋体" w:hAnsi="宋体" w:eastAsia="宋体" w:cs="Times New Roman"/>
          <w:szCs w:val="21"/>
        </w:rPr>
      </w:pPr>
      <w:r>
        <w:rPr>
          <w:rFonts w:ascii="宋体" w:hAnsi="宋体" w:eastAsia="宋体" w:cs="Times New Roman"/>
          <w:szCs w:val="21"/>
        </w:rPr>
        <w:t>投标方</w:t>
      </w:r>
      <w:r>
        <w:rPr>
          <w:rFonts w:hint="eastAsia" w:ascii="宋体" w:hAnsi="宋体" w:eastAsia="宋体" w:cs="Times New Roman"/>
          <w:szCs w:val="21"/>
        </w:rPr>
        <w:t>提供的设备的具体规格、数量见表2.</w:t>
      </w:r>
      <w:r>
        <w:rPr>
          <w:rFonts w:hint="eastAsia" w:ascii="宋体" w:hAnsi="宋体" w:eastAsia="宋体" w:cs="Times New Roman"/>
          <w:szCs w:val="21"/>
          <w:lang w:val="en-US" w:eastAsia="zh-CN"/>
        </w:rPr>
        <w:t>1</w:t>
      </w:r>
      <w:r>
        <w:rPr>
          <w:rFonts w:hint="eastAsia" w:ascii="宋体" w:hAnsi="宋体" w:eastAsia="宋体" w:cs="Times New Roman"/>
          <w:szCs w:val="21"/>
        </w:rPr>
        <w:t>：供货范围及设备技术规格一览表。投标方应如实填写“投标方保证”栏。</w:t>
      </w:r>
    </w:p>
    <w:bookmarkEnd w:id="26"/>
    <w:p>
      <w:pPr>
        <w:jc w:val="center"/>
        <w:rPr>
          <w:rFonts w:hint="eastAsia" w:ascii="宋体" w:hAnsi="宋体"/>
          <w:szCs w:val="21"/>
        </w:rPr>
      </w:pPr>
      <w:r>
        <w:rPr>
          <w:szCs w:val="21"/>
        </w:rPr>
        <w:t>表2.1</w:t>
      </w:r>
      <w:r>
        <w:rPr>
          <w:rFonts w:hint="eastAsia" w:ascii="宋体" w:hAnsi="宋体"/>
          <w:szCs w:val="21"/>
        </w:rPr>
        <w:t xml:space="preserve">  供货范围及设备技术规格一览表</w:t>
      </w:r>
    </w:p>
    <w:tbl>
      <w:tblPr>
        <w:tblStyle w:val="11"/>
        <w:tblW w:w="8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9"/>
        <w:gridCol w:w="1003"/>
        <w:gridCol w:w="993"/>
        <w:gridCol w:w="1842"/>
        <w:gridCol w:w="1500"/>
        <w:gridCol w:w="13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599" w:type="dxa"/>
            <w:noWrap w:val="0"/>
            <w:vAlign w:val="center"/>
          </w:tcPr>
          <w:p>
            <w:pPr>
              <w:jc w:val="center"/>
              <w:rPr>
                <w:rFonts w:ascii="宋体" w:hAnsi="宋体"/>
                <w:b/>
                <w:bCs/>
                <w:szCs w:val="21"/>
              </w:rPr>
            </w:pPr>
            <w:r>
              <w:rPr>
                <w:rFonts w:hint="eastAsia" w:ascii="宋体" w:hAnsi="宋体"/>
                <w:b/>
                <w:bCs/>
                <w:szCs w:val="21"/>
              </w:rPr>
              <w:t>序号</w:t>
            </w:r>
          </w:p>
        </w:tc>
        <w:tc>
          <w:tcPr>
            <w:tcW w:w="1003" w:type="dxa"/>
            <w:noWrap w:val="0"/>
            <w:vAlign w:val="center"/>
          </w:tcPr>
          <w:p>
            <w:pPr>
              <w:jc w:val="center"/>
              <w:rPr>
                <w:rFonts w:ascii="宋体" w:hAnsi="宋体"/>
                <w:b/>
                <w:bCs/>
                <w:szCs w:val="21"/>
              </w:rPr>
            </w:pPr>
            <w:r>
              <w:rPr>
                <w:rFonts w:hint="eastAsia" w:ascii="宋体" w:hAnsi="宋体"/>
                <w:b/>
                <w:bCs/>
                <w:szCs w:val="21"/>
              </w:rPr>
              <w:t>设备名称</w:t>
            </w:r>
          </w:p>
        </w:tc>
        <w:tc>
          <w:tcPr>
            <w:tcW w:w="993" w:type="dxa"/>
            <w:noWrap w:val="0"/>
            <w:vAlign w:val="center"/>
          </w:tcPr>
          <w:p>
            <w:pPr>
              <w:jc w:val="center"/>
              <w:rPr>
                <w:rFonts w:ascii="宋体" w:hAnsi="宋体"/>
                <w:b/>
                <w:bCs/>
                <w:szCs w:val="21"/>
              </w:rPr>
            </w:pPr>
            <w:r>
              <w:rPr>
                <w:rFonts w:hint="eastAsia" w:ascii="宋体" w:hAnsi="宋体"/>
                <w:b/>
                <w:bCs/>
                <w:szCs w:val="21"/>
              </w:rPr>
              <w:t>计量单位</w:t>
            </w:r>
          </w:p>
        </w:tc>
        <w:tc>
          <w:tcPr>
            <w:tcW w:w="1842" w:type="dxa"/>
            <w:noWrap w:val="0"/>
            <w:vAlign w:val="center"/>
          </w:tcPr>
          <w:p>
            <w:pPr>
              <w:jc w:val="center"/>
              <w:rPr>
                <w:rFonts w:ascii="宋体" w:hAnsi="宋体"/>
                <w:b/>
                <w:bCs/>
                <w:szCs w:val="21"/>
              </w:rPr>
            </w:pPr>
            <w:r>
              <w:rPr>
                <w:rFonts w:hint="eastAsia" w:ascii="宋体" w:hAnsi="宋体"/>
                <w:b/>
                <w:bCs/>
                <w:szCs w:val="21"/>
              </w:rPr>
              <w:t>项目要求规格型号</w:t>
            </w:r>
          </w:p>
        </w:tc>
        <w:tc>
          <w:tcPr>
            <w:tcW w:w="1500" w:type="dxa"/>
            <w:noWrap w:val="0"/>
            <w:vAlign w:val="center"/>
          </w:tcPr>
          <w:p>
            <w:pPr>
              <w:jc w:val="center"/>
              <w:rPr>
                <w:rFonts w:ascii="宋体" w:hAnsi="宋体"/>
                <w:b/>
                <w:bCs/>
                <w:szCs w:val="21"/>
              </w:rPr>
            </w:pPr>
            <w:r>
              <w:rPr>
                <w:rFonts w:hint="eastAsia" w:ascii="宋体" w:hAnsi="宋体"/>
                <w:b/>
                <w:bCs/>
                <w:szCs w:val="21"/>
              </w:rPr>
              <w:t>项目要求数量</w:t>
            </w:r>
          </w:p>
        </w:tc>
        <w:tc>
          <w:tcPr>
            <w:tcW w:w="1376" w:type="dxa"/>
            <w:noWrap w:val="0"/>
            <w:vAlign w:val="center"/>
          </w:tcPr>
          <w:p>
            <w:pPr>
              <w:jc w:val="center"/>
              <w:rPr>
                <w:rFonts w:hint="eastAsia" w:ascii="宋体" w:hAnsi="宋体"/>
                <w:b/>
                <w:bCs/>
                <w:szCs w:val="21"/>
              </w:rPr>
            </w:pPr>
            <w:r>
              <w:rPr>
                <w:rFonts w:hint="eastAsia" w:ascii="宋体" w:hAnsi="宋体"/>
                <w:b/>
                <w:bCs/>
                <w:szCs w:val="21"/>
              </w:rPr>
              <w:t>投标方保证型式、规格</w:t>
            </w:r>
          </w:p>
        </w:tc>
        <w:tc>
          <w:tcPr>
            <w:tcW w:w="1559" w:type="dxa"/>
            <w:noWrap w:val="0"/>
            <w:vAlign w:val="center"/>
          </w:tcPr>
          <w:p>
            <w:pPr>
              <w:jc w:val="center"/>
              <w:rPr>
                <w:rFonts w:hint="eastAsia" w:ascii="宋体" w:hAnsi="宋体"/>
                <w:b/>
                <w:bCs/>
                <w:szCs w:val="21"/>
              </w:rPr>
            </w:pPr>
            <w:r>
              <w:rPr>
                <w:rFonts w:hint="eastAsia" w:ascii="宋体" w:hAnsi="宋体"/>
                <w:b/>
                <w:bCs/>
                <w:szCs w:val="21"/>
              </w:rPr>
              <w:t>投标方保证数量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安全网关</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台</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szCs w:val="21"/>
              </w:rPr>
              <w:t>符合</w:t>
            </w:r>
            <w:r>
              <w:rPr>
                <w:rFonts w:hint="eastAsia" w:ascii="宋体" w:hAnsi="宋体"/>
                <w:szCs w:val="21"/>
                <w:lang w:val="en-US" w:eastAsia="zh-CN"/>
              </w:rPr>
              <w:t>技术要求5.2</w:t>
            </w:r>
            <w:r>
              <w:rPr>
                <w:rFonts w:hint="eastAsia" w:ascii="宋体" w:hAnsi="宋体"/>
                <w:szCs w:val="21"/>
              </w:rPr>
              <w:t>的要求。</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核心交换机</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台</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szCs w:val="21"/>
              </w:rPr>
              <w:t>符合</w:t>
            </w:r>
            <w:r>
              <w:rPr>
                <w:rFonts w:hint="eastAsia" w:ascii="宋体" w:hAnsi="宋体"/>
                <w:szCs w:val="21"/>
                <w:lang w:val="en-US" w:eastAsia="zh-CN"/>
              </w:rPr>
              <w:t>技术要求5.3</w:t>
            </w:r>
            <w:r>
              <w:rPr>
                <w:rFonts w:hint="eastAsia" w:ascii="宋体" w:hAnsi="宋体"/>
                <w:szCs w:val="21"/>
              </w:rPr>
              <w:t>的要求。</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汇聚交换机</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台</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szCs w:val="21"/>
              </w:rPr>
              <w:t>符合</w:t>
            </w:r>
            <w:r>
              <w:rPr>
                <w:rFonts w:hint="eastAsia" w:ascii="宋体" w:hAnsi="宋体"/>
                <w:szCs w:val="21"/>
                <w:lang w:val="en-US" w:eastAsia="zh-CN"/>
              </w:rPr>
              <w:t>技术要求5.4</w:t>
            </w:r>
            <w:r>
              <w:rPr>
                <w:rFonts w:hint="eastAsia" w:ascii="宋体" w:hAnsi="宋体"/>
                <w:szCs w:val="21"/>
              </w:rPr>
              <w:t>的要求。</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区域通讯单元</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套</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szCs w:val="21"/>
              </w:rPr>
              <w:t>符合</w:t>
            </w:r>
            <w:r>
              <w:rPr>
                <w:rFonts w:hint="eastAsia" w:ascii="宋体" w:hAnsi="宋体"/>
                <w:szCs w:val="21"/>
                <w:lang w:val="en-US" w:eastAsia="zh-CN"/>
              </w:rPr>
              <w:t>技术要求5.5</w:t>
            </w:r>
            <w:r>
              <w:rPr>
                <w:rFonts w:hint="eastAsia" w:ascii="宋体" w:hAnsi="宋体"/>
                <w:szCs w:val="21"/>
              </w:rPr>
              <w:t>的要求。</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45</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电力机柜</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套</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定制</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6</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NVR</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台</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szCs w:val="21"/>
              </w:rPr>
              <w:t>符合</w:t>
            </w:r>
            <w:r>
              <w:rPr>
                <w:rFonts w:hint="eastAsia" w:ascii="宋体" w:hAnsi="宋体"/>
                <w:szCs w:val="21"/>
                <w:lang w:val="en-US" w:eastAsia="zh-CN"/>
              </w:rPr>
              <w:t>技术要求5.1</w:t>
            </w:r>
            <w:r>
              <w:rPr>
                <w:rFonts w:hint="eastAsia" w:ascii="宋体" w:hAnsi="宋体"/>
                <w:szCs w:val="21"/>
              </w:rPr>
              <w:t>的要求。</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7</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显示器</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台</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19英寸显示器4K高清IPS显示屏，屏幕分辨率：3840x2160像素、含键鼠套装</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8</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存储硬盘</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块</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12TB/64MB(6Gb/秒 NCQ)/5900RPM/SATA3      3.5寸</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26</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9</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光电转换器</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对</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单模千兆，5km、带支架</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10</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光纤配线架</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只</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国优</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11</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光纤跳线</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根</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单模千兆、3m</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100</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12</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光纤融纤</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芯</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包含尾纤、耦合器</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600</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13</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配电箱</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台</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防水等级IP67，内装220V空开，检修插座，和接线端子，含安装支架；</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45</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14</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光纤熔接箱</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个</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定制国优，含安装支架；</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45</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15</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通信光缆</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米</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单模24芯、铠装</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7000</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16</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电源线</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米</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阻燃电缆WDZA-RVV-3*1.5</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17000</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17</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网线</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米</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CAT6E，阻燃外护套</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13000</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18</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辅助材料</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套</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电源防水接线盒、膨胀螺丝不锈钢线管、不锈钢软管、设备标识牌等，按项目实际需求提供；</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19</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网线</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米</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CAT6E，阻燃外护套</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900</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不锈钢线管</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米</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DN32</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3200</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21</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不锈钢软管</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米</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DN32</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200</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22</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设备标识牌</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米</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定做</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162</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23</w:t>
            </w:r>
          </w:p>
        </w:tc>
        <w:tc>
          <w:tcPr>
            <w:tcW w:w="100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辅助材料</w:t>
            </w:r>
          </w:p>
        </w:tc>
        <w:tc>
          <w:tcPr>
            <w:tcW w:w="993"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套</w:t>
            </w:r>
          </w:p>
        </w:tc>
        <w:tc>
          <w:tcPr>
            <w:tcW w:w="1842"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电源防水接线盒、膨胀螺丝等，按项目实际需求提供；</w:t>
            </w:r>
          </w:p>
        </w:tc>
        <w:tc>
          <w:tcPr>
            <w:tcW w:w="1500"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w:t>
            </w:r>
          </w:p>
        </w:tc>
        <w:tc>
          <w:tcPr>
            <w:tcW w:w="1376"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c>
          <w:tcPr>
            <w:tcW w:w="1559" w:type="dxa"/>
            <w:noWrap w:val="0"/>
            <w:vAlign w:val="center"/>
          </w:tcPr>
          <w:p>
            <w:pPr>
              <w:keepNext w:val="0"/>
              <w:keepLines w:val="0"/>
              <w:widowControl/>
              <w:suppressLineNumbers w:val="0"/>
              <w:jc w:val="center"/>
              <w:textAlignment w:val="center"/>
              <w:rPr>
                <w:rFonts w:hint="eastAsia" w:ascii="宋体" w:hAnsi="宋体" w:eastAsia="宋体" w:cs="Times New Roman"/>
                <w:szCs w:val="21"/>
                <w:lang w:val="en-US" w:eastAsia="zh-CN"/>
              </w:rPr>
            </w:pPr>
          </w:p>
        </w:tc>
      </w:tr>
    </w:tbl>
    <w:p>
      <w:pPr>
        <w:jc w:val="center"/>
        <w:rPr>
          <w:rFonts w:hint="eastAsia" w:ascii="宋体" w:hAnsi="宋体"/>
          <w:szCs w:val="21"/>
        </w:rPr>
      </w:pPr>
    </w:p>
    <w:p>
      <w:pPr>
        <w:pStyle w:val="15"/>
        <w:adjustRightInd w:val="0"/>
        <w:snapToGrid w:val="0"/>
        <w:spacing w:before="156" w:beforeLines="50" w:line="360" w:lineRule="auto"/>
        <w:rPr>
          <w:rFonts w:ascii="宋体" w:hAnsi="宋体" w:eastAsia="宋体" w:cs="Times New Roman"/>
          <w:szCs w:val="21"/>
        </w:rPr>
      </w:pPr>
      <w:bookmarkStart w:id="39" w:name="_Toc52269050"/>
      <w:r>
        <w:rPr>
          <w:rFonts w:ascii="宋体" w:hAnsi="宋体" w:eastAsia="宋体" w:cs="Times New Roman"/>
          <w:szCs w:val="21"/>
        </w:rPr>
        <w:t>供货范围包括:</w:t>
      </w:r>
    </w:p>
    <w:p>
      <w:pPr>
        <w:pStyle w:val="15"/>
        <w:adjustRightInd w:val="0"/>
        <w:snapToGrid w:val="0"/>
        <w:spacing w:line="360" w:lineRule="auto"/>
        <w:ind w:firstLine="630" w:firstLineChars="300"/>
        <w:rPr>
          <w:rFonts w:ascii="宋体" w:hAnsi="宋体" w:eastAsia="宋体"/>
          <w:color w:val="000000"/>
        </w:rPr>
      </w:pPr>
      <w:r>
        <w:rPr>
          <w:rFonts w:ascii="宋体" w:hAnsi="宋体" w:eastAsia="宋体"/>
          <w:color w:val="000000"/>
        </w:rPr>
        <w:t>a</w:t>
      </w:r>
      <w:r>
        <w:rPr>
          <w:rFonts w:hint="eastAsia" w:ascii="宋体" w:hAnsi="宋体" w:eastAsia="宋体"/>
          <w:color w:val="000000"/>
        </w:rPr>
        <w:t>．</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p>
    <w:p>
      <w:pPr>
        <w:pStyle w:val="15"/>
        <w:adjustRightInd w:val="0"/>
        <w:snapToGrid w:val="0"/>
        <w:spacing w:line="360" w:lineRule="auto"/>
        <w:ind w:firstLine="630" w:firstLineChars="300"/>
        <w:rPr>
          <w:rFonts w:hint="eastAsia" w:ascii="宋体" w:hAnsi="宋体" w:eastAsia="宋体" w:cs="Times New Roman"/>
          <w:color w:val="000000"/>
          <w:szCs w:val="21"/>
        </w:rPr>
      </w:pPr>
      <w:r>
        <w:rPr>
          <w:rFonts w:ascii="宋体" w:hAnsi="宋体" w:eastAsia="宋体" w:cs="Times New Roman"/>
          <w:color w:val="000000"/>
          <w:szCs w:val="21"/>
        </w:rPr>
        <w:t>b</w:t>
      </w:r>
      <w:r>
        <w:rPr>
          <w:rFonts w:hint="eastAsia" w:ascii="宋体" w:hAnsi="宋体" w:eastAsia="宋体" w:cs="Times New Roman"/>
          <w:color w:val="000000"/>
          <w:szCs w:val="21"/>
        </w:rPr>
        <w:t>．安装附件</w:t>
      </w:r>
    </w:p>
    <w:p>
      <w:pPr>
        <w:pStyle w:val="15"/>
        <w:adjustRightInd w:val="0"/>
        <w:snapToGrid w:val="0"/>
        <w:spacing w:line="360" w:lineRule="auto"/>
        <w:ind w:firstLine="630" w:firstLineChars="300"/>
        <w:rPr>
          <w:rFonts w:hint="eastAsia" w:ascii="宋体" w:hAnsi="宋体" w:eastAsia="宋体" w:cs="Times New Roman"/>
          <w:color w:val="000000"/>
          <w:szCs w:val="21"/>
        </w:rPr>
      </w:pPr>
      <w:r>
        <w:rPr>
          <w:rFonts w:hint="eastAsia" w:ascii="宋体" w:hAnsi="宋体" w:eastAsia="宋体" w:cs="Times New Roman"/>
          <w:color w:val="000000"/>
          <w:szCs w:val="21"/>
        </w:rPr>
        <w:t>c．</w:t>
      </w:r>
      <w:r>
        <w:rPr>
          <w:rFonts w:ascii="宋体" w:hAnsi="宋体" w:eastAsia="宋体" w:cs="Times New Roman"/>
          <w:color w:val="000000"/>
          <w:szCs w:val="21"/>
        </w:rPr>
        <w:t>备品备件及专用工具等</w:t>
      </w:r>
      <w:r>
        <w:rPr>
          <w:rFonts w:hint="eastAsia" w:ascii="宋体" w:hAnsi="宋体" w:eastAsia="宋体" w:cs="Times New Roman"/>
          <w:color w:val="000000"/>
          <w:szCs w:val="21"/>
        </w:rPr>
        <w:t>详见表10.1和表10.2。</w:t>
      </w:r>
    </w:p>
    <w:p>
      <w:pPr>
        <w:pStyle w:val="15"/>
        <w:adjustRightInd w:val="0"/>
        <w:snapToGrid w:val="0"/>
        <w:spacing w:line="360" w:lineRule="auto"/>
        <w:rPr>
          <w:rFonts w:hint="eastAsia" w:ascii="宋体" w:hAnsi="宋体" w:eastAsia="宋体" w:cs="Times New Roman"/>
          <w:szCs w:val="21"/>
        </w:rPr>
      </w:pPr>
      <w:r>
        <w:rPr>
          <w:rFonts w:hint="eastAsia" w:ascii="宋体" w:hAnsi="宋体" w:eastAsia="宋体" w:cs="Times New Roman"/>
          <w:szCs w:val="21"/>
        </w:rPr>
        <w:t>3）工厂试验由投标方在生产厂家内完成，但应有招标方代表参加，参加工厂验收的人数及天数等规定详见标书商务部分。</w:t>
      </w:r>
    </w:p>
    <w:p>
      <w:pPr>
        <w:pStyle w:val="15"/>
        <w:adjustRightInd w:val="0"/>
        <w:snapToGrid w:val="0"/>
        <w:spacing w:line="360" w:lineRule="auto"/>
        <w:rPr>
          <w:rFonts w:hint="eastAsia" w:ascii="宋体" w:hAnsi="宋体" w:eastAsia="宋体" w:cs="Times New Roman"/>
          <w:szCs w:val="21"/>
        </w:rPr>
      </w:pPr>
      <w:r>
        <w:rPr>
          <w:rFonts w:hint="eastAsia" w:ascii="宋体" w:hAnsi="宋体" w:eastAsia="宋体" w:cs="Times New Roman"/>
          <w:szCs w:val="21"/>
        </w:rPr>
        <w:t>4）现场安装和试验在投标方的技术指导下由招标方完成，投标方协助招标方按标准检查安装质量，处理调试投运过程中出现的问题，并提供备品、备件，做好销售服务工作。投标方应选派有经验的技术人员，对安装和运行人员免费培训。安装督导的工作范围及人数和天数等规定详见标书商务部分。</w:t>
      </w:r>
    </w:p>
    <w:p>
      <w:pPr>
        <w:pStyle w:val="15"/>
        <w:adjustRightInd w:val="0"/>
        <w:snapToGrid w:val="0"/>
        <w:spacing w:line="360" w:lineRule="auto"/>
        <w:rPr>
          <w:rFonts w:hint="eastAsia" w:ascii="宋体" w:hAnsi="宋体" w:eastAsia="宋体" w:cs="Times New Roman"/>
          <w:szCs w:val="21"/>
        </w:rPr>
      </w:pPr>
      <w:r>
        <w:rPr>
          <w:rFonts w:hint="eastAsia" w:ascii="宋体" w:hAnsi="宋体" w:eastAsia="宋体" w:cs="Times New Roman"/>
          <w:szCs w:val="21"/>
        </w:rPr>
        <w:t>5）投标方应协助招标方解决设备运行中出现的问题。</w:t>
      </w:r>
    </w:p>
    <w:p>
      <w:pPr>
        <w:pStyle w:val="15"/>
        <w:adjustRightInd w:val="0"/>
        <w:snapToGrid w:val="0"/>
        <w:spacing w:line="360" w:lineRule="auto"/>
        <w:rPr>
          <w:rFonts w:hint="eastAsia" w:ascii="宋体" w:hAnsi="宋体" w:eastAsia="宋体" w:cs="Times New Roman"/>
          <w:szCs w:val="21"/>
        </w:rPr>
      </w:pPr>
      <w:r>
        <w:rPr>
          <w:rFonts w:hint="eastAsia" w:ascii="宋体" w:hAnsi="宋体" w:eastAsia="宋体" w:cs="Times New Roman"/>
          <w:szCs w:val="21"/>
        </w:rPr>
        <w:t>6）设计联络会议的地点及招标方参加人员的人数和天数等规定详见标书商务部分。</w:t>
      </w:r>
    </w:p>
    <w:p>
      <w:pPr>
        <w:pStyle w:val="15"/>
        <w:adjustRightInd w:val="0"/>
        <w:snapToGrid w:val="0"/>
        <w:spacing w:line="360" w:lineRule="auto"/>
        <w:rPr>
          <w:rFonts w:ascii="宋体" w:hAnsi="宋体" w:eastAsia="宋体" w:cs="Times New Roman"/>
          <w:szCs w:val="21"/>
        </w:rPr>
      </w:pPr>
      <w:r>
        <w:rPr>
          <w:rFonts w:hint="eastAsia" w:ascii="宋体" w:hAnsi="宋体" w:eastAsia="宋体" w:cs="Times New Roman"/>
          <w:szCs w:val="21"/>
        </w:rPr>
        <w:t>7）设备安装、调试和性能试验合格后方可投运。设备投运并稳定运行后，投标方和招标方（业主）双方应根据相关法律、法规和公司管理制度签署合同设备的验收证明书。该证明书共两份，双方各执一份。</w:t>
      </w:r>
    </w:p>
    <w:p>
      <w:pPr>
        <w:pStyle w:val="15"/>
        <w:adjustRightInd w:val="0"/>
        <w:snapToGrid w:val="0"/>
        <w:spacing w:line="360" w:lineRule="auto"/>
        <w:rPr>
          <w:rFonts w:hint="eastAsia" w:ascii="宋体" w:hAnsi="宋体" w:eastAsia="宋体" w:cs="Times New Roman"/>
          <w:szCs w:val="21"/>
        </w:rPr>
      </w:pPr>
      <w:r>
        <w:rPr>
          <w:rFonts w:hint="eastAsia" w:ascii="宋体" w:hAnsi="宋体" w:eastAsia="宋体" w:cs="Times New Roman"/>
          <w:szCs w:val="21"/>
        </w:rPr>
        <w:t>8）如果安装、调试、性能试验、试运行及质保期内技术指标一项或多项不能满足合同技术部分要求，买卖双方共同分析原因，分清责任，如属制造方面的原因，或涉及索赔部分，按商务部分有关条款执行。</w:t>
      </w:r>
    </w:p>
    <w:p>
      <w:pPr>
        <w:pStyle w:val="3"/>
        <w:numPr>
          <w:ilvl w:val="0"/>
          <w:numId w:val="0"/>
        </w:numPr>
        <w:rPr>
          <w:rFonts w:eastAsia="仿宋"/>
          <w:color w:val="auto"/>
          <w:highlight w:val="none"/>
        </w:rPr>
      </w:pPr>
      <w:bookmarkStart w:id="40" w:name="_Toc23317"/>
      <w:bookmarkStart w:id="41" w:name="_Toc14547"/>
      <w:bookmarkStart w:id="42" w:name="_Toc384340980"/>
      <w:bookmarkStart w:id="43" w:name="_Toc126594048"/>
      <w:bookmarkStart w:id="44" w:name="_Toc29941"/>
      <w:r>
        <w:rPr>
          <w:rFonts w:eastAsia="黑体"/>
          <w:b/>
          <w:color w:val="auto"/>
          <w:sz w:val="21"/>
          <w:szCs w:val="21"/>
          <w:highlight w:val="none"/>
        </w:rPr>
        <w:t>3 应遵循的主要标准</w:t>
      </w:r>
      <w:bookmarkEnd w:id="40"/>
      <w:bookmarkEnd w:id="41"/>
      <w:bookmarkEnd w:id="42"/>
      <w:bookmarkEnd w:id="43"/>
      <w:bookmarkEnd w:id="44"/>
    </w:p>
    <w:p>
      <w:pPr>
        <w:adjustRightInd w:val="0"/>
        <w:snapToGrid w:val="0"/>
        <w:spacing w:line="360" w:lineRule="auto"/>
        <w:ind w:firstLine="420" w:firstLineChars="200"/>
        <w:rPr>
          <w:color w:val="auto"/>
          <w:highlight w:val="none"/>
        </w:rPr>
      </w:pPr>
      <w:r>
        <w:rPr>
          <w:color w:val="auto"/>
          <w:highlight w:val="none"/>
        </w:rPr>
        <w:t>除本规范书特殊规定外，投标方所提供的设备均按规定的标准和规程的最新版本进行设计、制造、试验和安装。如果这些标准内容有矛盾时，应按最高标准的条款执行或按双方商定的标准执行。如果投标方选用本规范书规定以外的标准时，则需提交这种替换标准供审查和分析。仅在投标方已证明替换标准相当或优于规范书规定的标准，并从招标方处获得书面的认可才能使用。</w:t>
      </w:r>
      <w:r>
        <w:rPr>
          <w:rFonts w:hint="eastAsia"/>
          <w:color w:val="auto"/>
          <w:highlight w:val="none"/>
          <w:lang w:eastAsia="zh-CN"/>
        </w:rPr>
        <w:t>提交</w:t>
      </w:r>
      <w:r>
        <w:rPr>
          <w:color w:val="auto"/>
          <w:highlight w:val="none"/>
        </w:rPr>
        <w:t>审查的标准应为中文或英文版本。主要引用标准如下：</w:t>
      </w:r>
    </w:p>
    <w:tbl>
      <w:tblPr>
        <w:tblStyle w:val="11"/>
        <w:tblW w:w="0" w:type="auto"/>
        <w:tblInd w:w="0" w:type="dxa"/>
        <w:tblLayout w:type="fixed"/>
        <w:tblCellMar>
          <w:top w:w="0" w:type="dxa"/>
          <w:left w:w="108" w:type="dxa"/>
          <w:bottom w:w="0" w:type="dxa"/>
          <w:right w:w="108" w:type="dxa"/>
        </w:tblCellMar>
      </w:tblPr>
      <w:tblGrid>
        <w:gridCol w:w="2090"/>
        <w:gridCol w:w="6631"/>
      </w:tblGrid>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kern w:val="2"/>
                <w:sz w:val="21"/>
                <w:szCs w:val="21"/>
                <w:highlight w:val="none"/>
                <w:lang w:val="en-US" w:eastAsia="zh-CN" w:bidi="ar-SA"/>
              </w:rPr>
            </w:pPr>
            <w:bookmarkStart w:id="45" w:name="OLE_LINK1"/>
            <w:r>
              <w:rPr>
                <w:color w:val="auto"/>
                <w:szCs w:val="21"/>
                <w:highlight w:val="none"/>
              </w:rPr>
              <w:t>GB 4208</w:t>
            </w:r>
          </w:p>
        </w:tc>
        <w:tc>
          <w:tcPr>
            <w:tcW w:w="6631" w:type="dxa"/>
            <w:noWrap w:val="0"/>
            <w:vAlign w:val="top"/>
          </w:tcPr>
          <w:p>
            <w:pPr>
              <w:adjustRightInd w:val="0"/>
              <w:snapToGrid w:val="0"/>
              <w:spacing w:line="360" w:lineRule="auto"/>
              <w:rPr>
                <w:color w:val="auto"/>
                <w:kern w:val="2"/>
                <w:sz w:val="21"/>
                <w:szCs w:val="21"/>
                <w:highlight w:val="none"/>
                <w:lang w:val="en-US" w:eastAsia="zh-CN" w:bidi="ar-SA"/>
              </w:rPr>
            </w:pPr>
            <w:r>
              <w:rPr>
                <w:color w:val="auto"/>
                <w:szCs w:val="21"/>
                <w:highlight w:val="none"/>
              </w:rPr>
              <w:t>外壳防护等级（IP 代码）</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rFonts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rPr>
              <w:t>GB</w:t>
            </w:r>
            <w:r>
              <w:rPr>
                <w:rFonts w:hint="default" w:ascii="Times New Roman" w:hAnsi="Times New Roman" w:eastAsia="宋体" w:cs="Times New Roman"/>
                <w:color w:val="auto"/>
                <w:szCs w:val="21"/>
                <w:highlight w:val="none"/>
                <w:lang w:val="en-US" w:eastAsia="zh-CN"/>
              </w:rPr>
              <w:t xml:space="preserve"> </w:t>
            </w:r>
            <w:r>
              <w:rPr>
                <w:rFonts w:hint="default" w:ascii="Times New Roman" w:hAnsi="Times New Roman" w:eastAsia="宋体" w:cs="Times New Roman"/>
                <w:color w:val="auto"/>
                <w:szCs w:val="21"/>
                <w:highlight w:val="none"/>
              </w:rPr>
              <w:t>4943</w:t>
            </w:r>
            <w:r>
              <w:rPr>
                <w:rFonts w:hint="default" w:ascii="Times New Roman" w:hAnsi="Times New Roman" w:eastAsia="宋体" w:cs="Times New Roman"/>
                <w:color w:val="auto"/>
                <w:szCs w:val="21"/>
                <w:highlight w:val="none"/>
                <w:lang w:val="en-US" w:eastAsia="zh-CN"/>
              </w:rPr>
              <w:t>.1</w:t>
            </w:r>
          </w:p>
        </w:tc>
        <w:tc>
          <w:tcPr>
            <w:tcW w:w="6631" w:type="dxa"/>
            <w:noWrap w:val="0"/>
            <w:vAlign w:val="top"/>
          </w:tcPr>
          <w:p>
            <w:pPr>
              <w:tabs>
                <w:tab w:val="left" w:pos="2202"/>
              </w:tabs>
              <w:adjustRightInd w:val="0"/>
              <w:snapToGrid w:val="0"/>
              <w:spacing w:line="360" w:lineRule="auto"/>
              <w:rPr>
                <w:rFonts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rPr>
              <w:t>音视频、信息技术和通信技术设备 第1部分：安全要求</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kern w:val="2"/>
                <w:sz w:val="21"/>
                <w:szCs w:val="21"/>
                <w:highlight w:val="none"/>
                <w:lang w:val="en-US" w:eastAsia="zh-CN" w:bidi="ar-SA"/>
              </w:rPr>
            </w:pPr>
            <w:r>
              <w:rPr>
                <w:color w:val="auto"/>
                <w:szCs w:val="21"/>
                <w:highlight w:val="none"/>
              </w:rPr>
              <w:t>GB 9361</w:t>
            </w:r>
          </w:p>
        </w:tc>
        <w:tc>
          <w:tcPr>
            <w:tcW w:w="6631" w:type="dxa"/>
            <w:noWrap w:val="0"/>
            <w:vAlign w:val="top"/>
          </w:tcPr>
          <w:p>
            <w:pPr>
              <w:adjustRightInd w:val="0"/>
              <w:snapToGrid w:val="0"/>
              <w:spacing w:line="360" w:lineRule="auto"/>
              <w:rPr>
                <w:color w:val="auto"/>
                <w:kern w:val="2"/>
                <w:sz w:val="21"/>
                <w:szCs w:val="21"/>
                <w:highlight w:val="none"/>
                <w:lang w:val="en-US" w:eastAsia="zh-CN" w:bidi="ar-SA"/>
              </w:rPr>
            </w:pPr>
            <w:r>
              <w:rPr>
                <w:color w:val="auto"/>
                <w:szCs w:val="21"/>
                <w:highlight w:val="none"/>
              </w:rPr>
              <w:t>计算站场地安全要求</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 2423.1</w:t>
            </w:r>
          </w:p>
        </w:tc>
        <w:tc>
          <w:tcPr>
            <w:tcW w:w="6631"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电工电子产品环境试验 第 2 部分：试验方法 试验 A：低温GB</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w:t>
            </w:r>
            <w:r>
              <w:rPr>
                <w:rFonts w:hint="eastAsia"/>
                <w:color w:val="auto"/>
                <w:szCs w:val="21"/>
                <w:highlight w:val="none"/>
                <w:lang w:val="en-US" w:eastAsia="zh-CN"/>
              </w:rPr>
              <w:t xml:space="preserve"> </w:t>
            </w:r>
            <w:r>
              <w:rPr>
                <w:color w:val="auto"/>
                <w:szCs w:val="21"/>
                <w:highlight w:val="none"/>
              </w:rPr>
              <w:t>2423.2</w:t>
            </w:r>
          </w:p>
        </w:tc>
        <w:tc>
          <w:tcPr>
            <w:tcW w:w="6631"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电工电子产品环境试验 第 2 部分：试验方法 试验 B：高温GB</w:t>
            </w:r>
            <w:r>
              <w:rPr>
                <w:color w:val="auto"/>
                <w:highlight w:val="none"/>
              </w:rPr>
              <w:t xml:space="preserve">  </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w:t>
            </w:r>
            <w:r>
              <w:rPr>
                <w:rFonts w:hint="eastAsia"/>
                <w:color w:val="auto"/>
                <w:szCs w:val="21"/>
                <w:highlight w:val="none"/>
                <w:lang w:val="en-US" w:eastAsia="zh-CN"/>
              </w:rPr>
              <w:t xml:space="preserve"> </w:t>
            </w:r>
            <w:r>
              <w:rPr>
                <w:color w:val="auto"/>
                <w:szCs w:val="21"/>
                <w:highlight w:val="none"/>
              </w:rPr>
              <w:t>2423.3</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电工电子产品环境试验 第 2 部分：试验方法 试验 Cab：恒定湿热试验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 2423.22</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电工电子产品环境试验 第 2 部分：试验方法 试验 N：温度变化</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7261</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继电保护和安全自动装置基本试验方法</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7674</w:t>
            </w:r>
          </w:p>
        </w:tc>
        <w:tc>
          <w:tcPr>
            <w:tcW w:w="6631" w:type="dxa"/>
            <w:noWrap w:val="0"/>
            <w:vAlign w:val="top"/>
          </w:tcPr>
          <w:p>
            <w:pPr>
              <w:adjustRightInd w:val="0"/>
              <w:snapToGrid w:val="0"/>
              <w:spacing w:line="360" w:lineRule="auto"/>
              <w:rPr>
                <w:color w:val="auto"/>
                <w:szCs w:val="21"/>
                <w:highlight w:val="none"/>
              </w:rPr>
            </w:pPr>
            <w:r>
              <w:rPr>
                <w:color w:val="auto"/>
                <w:highlight w:val="none"/>
              </w:rPr>
              <w:fldChar w:fldCharType="begin"/>
            </w:r>
            <w:r>
              <w:rPr>
                <w:color w:val="auto"/>
                <w:highlight w:val="none"/>
              </w:rPr>
              <w:instrText xml:space="preserve"> HYPERLINK "http://10.150.161.32/StandardInfo.aspx?bid=c8a1ed1d-1fbb-457e-b104-523b06b845ce" \t "_blank" </w:instrText>
            </w:r>
            <w:r>
              <w:rPr>
                <w:color w:val="auto"/>
                <w:highlight w:val="none"/>
              </w:rPr>
              <w:fldChar w:fldCharType="separate"/>
            </w:r>
            <w:r>
              <w:rPr>
                <w:color w:val="auto"/>
                <w:szCs w:val="21"/>
                <w:highlight w:val="none"/>
              </w:rPr>
              <w:t>额定电压72.5kV及以上气体绝缘金属封闭开关设备</w:t>
            </w:r>
            <w:r>
              <w:rPr>
                <w:color w:val="auto"/>
                <w:szCs w:val="21"/>
                <w:highlight w:val="none"/>
              </w:rPr>
              <w:fldChar w:fldCharType="end"/>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11287</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电气继电器 第 21 部分 量度继电器和保护装置的振动、冲击、碰撞和地震试验 第1 篇：振动试验（正弦）</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14537</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量度继电器和保护装置的冲击与碰撞试验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17626.1</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电磁兼容 试验和测量技术 抗扰度试验总论</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17626.2</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电磁兼容 试验和测量技术 静电放电抗扰度试验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17626.4</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电磁兼容 试验和测量技术 电快速瞬变脉冲群抗扰度试验</w:t>
            </w:r>
          </w:p>
        </w:tc>
      </w:tr>
      <w:tr>
        <w:tblPrEx>
          <w:tblCellMar>
            <w:top w:w="0" w:type="dxa"/>
            <w:left w:w="108" w:type="dxa"/>
            <w:bottom w:w="0" w:type="dxa"/>
            <w:right w:w="108" w:type="dxa"/>
          </w:tblCellMar>
        </w:tblPrEx>
        <w:trPr>
          <w:trHeight w:val="336" w:hRule="atLeast"/>
        </w:trPr>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17626.5</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电磁兼容 试验和测量技术 浪涌（冲击）抗扰度试验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17626.8</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电磁兼容 试验和测量技术 工频磁场抗扰度试验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17626.9</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电磁兼容 试验和测量技术 脉冲磁场抗扰度试验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17626.10</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电磁兼容 试验和测量技术 阻尼振荡磁场抗扰度试验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GB/T 17626.11</w:t>
            </w:r>
          </w:p>
        </w:tc>
        <w:tc>
          <w:tcPr>
            <w:tcW w:w="6631" w:type="dxa"/>
            <w:noWrap w:val="0"/>
            <w:vAlign w:val="top"/>
          </w:tcPr>
          <w:p>
            <w:pPr>
              <w:adjustRightInd w:val="0"/>
              <w:snapToGrid w:val="0"/>
              <w:spacing w:line="360" w:lineRule="auto"/>
              <w:rPr>
                <w:rFonts w:hint="eastAsia"/>
                <w:color w:val="auto"/>
                <w:szCs w:val="21"/>
                <w:highlight w:val="none"/>
              </w:rPr>
            </w:pPr>
            <w:r>
              <w:rPr>
                <w:color w:val="auto"/>
                <w:szCs w:val="21"/>
                <w:highlight w:val="none"/>
              </w:rPr>
              <w:t>电磁兼容 试验和测量技术 电压暂降、短时中断和电压变化的扰度</w:t>
            </w:r>
            <w:r>
              <w:rPr>
                <w:rFonts w:hint="eastAsia"/>
                <w:color w:val="auto"/>
                <w:szCs w:val="21"/>
                <w:highlight w:val="none"/>
              </w:rPr>
              <w:t>试验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kern w:val="0"/>
                <w:szCs w:val="21"/>
                <w:highlight w:val="none"/>
                <w:lang w:eastAsia="en-US" w:bidi="en-US"/>
              </w:rPr>
              <w:t>GB</w:t>
            </w:r>
            <w:r>
              <w:rPr>
                <w:rFonts w:hint="eastAsia"/>
                <w:color w:val="auto"/>
                <w:kern w:val="0"/>
                <w:szCs w:val="21"/>
                <w:highlight w:val="none"/>
                <w:lang w:bidi="en-US"/>
              </w:rPr>
              <w:t>/</w:t>
            </w:r>
            <w:r>
              <w:rPr>
                <w:color w:val="auto"/>
                <w:kern w:val="0"/>
                <w:szCs w:val="21"/>
                <w:highlight w:val="none"/>
                <w:lang w:eastAsia="en-US" w:bidi="en-US"/>
              </w:rPr>
              <w:t>T</w:t>
            </w:r>
            <w:r>
              <w:rPr>
                <w:rFonts w:hint="eastAsia"/>
                <w:color w:val="auto"/>
                <w:kern w:val="0"/>
                <w:szCs w:val="21"/>
                <w:highlight w:val="none"/>
                <w:lang w:val="en-US" w:eastAsia="zh-CN" w:bidi="en-US"/>
              </w:rPr>
              <w:t xml:space="preserve"> </w:t>
            </w:r>
            <w:r>
              <w:rPr>
                <w:color w:val="auto"/>
                <w:kern w:val="0"/>
                <w:szCs w:val="21"/>
                <w:highlight w:val="none"/>
                <w:lang w:eastAsia="en-US" w:bidi="en-US"/>
              </w:rPr>
              <w:t>22239</w:t>
            </w:r>
          </w:p>
        </w:tc>
        <w:tc>
          <w:tcPr>
            <w:tcW w:w="6631" w:type="dxa"/>
            <w:noWrap w:val="0"/>
            <w:vAlign w:val="top"/>
          </w:tcPr>
          <w:p>
            <w:pPr>
              <w:adjustRightInd w:val="0"/>
              <w:snapToGrid w:val="0"/>
              <w:spacing w:line="360" w:lineRule="auto"/>
              <w:rPr>
                <w:color w:val="auto"/>
                <w:szCs w:val="21"/>
                <w:highlight w:val="none"/>
              </w:rPr>
            </w:pPr>
            <w:r>
              <w:rPr>
                <w:rFonts w:hint="eastAsia"/>
                <w:color w:val="auto"/>
                <w:kern w:val="0"/>
                <w:szCs w:val="21"/>
                <w:highlight w:val="none"/>
                <w:lang w:bidi="en-US"/>
              </w:rPr>
              <w:t>信息安全技术 网络安全等级保护基本要求</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kern w:val="2"/>
                <w:sz w:val="21"/>
                <w:szCs w:val="21"/>
                <w:highlight w:val="none"/>
                <w:lang w:val="en-US" w:eastAsia="en-US" w:bidi="ar-SA"/>
              </w:rPr>
            </w:pPr>
            <w:r>
              <w:rPr>
                <w:color w:val="auto"/>
                <w:szCs w:val="21"/>
                <w:highlight w:val="none"/>
              </w:rPr>
              <w:t>GB/T 191</w:t>
            </w:r>
          </w:p>
        </w:tc>
        <w:tc>
          <w:tcPr>
            <w:tcW w:w="6631" w:type="dxa"/>
            <w:noWrap w:val="0"/>
            <w:vAlign w:val="top"/>
          </w:tcPr>
          <w:p>
            <w:pPr>
              <w:tabs>
                <w:tab w:val="left" w:pos="2202"/>
              </w:tabs>
              <w:adjustRightInd w:val="0"/>
              <w:snapToGrid w:val="0"/>
              <w:spacing w:line="360" w:lineRule="auto"/>
              <w:rPr>
                <w:color w:val="auto"/>
                <w:kern w:val="2"/>
                <w:sz w:val="21"/>
                <w:szCs w:val="21"/>
                <w:highlight w:val="none"/>
                <w:lang w:val="en-US" w:eastAsia="zh-CN" w:bidi="ar-SA"/>
              </w:rPr>
            </w:pPr>
            <w:r>
              <w:rPr>
                <w:color w:val="auto"/>
                <w:szCs w:val="21"/>
                <w:highlight w:val="none"/>
              </w:rPr>
              <w:t>包装储运图示标志</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kern w:val="0"/>
                <w:szCs w:val="21"/>
                <w:highlight w:val="none"/>
                <w:lang w:eastAsia="en-US" w:bidi="en-US"/>
              </w:rPr>
              <w:t>国家发改委14号令</w:t>
            </w:r>
          </w:p>
        </w:tc>
        <w:tc>
          <w:tcPr>
            <w:tcW w:w="6631" w:type="dxa"/>
            <w:noWrap w:val="0"/>
            <w:vAlign w:val="top"/>
          </w:tcPr>
          <w:p>
            <w:pPr>
              <w:adjustRightInd w:val="0"/>
              <w:snapToGrid w:val="0"/>
              <w:spacing w:line="360" w:lineRule="auto"/>
              <w:rPr>
                <w:color w:val="auto"/>
                <w:szCs w:val="21"/>
                <w:highlight w:val="none"/>
              </w:rPr>
            </w:pPr>
            <w:r>
              <w:rPr>
                <w:color w:val="auto"/>
                <w:kern w:val="0"/>
                <w:szCs w:val="21"/>
                <w:highlight w:val="none"/>
                <w:lang w:bidi="en-US"/>
              </w:rPr>
              <w:t>电力监控系统安全防护规定</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kern w:val="0"/>
                <w:szCs w:val="21"/>
                <w:highlight w:val="none"/>
                <w:lang w:eastAsia="en-US" w:bidi="en-US"/>
              </w:rPr>
              <w:t>国能安全〔2015〕36号</w:t>
            </w:r>
          </w:p>
        </w:tc>
        <w:tc>
          <w:tcPr>
            <w:tcW w:w="6631" w:type="dxa"/>
            <w:noWrap w:val="0"/>
            <w:vAlign w:val="top"/>
          </w:tcPr>
          <w:p>
            <w:pPr>
              <w:adjustRightInd w:val="0"/>
              <w:snapToGrid w:val="0"/>
              <w:spacing w:line="360" w:lineRule="auto"/>
              <w:rPr>
                <w:color w:val="auto"/>
                <w:szCs w:val="21"/>
                <w:highlight w:val="none"/>
              </w:rPr>
            </w:pPr>
            <w:r>
              <w:rPr>
                <w:color w:val="auto"/>
                <w:kern w:val="0"/>
                <w:szCs w:val="21"/>
                <w:highlight w:val="none"/>
                <w:lang w:bidi="en-US"/>
              </w:rPr>
              <w:t>电力监控系统安全防护总体方案等安全防护方案和评估规范</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GJB/Z 299B</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电子设备可靠性预计手册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DL/T 860</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变电站通信网络和系统</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DL/T 1146</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DL/T 860实施技术规范</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rFonts w:hint="eastAsia"/>
                <w:color w:val="auto"/>
                <w:kern w:val="2"/>
                <w:sz w:val="21"/>
                <w:szCs w:val="21"/>
                <w:highlight w:val="none"/>
                <w:lang w:val="en-US" w:eastAsia="zh-CN" w:bidi="ar-SA"/>
              </w:rPr>
            </w:pPr>
            <w:r>
              <w:rPr>
                <w:rFonts w:hint="eastAsia"/>
                <w:color w:val="auto"/>
                <w:szCs w:val="21"/>
                <w:highlight w:val="none"/>
              </w:rPr>
              <w:t>DL</w:t>
            </w:r>
            <w:r>
              <w:rPr>
                <w:color w:val="auto"/>
                <w:szCs w:val="21"/>
                <w:highlight w:val="none"/>
              </w:rPr>
              <w:t>/T 1506</w:t>
            </w:r>
          </w:p>
        </w:tc>
        <w:tc>
          <w:tcPr>
            <w:tcW w:w="6631" w:type="dxa"/>
            <w:noWrap w:val="0"/>
            <w:vAlign w:val="top"/>
          </w:tcPr>
          <w:p>
            <w:pPr>
              <w:tabs>
                <w:tab w:val="left" w:pos="2202"/>
              </w:tabs>
              <w:adjustRightInd w:val="0"/>
              <w:snapToGrid w:val="0"/>
              <w:spacing w:line="360" w:lineRule="auto"/>
              <w:rPr>
                <w:rFonts w:hint="eastAsia"/>
                <w:color w:val="auto"/>
                <w:kern w:val="2"/>
                <w:sz w:val="21"/>
                <w:szCs w:val="21"/>
                <w:highlight w:val="none"/>
                <w:lang w:val="en-US" w:eastAsia="zh-CN" w:bidi="ar-SA"/>
              </w:rPr>
            </w:pPr>
            <w:r>
              <w:rPr>
                <w:rFonts w:hint="eastAsia"/>
                <w:color w:val="auto"/>
                <w:szCs w:val="21"/>
                <w:highlight w:val="none"/>
              </w:rPr>
              <w:t>高压交流电缆在线监测系统通用技术规范</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Q/CSG 1203020</w:t>
            </w:r>
          </w:p>
        </w:tc>
        <w:tc>
          <w:tcPr>
            <w:tcW w:w="6631" w:type="dxa"/>
            <w:noWrap w:val="0"/>
            <w:vAlign w:val="top"/>
          </w:tcPr>
          <w:p>
            <w:pPr>
              <w:adjustRightInd w:val="0"/>
              <w:snapToGrid w:val="0"/>
              <w:spacing w:line="360" w:lineRule="auto"/>
              <w:rPr>
                <w:color w:val="auto"/>
                <w:szCs w:val="21"/>
                <w:highlight w:val="none"/>
              </w:rPr>
            </w:pPr>
            <w:r>
              <w:rPr>
                <w:color w:val="auto"/>
                <w:szCs w:val="21"/>
                <w:highlight w:val="none"/>
              </w:rPr>
              <w:t>中国南方电网输电线路在线监测装置通用技术规范</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highlight w:val="none"/>
              </w:rPr>
              <w:t>Q/CSG</w:t>
            </w:r>
            <w:r>
              <w:rPr>
                <w:rFonts w:hint="eastAsia"/>
                <w:color w:val="auto"/>
                <w:highlight w:val="none"/>
                <w:lang w:val="en-US" w:eastAsia="zh-CN"/>
              </w:rPr>
              <w:t xml:space="preserve"> </w:t>
            </w:r>
            <w:r>
              <w:rPr>
                <w:color w:val="auto"/>
                <w:highlight w:val="none"/>
              </w:rPr>
              <w:t>212001</w:t>
            </w:r>
          </w:p>
        </w:tc>
        <w:tc>
          <w:tcPr>
            <w:tcW w:w="6631" w:type="dxa"/>
            <w:noWrap w:val="0"/>
            <w:vAlign w:val="top"/>
          </w:tcPr>
          <w:p>
            <w:pPr>
              <w:adjustRightInd w:val="0"/>
              <w:snapToGrid w:val="0"/>
              <w:spacing w:line="360" w:lineRule="auto"/>
              <w:rPr>
                <w:color w:val="auto"/>
                <w:szCs w:val="21"/>
                <w:highlight w:val="none"/>
              </w:rPr>
            </w:pPr>
            <w:r>
              <w:rPr>
                <w:color w:val="auto"/>
                <w:highlight w:val="none"/>
              </w:rPr>
              <w:t>中国南方电网电力监控系统网络安全管理办法</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highlight w:val="none"/>
              </w:rPr>
              <w:t>Q/CSG</w:t>
            </w:r>
            <w:r>
              <w:rPr>
                <w:rFonts w:hint="eastAsia"/>
                <w:color w:val="auto"/>
                <w:highlight w:val="none"/>
                <w:lang w:val="en-US" w:eastAsia="zh-CN"/>
              </w:rPr>
              <w:t xml:space="preserve"> </w:t>
            </w:r>
            <w:r>
              <w:rPr>
                <w:color w:val="auto"/>
                <w:highlight w:val="none"/>
              </w:rPr>
              <w:t>218006</w:t>
            </w:r>
          </w:p>
        </w:tc>
        <w:tc>
          <w:tcPr>
            <w:tcW w:w="6631" w:type="dxa"/>
            <w:noWrap w:val="0"/>
            <w:vAlign w:val="top"/>
          </w:tcPr>
          <w:p>
            <w:pPr>
              <w:adjustRightInd w:val="0"/>
              <w:snapToGrid w:val="0"/>
              <w:spacing w:line="360" w:lineRule="auto"/>
              <w:rPr>
                <w:color w:val="auto"/>
                <w:szCs w:val="21"/>
                <w:highlight w:val="none"/>
              </w:rPr>
            </w:pPr>
            <w:r>
              <w:rPr>
                <w:rFonts w:hint="eastAsia"/>
                <w:color w:val="auto"/>
                <w:highlight w:val="none"/>
                <w:lang w:eastAsia="zh-CN"/>
              </w:rPr>
              <w:t>深圳供电局有限公司</w:t>
            </w:r>
            <w:r>
              <w:rPr>
                <w:color w:val="auto"/>
                <w:highlight w:val="none"/>
              </w:rPr>
              <w:t>互联网应用管理办法</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highlight w:val="none"/>
              </w:rPr>
              <w:t>Q/CSG</w:t>
            </w:r>
            <w:r>
              <w:rPr>
                <w:rFonts w:hint="eastAsia"/>
                <w:color w:val="auto"/>
                <w:highlight w:val="none"/>
                <w:lang w:val="en-US" w:eastAsia="zh-CN"/>
              </w:rPr>
              <w:t xml:space="preserve"> </w:t>
            </w:r>
            <w:r>
              <w:rPr>
                <w:color w:val="auto"/>
                <w:highlight w:val="none"/>
              </w:rPr>
              <w:t>1204060</w:t>
            </w:r>
          </w:p>
        </w:tc>
        <w:tc>
          <w:tcPr>
            <w:tcW w:w="6631" w:type="dxa"/>
            <w:noWrap w:val="0"/>
            <w:vAlign w:val="top"/>
          </w:tcPr>
          <w:p>
            <w:pPr>
              <w:adjustRightInd w:val="0"/>
              <w:snapToGrid w:val="0"/>
              <w:spacing w:line="360" w:lineRule="auto"/>
              <w:rPr>
                <w:color w:val="auto"/>
                <w:szCs w:val="21"/>
                <w:highlight w:val="none"/>
              </w:rPr>
            </w:pPr>
            <w:r>
              <w:rPr>
                <w:color w:val="auto"/>
                <w:highlight w:val="none"/>
              </w:rPr>
              <w:t>电力监控系统并网安全评估规范（试行）</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highlight w:val="none"/>
              </w:rPr>
            </w:pPr>
            <w:r>
              <w:rPr>
                <w:color w:val="auto"/>
                <w:highlight w:val="none"/>
              </w:rPr>
              <w:t>Q/CSG</w:t>
            </w:r>
            <w:r>
              <w:rPr>
                <w:rFonts w:hint="eastAsia"/>
                <w:color w:val="auto"/>
                <w:highlight w:val="none"/>
                <w:lang w:val="en-US" w:eastAsia="zh-CN"/>
              </w:rPr>
              <w:t xml:space="preserve"> </w:t>
            </w:r>
            <w:r>
              <w:rPr>
                <w:color w:val="auto"/>
                <w:highlight w:val="none"/>
              </w:rPr>
              <w:t>1204009</w:t>
            </w:r>
          </w:p>
        </w:tc>
        <w:tc>
          <w:tcPr>
            <w:tcW w:w="6631" w:type="dxa"/>
            <w:noWrap w:val="0"/>
            <w:vAlign w:val="top"/>
          </w:tcPr>
          <w:p>
            <w:pPr>
              <w:adjustRightInd w:val="0"/>
              <w:snapToGrid w:val="0"/>
              <w:spacing w:line="360" w:lineRule="auto"/>
              <w:rPr>
                <w:color w:val="auto"/>
                <w:highlight w:val="none"/>
              </w:rPr>
            </w:pPr>
            <w:r>
              <w:rPr>
                <w:color w:val="auto"/>
                <w:highlight w:val="none"/>
              </w:rPr>
              <w:t>中国南方电网电力监控系统安全防护技术规范</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szCs w:val="21"/>
                <w:highlight w:val="none"/>
              </w:rPr>
            </w:pPr>
            <w:r>
              <w:rPr>
                <w:color w:val="auto"/>
                <w:highlight w:val="none"/>
              </w:rPr>
              <w:t>Q/CSG</w:t>
            </w:r>
            <w:r>
              <w:rPr>
                <w:rFonts w:hint="eastAsia"/>
                <w:color w:val="auto"/>
                <w:highlight w:val="none"/>
                <w:lang w:val="en-US" w:eastAsia="zh-CN"/>
              </w:rPr>
              <w:t xml:space="preserve"> </w:t>
            </w:r>
            <w:r>
              <w:rPr>
                <w:color w:val="auto"/>
                <w:highlight w:val="none"/>
              </w:rPr>
              <w:t>120</w:t>
            </w:r>
            <w:r>
              <w:rPr>
                <w:rFonts w:hint="eastAsia"/>
                <w:color w:val="auto"/>
                <w:highlight w:val="none"/>
              </w:rPr>
              <w:t>5031</w:t>
            </w:r>
          </w:p>
        </w:tc>
        <w:tc>
          <w:tcPr>
            <w:tcW w:w="6631" w:type="dxa"/>
            <w:noWrap w:val="0"/>
            <w:vAlign w:val="top"/>
          </w:tcPr>
          <w:p>
            <w:pPr>
              <w:tabs>
                <w:tab w:val="left" w:pos="2202"/>
              </w:tabs>
              <w:adjustRightInd w:val="0"/>
              <w:snapToGrid w:val="0"/>
              <w:spacing w:line="360" w:lineRule="auto"/>
              <w:rPr>
                <w:color w:val="auto"/>
                <w:szCs w:val="21"/>
                <w:highlight w:val="none"/>
              </w:rPr>
            </w:pPr>
            <w:r>
              <w:rPr>
                <w:color w:val="auto"/>
                <w:szCs w:val="21"/>
                <w:highlight w:val="none"/>
              </w:rPr>
              <w:t>输电线路在线监测通信规约及信息交互规范（试行）</w:t>
            </w:r>
          </w:p>
        </w:tc>
      </w:tr>
      <w:bookmarkEnd w:id="45"/>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color w:val="auto"/>
                <w:highlight w:val="none"/>
              </w:rPr>
            </w:pPr>
            <w:r>
              <w:rPr>
                <w:rFonts w:hint="eastAsia"/>
                <w:color w:val="auto"/>
                <w:szCs w:val="21"/>
                <w:highlight w:val="none"/>
              </w:rPr>
              <w:t>Q/CSG</w:t>
            </w:r>
            <w:r>
              <w:rPr>
                <w:rFonts w:hint="eastAsia"/>
                <w:color w:val="auto"/>
                <w:szCs w:val="21"/>
                <w:highlight w:val="none"/>
                <w:lang w:val="en-US" w:eastAsia="zh-CN"/>
              </w:rPr>
              <w:t xml:space="preserve"> </w:t>
            </w:r>
            <w:r>
              <w:rPr>
                <w:rFonts w:hint="eastAsia"/>
                <w:color w:val="auto"/>
                <w:szCs w:val="21"/>
                <w:highlight w:val="none"/>
              </w:rPr>
              <w:t>1210050</w:t>
            </w:r>
          </w:p>
        </w:tc>
        <w:tc>
          <w:tcPr>
            <w:tcW w:w="6631" w:type="dxa"/>
            <w:noWrap w:val="0"/>
            <w:vAlign w:val="top"/>
          </w:tcPr>
          <w:p>
            <w:pPr>
              <w:tabs>
                <w:tab w:val="left" w:pos="2202"/>
              </w:tabs>
              <w:adjustRightInd w:val="0"/>
              <w:snapToGrid w:val="0"/>
              <w:spacing w:line="360" w:lineRule="auto"/>
              <w:rPr>
                <w:color w:val="auto"/>
                <w:szCs w:val="21"/>
                <w:highlight w:val="none"/>
              </w:rPr>
            </w:pPr>
            <w:r>
              <w:rPr>
                <w:rFonts w:hint="eastAsia"/>
                <w:color w:val="auto"/>
                <w:szCs w:val="21"/>
                <w:highlight w:val="none"/>
              </w:rPr>
              <w:t>南方电网电力全域物联网平台接入技术规范</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rFonts w:hint="eastAsia"/>
                <w:color w:val="auto"/>
                <w:szCs w:val="21"/>
                <w:highlight w:val="none"/>
              </w:rPr>
            </w:pPr>
            <w:r>
              <w:rPr>
                <w:rFonts w:hint="eastAsia"/>
                <w:color w:val="auto"/>
                <w:szCs w:val="21"/>
                <w:highlight w:val="none"/>
              </w:rPr>
              <w:t>Q/CSG</w:t>
            </w:r>
            <w:r>
              <w:rPr>
                <w:rFonts w:hint="eastAsia"/>
                <w:color w:val="auto"/>
                <w:szCs w:val="21"/>
                <w:highlight w:val="none"/>
                <w:lang w:val="en-US" w:eastAsia="zh-CN"/>
              </w:rPr>
              <w:t xml:space="preserve"> </w:t>
            </w:r>
            <w:r>
              <w:rPr>
                <w:rFonts w:hint="eastAsia"/>
                <w:color w:val="auto"/>
                <w:szCs w:val="21"/>
                <w:highlight w:val="none"/>
              </w:rPr>
              <w:t>1210052</w:t>
            </w:r>
          </w:p>
        </w:tc>
        <w:tc>
          <w:tcPr>
            <w:tcW w:w="6631" w:type="dxa"/>
            <w:noWrap w:val="0"/>
            <w:vAlign w:val="top"/>
          </w:tcPr>
          <w:p>
            <w:pPr>
              <w:tabs>
                <w:tab w:val="left" w:pos="2202"/>
              </w:tabs>
              <w:adjustRightInd w:val="0"/>
              <w:snapToGrid w:val="0"/>
              <w:spacing w:line="360" w:lineRule="auto"/>
              <w:rPr>
                <w:rFonts w:hint="eastAsia"/>
                <w:color w:val="auto"/>
                <w:szCs w:val="21"/>
                <w:highlight w:val="none"/>
              </w:rPr>
            </w:pPr>
            <w:r>
              <w:rPr>
                <w:rFonts w:hint="eastAsia"/>
                <w:color w:val="auto"/>
                <w:szCs w:val="21"/>
                <w:highlight w:val="none"/>
              </w:rPr>
              <w:t>物联网平台技术规范</w:t>
            </w:r>
          </w:p>
        </w:tc>
      </w:tr>
      <w:tr>
        <w:tblPrEx>
          <w:tblCellMar>
            <w:top w:w="0" w:type="dxa"/>
            <w:left w:w="108" w:type="dxa"/>
            <w:bottom w:w="0" w:type="dxa"/>
            <w:right w:w="108" w:type="dxa"/>
          </w:tblCellMar>
        </w:tblPrEx>
        <w:trPr>
          <w:trHeight w:val="477" w:hRule="atLeast"/>
        </w:trPr>
        <w:tc>
          <w:tcPr>
            <w:tcW w:w="2090" w:type="dxa"/>
            <w:noWrap w:val="0"/>
            <w:vAlign w:val="top"/>
          </w:tcPr>
          <w:p>
            <w:pPr>
              <w:tabs>
                <w:tab w:val="left" w:pos="2202"/>
              </w:tabs>
              <w:adjustRightInd w:val="0"/>
              <w:snapToGrid w:val="0"/>
              <w:spacing w:line="360" w:lineRule="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Q/CSG</w:t>
            </w:r>
            <w:r>
              <w:rPr>
                <w:rFonts w:hint="eastAsia" w:ascii="Times New Roman" w:hAnsi="Times New Roman" w:eastAsia="宋体" w:cs="Times New Roman"/>
                <w:color w:val="auto"/>
                <w:szCs w:val="21"/>
                <w:highlight w:val="none"/>
                <w:lang w:val="en-US" w:eastAsia="zh-CN"/>
              </w:rPr>
              <w:t xml:space="preserve"> </w:t>
            </w:r>
            <w:r>
              <w:rPr>
                <w:rFonts w:hint="eastAsia" w:ascii="Times New Roman" w:hAnsi="Times New Roman" w:eastAsia="宋体" w:cs="Times New Roman"/>
                <w:color w:val="auto"/>
                <w:szCs w:val="21"/>
                <w:highlight w:val="none"/>
              </w:rPr>
              <w:t>1210066</w:t>
            </w:r>
          </w:p>
        </w:tc>
        <w:tc>
          <w:tcPr>
            <w:tcW w:w="6631" w:type="dxa"/>
            <w:noWrap w:val="0"/>
            <w:vAlign w:val="top"/>
          </w:tcPr>
          <w:p>
            <w:pPr>
              <w:tabs>
                <w:tab w:val="left" w:pos="2202"/>
              </w:tabs>
              <w:adjustRightInd w:val="0"/>
              <w:snapToGrid w:val="0"/>
              <w:spacing w:line="360" w:lineRule="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南方电网物联网平台接入协议插件标准</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Q/CSG</w:t>
            </w:r>
            <w:r>
              <w:rPr>
                <w:rFonts w:hint="eastAsia" w:ascii="Times New Roman" w:hAnsi="Times New Roman" w:eastAsia="宋体" w:cs="Times New Roman"/>
                <w:color w:val="auto"/>
                <w:szCs w:val="21"/>
                <w:highlight w:val="none"/>
                <w:lang w:val="en-US" w:eastAsia="zh-CN"/>
              </w:rPr>
              <w:t xml:space="preserve"> </w:t>
            </w:r>
            <w:r>
              <w:rPr>
                <w:rFonts w:hint="eastAsia" w:ascii="Times New Roman" w:hAnsi="Times New Roman" w:eastAsia="宋体" w:cs="Times New Roman"/>
                <w:color w:val="auto"/>
                <w:szCs w:val="21"/>
                <w:highlight w:val="none"/>
              </w:rPr>
              <w:t>1210067</w:t>
            </w:r>
          </w:p>
        </w:tc>
        <w:tc>
          <w:tcPr>
            <w:tcW w:w="6631" w:type="dxa"/>
            <w:noWrap w:val="0"/>
            <w:vAlign w:val="top"/>
          </w:tcPr>
          <w:p>
            <w:pPr>
              <w:tabs>
                <w:tab w:val="left" w:pos="2202"/>
              </w:tabs>
              <w:adjustRightInd w:val="0"/>
              <w:snapToGrid w:val="0"/>
              <w:spacing w:line="360" w:lineRule="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南方电网物联网平台应用协议</w:t>
            </w:r>
          </w:p>
        </w:tc>
      </w:tr>
      <w:tr>
        <w:tblPrEx>
          <w:tblCellMar>
            <w:top w:w="0" w:type="dxa"/>
            <w:left w:w="108" w:type="dxa"/>
            <w:bottom w:w="0" w:type="dxa"/>
            <w:right w:w="108" w:type="dxa"/>
          </w:tblCellMar>
        </w:tblPrEx>
        <w:tc>
          <w:tcPr>
            <w:tcW w:w="2090" w:type="dxa"/>
            <w:noWrap w:val="0"/>
            <w:vAlign w:val="top"/>
          </w:tcPr>
          <w:p>
            <w:pPr>
              <w:tabs>
                <w:tab w:val="left" w:pos="2202"/>
              </w:tabs>
              <w:adjustRightInd w:val="0"/>
              <w:snapToGrid w:val="0"/>
              <w:spacing w:line="360" w:lineRule="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Q/CSG</w:t>
            </w:r>
            <w:r>
              <w:rPr>
                <w:rFonts w:hint="eastAsia" w:ascii="Times New Roman" w:hAnsi="Times New Roman" w:eastAsia="宋体" w:cs="Times New Roman"/>
                <w:color w:val="auto"/>
                <w:szCs w:val="21"/>
                <w:highlight w:val="none"/>
                <w:lang w:val="en-US" w:eastAsia="zh-CN"/>
              </w:rPr>
              <w:t xml:space="preserve"> </w:t>
            </w:r>
            <w:r>
              <w:rPr>
                <w:rFonts w:hint="eastAsia" w:ascii="Times New Roman" w:hAnsi="Times New Roman" w:eastAsia="宋体" w:cs="Times New Roman"/>
                <w:color w:val="auto"/>
                <w:szCs w:val="21"/>
                <w:highlight w:val="none"/>
              </w:rPr>
              <w:t>1210074</w:t>
            </w:r>
          </w:p>
        </w:tc>
        <w:tc>
          <w:tcPr>
            <w:tcW w:w="6631" w:type="dxa"/>
            <w:noWrap w:val="0"/>
            <w:vAlign w:val="top"/>
          </w:tcPr>
          <w:p>
            <w:pPr>
              <w:tabs>
                <w:tab w:val="left" w:pos="2202"/>
              </w:tabs>
              <w:adjustRightInd w:val="0"/>
              <w:snapToGrid w:val="0"/>
              <w:spacing w:line="360" w:lineRule="auto"/>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南方电网物联终端设备信息模型规范（试行）</w:t>
            </w:r>
          </w:p>
        </w:tc>
      </w:tr>
    </w:tbl>
    <w:p>
      <w:pPr>
        <w:pStyle w:val="15"/>
        <w:adjustRightInd w:val="0"/>
        <w:snapToGrid w:val="0"/>
        <w:spacing w:line="360" w:lineRule="auto"/>
        <w:ind w:left="0" w:leftChars="0" w:firstLine="0" w:firstLineChars="0"/>
        <w:rPr>
          <w:rFonts w:hint="eastAsia" w:ascii="宋体" w:hAnsi="宋体" w:eastAsia="宋体" w:cs="Times New Roman"/>
          <w:szCs w:val="21"/>
        </w:rPr>
      </w:pPr>
    </w:p>
    <w:bookmarkEnd w:id="39"/>
    <w:p>
      <w:pPr>
        <w:pStyle w:val="3"/>
        <w:numPr>
          <w:ilvl w:val="0"/>
          <w:numId w:val="0"/>
        </w:numPr>
        <w:rPr>
          <w:rFonts w:hint="eastAsia" w:ascii="Times New Roman" w:hAnsi="Times New Roman" w:eastAsia="黑体" w:cs="Times New Roman"/>
          <w:b/>
          <w:color w:val="auto"/>
          <w:sz w:val="21"/>
          <w:szCs w:val="21"/>
          <w:highlight w:val="none"/>
        </w:rPr>
      </w:pPr>
      <w:bookmarkStart w:id="46" w:name="_Toc276490903"/>
      <w:bookmarkStart w:id="47" w:name="_Toc276492375"/>
      <w:bookmarkStart w:id="48" w:name="_Toc14403"/>
      <w:bookmarkStart w:id="49" w:name="_Toc1943"/>
      <w:r>
        <w:rPr>
          <w:rFonts w:hint="eastAsia" w:eastAsia="黑体" w:cs="Times New Roman"/>
          <w:b/>
          <w:color w:val="auto"/>
          <w:sz w:val="21"/>
          <w:szCs w:val="21"/>
          <w:highlight w:val="none"/>
          <w:lang w:val="en-US" w:eastAsia="zh-CN"/>
        </w:rPr>
        <w:t>4</w:t>
      </w:r>
      <w:r>
        <w:rPr>
          <w:rFonts w:hint="eastAsia" w:ascii="Times New Roman" w:hAnsi="Times New Roman" w:eastAsia="黑体" w:cs="Times New Roman"/>
          <w:b/>
          <w:color w:val="auto"/>
          <w:sz w:val="21"/>
          <w:szCs w:val="21"/>
          <w:highlight w:val="none"/>
          <w:lang w:val="en-US" w:eastAsia="zh-CN"/>
        </w:rPr>
        <w:t xml:space="preserve"> </w:t>
      </w:r>
      <w:r>
        <w:rPr>
          <w:rFonts w:hint="eastAsia" w:ascii="Times New Roman" w:hAnsi="Times New Roman" w:eastAsia="黑体" w:cs="Times New Roman"/>
          <w:b/>
          <w:color w:val="auto"/>
          <w:sz w:val="21"/>
          <w:szCs w:val="21"/>
          <w:highlight w:val="none"/>
        </w:rPr>
        <w:t>技术</w:t>
      </w:r>
      <w:bookmarkEnd w:id="46"/>
      <w:bookmarkEnd w:id="47"/>
      <w:r>
        <w:rPr>
          <w:rFonts w:hint="eastAsia" w:ascii="Times New Roman" w:hAnsi="Times New Roman" w:eastAsia="黑体" w:cs="Times New Roman"/>
          <w:b/>
          <w:color w:val="auto"/>
          <w:sz w:val="21"/>
          <w:szCs w:val="21"/>
          <w:highlight w:val="none"/>
        </w:rPr>
        <w:t>要求</w:t>
      </w:r>
      <w:bookmarkEnd w:id="48"/>
      <w:bookmarkEnd w:id="49"/>
    </w:p>
    <w:p>
      <w:pPr>
        <w:pStyle w:val="4"/>
        <w:numPr>
          <w:ilvl w:val="0"/>
          <w:numId w:val="0"/>
        </w:numPr>
        <w:adjustRightInd w:val="0"/>
        <w:snapToGrid w:val="0"/>
        <w:spacing w:line="360" w:lineRule="auto"/>
        <w:rPr>
          <w:rFonts w:hint="eastAsia" w:hAnsi="宋体"/>
          <w:sz w:val="21"/>
          <w:szCs w:val="21"/>
          <w:lang w:val="en-US" w:eastAsia="zh-CN"/>
        </w:rPr>
      </w:pPr>
      <w:bookmarkStart w:id="50" w:name="_Toc25174"/>
      <w:r>
        <w:rPr>
          <w:rFonts w:hint="eastAsia" w:cs="Times New Roman"/>
          <w:color w:val="auto"/>
          <w:highlight w:val="none"/>
          <w:lang w:val="en-US" w:eastAsia="zh-CN"/>
        </w:rPr>
        <w:t>4</w:t>
      </w:r>
      <w:r>
        <w:rPr>
          <w:rFonts w:hint="eastAsia" w:ascii="Times New Roman" w:hAnsi="Times New Roman" w:cs="Times New Roman"/>
          <w:color w:val="auto"/>
          <w:highlight w:val="none"/>
          <w:lang w:val="en-US" w:eastAsia="zh-CN"/>
        </w:rPr>
        <w:t>.1</w:t>
      </w:r>
      <w:r>
        <w:rPr>
          <w:rFonts w:hint="eastAsia" w:hAnsi="宋体"/>
          <w:sz w:val="21"/>
          <w:szCs w:val="21"/>
          <w:lang w:val="en-US" w:eastAsia="zh-CN"/>
        </w:rPr>
        <w:t xml:space="preserve"> NVR</w:t>
      </w:r>
      <w:bookmarkEnd w:id="50"/>
      <w:bookmarkStart w:id="332" w:name="_GoBack"/>
      <w:bookmarkEnd w:id="332"/>
    </w:p>
    <w:p>
      <w:pPr>
        <w:tabs>
          <w:tab w:val="left" w:pos="550"/>
        </w:tabs>
        <w:autoSpaceDE w:val="0"/>
        <w:autoSpaceDN w:val="0"/>
        <w:spacing w:line="360" w:lineRule="auto"/>
        <w:ind w:firstLine="420" w:firstLineChars="200"/>
        <w:jc w:val="left"/>
        <w:rPr>
          <w:rFonts w:hint="eastAsia" w:ascii="宋体" w:hAnsi="宋体" w:eastAsia="宋体" w:cs="Times New Roman"/>
          <w:color w:val="000000"/>
          <w:lang w:eastAsia="zh-CN"/>
        </w:rPr>
      </w:pPr>
      <w:r>
        <w:rPr>
          <w:rFonts w:hint="eastAsia" w:ascii="宋体" w:hAnsi="宋体" w:eastAsia="宋体" w:cs="Times New Roman"/>
          <w:color w:val="000000"/>
          <w:lang w:val="en-US" w:eastAsia="zh-CN"/>
        </w:rPr>
        <w:t>1）</w:t>
      </w:r>
      <w:r>
        <w:rPr>
          <w:rFonts w:hint="eastAsia" w:ascii="宋体" w:hAnsi="宋体" w:eastAsia="宋体" w:cs="Times New Roman"/>
          <w:color w:val="000000"/>
        </w:rPr>
        <w:t>2个HDMI，2个VGA,HDMI+VGA组内同源</w:t>
      </w:r>
      <w:r>
        <w:rPr>
          <w:rFonts w:hint="eastAsia" w:ascii="宋体" w:hAnsi="宋体" w:eastAsia="宋体" w:cs="Times New Roman"/>
          <w:color w:val="000000"/>
          <w:lang w:eastAsia="zh-CN"/>
        </w:rPr>
        <w:t>；</w:t>
      </w:r>
    </w:p>
    <w:p>
      <w:pPr>
        <w:tabs>
          <w:tab w:val="left" w:pos="550"/>
        </w:tabs>
        <w:autoSpaceDE w:val="0"/>
        <w:autoSpaceDN w:val="0"/>
        <w:spacing w:line="360" w:lineRule="auto"/>
        <w:ind w:firstLine="420" w:firstLineChars="200"/>
        <w:jc w:val="left"/>
        <w:rPr>
          <w:rFonts w:hint="eastAsia" w:ascii="宋体" w:hAnsi="宋体" w:eastAsia="宋体" w:cs="Times New Roman"/>
          <w:color w:val="000000"/>
          <w:lang w:eastAsia="zh-CN"/>
        </w:rPr>
      </w:pPr>
      <w:r>
        <w:rPr>
          <w:rFonts w:hint="eastAsia" w:ascii="宋体" w:hAnsi="宋体" w:eastAsia="宋体" w:cs="Times New Roman"/>
          <w:color w:val="000000"/>
          <w:lang w:val="en-US" w:eastAsia="zh-CN"/>
        </w:rPr>
        <w:t>2）</w:t>
      </w:r>
      <w:r>
        <w:rPr>
          <w:rFonts w:hint="eastAsia" w:ascii="宋体" w:hAnsi="宋体" w:eastAsia="宋体" w:cs="Times New Roman"/>
          <w:color w:val="000000"/>
        </w:rPr>
        <w:t>16盘位，可满配6TB硬盘</w:t>
      </w:r>
      <w:r>
        <w:rPr>
          <w:rFonts w:hint="eastAsia" w:ascii="宋体" w:hAnsi="宋体" w:eastAsia="宋体" w:cs="Times New Roman"/>
          <w:color w:val="000000"/>
          <w:lang w:eastAsia="zh-CN"/>
        </w:rPr>
        <w:t>；</w:t>
      </w:r>
    </w:p>
    <w:p>
      <w:pPr>
        <w:tabs>
          <w:tab w:val="left" w:pos="550"/>
        </w:tabs>
        <w:autoSpaceDE w:val="0"/>
        <w:autoSpaceDN w:val="0"/>
        <w:spacing w:line="360" w:lineRule="auto"/>
        <w:ind w:firstLine="420" w:firstLineChars="200"/>
        <w:jc w:val="left"/>
        <w:rPr>
          <w:rFonts w:hint="eastAsia" w:ascii="宋体" w:hAnsi="宋体" w:eastAsia="宋体" w:cs="Times New Roman"/>
          <w:color w:val="000000"/>
          <w:lang w:eastAsia="zh-CN"/>
        </w:rPr>
      </w:pPr>
      <w:r>
        <w:rPr>
          <w:rFonts w:hint="eastAsia" w:ascii="宋体" w:hAnsi="宋体" w:eastAsia="宋体" w:cs="Times New Roman"/>
          <w:color w:val="000000"/>
          <w:lang w:val="en-US" w:eastAsia="zh-CN"/>
        </w:rPr>
        <w:t>3）</w:t>
      </w:r>
      <w:r>
        <w:rPr>
          <w:rFonts w:hint="eastAsia" w:ascii="宋体" w:hAnsi="宋体" w:eastAsia="宋体" w:cs="Times New Roman"/>
          <w:color w:val="000000"/>
        </w:rPr>
        <w:t>2个千兆网口</w:t>
      </w:r>
      <w:r>
        <w:rPr>
          <w:rFonts w:hint="eastAsia" w:ascii="宋体" w:hAnsi="宋体" w:eastAsia="宋体" w:cs="Times New Roman"/>
          <w:color w:val="000000"/>
          <w:lang w:eastAsia="zh-CN"/>
        </w:rPr>
        <w:t>、</w:t>
      </w:r>
      <w:r>
        <w:rPr>
          <w:rFonts w:hint="eastAsia" w:ascii="宋体" w:hAnsi="宋体" w:eastAsia="宋体" w:cs="Times New Roman"/>
          <w:color w:val="000000"/>
        </w:rPr>
        <w:t>2个USB2.0接口</w:t>
      </w:r>
      <w:r>
        <w:rPr>
          <w:rFonts w:hint="eastAsia" w:ascii="宋体" w:hAnsi="宋体" w:eastAsia="宋体" w:cs="Times New Roman"/>
          <w:color w:val="000000"/>
          <w:lang w:val="en-US" w:eastAsia="zh-CN"/>
        </w:rPr>
        <w:t xml:space="preserve"> </w:t>
      </w:r>
      <w:r>
        <w:rPr>
          <w:rFonts w:hint="eastAsia" w:ascii="宋体" w:hAnsi="宋体" w:eastAsia="宋体" w:cs="Times New Roman"/>
          <w:color w:val="000000"/>
        </w:rPr>
        <w:t>、1个USB3.0接口</w:t>
      </w:r>
      <w:r>
        <w:rPr>
          <w:rFonts w:hint="eastAsia" w:ascii="宋体" w:hAnsi="宋体" w:eastAsia="宋体" w:cs="Times New Roman"/>
          <w:color w:val="000000"/>
          <w:lang w:eastAsia="zh-CN"/>
        </w:rPr>
        <w:t>、</w:t>
      </w:r>
      <w:r>
        <w:rPr>
          <w:rFonts w:hint="eastAsia" w:ascii="宋体" w:hAnsi="宋体" w:eastAsia="宋体" w:cs="Times New Roman"/>
          <w:color w:val="000000"/>
        </w:rPr>
        <w:t>1个eSATA接口</w:t>
      </w:r>
      <w:r>
        <w:rPr>
          <w:rFonts w:hint="eastAsia" w:ascii="宋体" w:hAnsi="宋体" w:eastAsia="宋体" w:cs="Times New Roman"/>
          <w:color w:val="000000"/>
          <w:lang w:eastAsia="zh-CN"/>
        </w:rPr>
        <w:t>；</w:t>
      </w:r>
    </w:p>
    <w:p>
      <w:pPr>
        <w:numPr>
          <w:ilvl w:val="0"/>
          <w:numId w:val="0"/>
        </w:numPr>
        <w:tabs>
          <w:tab w:val="left" w:pos="550"/>
        </w:tabs>
        <w:autoSpaceDE w:val="0"/>
        <w:autoSpaceDN w:val="0"/>
        <w:spacing w:line="360" w:lineRule="auto"/>
        <w:ind w:firstLine="420" w:firstLineChars="200"/>
        <w:jc w:val="left"/>
        <w:rPr>
          <w:rFonts w:hint="eastAsia" w:ascii="宋体" w:hAnsi="宋体" w:eastAsia="宋体" w:cs="Times New Roman"/>
          <w:color w:val="000000"/>
          <w:lang w:eastAsia="zh-CN"/>
        </w:rPr>
      </w:pPr>
      <w:r>
        <w:rPr>
          <w:rFonts w:hint="eastAsia" w:ascii="宋体" w:hAnsi="宋体" w:eastAsia="宋体" w:cs="Times New Roman"/>
          <w:color w:val="000000"/>
          <w:kern w:val="2"/>
          <w:sz w:val="21"/>
          <w:lang w:val="en-US" w:eastAsia="zh-CN" w:bidi="ar-SA"/>
        </w:rPr>
        <w:t>4）</w:t>
      </w:r>
      <w:r>
        <w:rPr>
          <w:rFonts w:hint="eastAsia" w:ascii="宋体" w:hAnsi="宋体" w:eastAsia="宋体" w:cs="Times New Roman"/>
          <w:color w:val="000000"/>
        </w:rPr>
        <w:t>支持RAID0、1、5、10，支持全局热备盘</w:t>
      </w:r>
      <w:r>
        <w:rPr>
          <w:rFonts w:hint="eastAsia" w:ascii="宋体" w:hAnsi="宋体" w:eastAsia="宋体" w:cs="Times New Roman"/>
          <w:color w:val="000000"/>
          <w:lang w:eastAsia="zh-CN"/>
        </w:rPr>
        <w:t>；</w:t>
      </w:r>
    </w:p>
    <w:p>
      <w:pPr>
        <w:numPr>
          <w:ilvl w:val="0"/>
          <w:numId w:val="0"/>
        </w:numPr>
        <w:tabs>
          <w:tab w:val="left" w:pos="550"/>
        </w:tabs>
        <w:autoSpaceDE w:val="0"/>
        <w:autoSpaceDN w:val="0"/>
        <w:spacing w:line="360" w:lineRule="auto"/>
        <w:ind w:firstLine="420" w:firstLineChars="200"/>
        <w:jc w:val="left"/>
        <w:rPr>
          <w:rFonts w:hint="eastAsia" w:ascii="宋体" w:hAnsi="宋体" w:eastAsia="宋体" w:cs="Times New Roman"/>
          <w:color w:val="000000"/>
          <w:lang w:eastAsia="zh-CN"/>
        </w:rPr>
      </w:pPr>
      <w:r>
        <w:rPr>
          <w:rFonts w:hint="eastAsia" w:ascii="宋体" w:hAnsi="宋体" w:eastAsia="宋体" w:cs="Times New Roman"/>
          <w:color w:val="000000"/>
          <w:kern w:val="2"/>
          <w:sz w:val="21"/>
          <w:lang w:val="en-US" w:eastAsia="zh-CN" w:bidi="ar-SA"/>
        </w:rPr>
        <w:t>5）</w:t>
      </w:r>
      <w:r>
        <w:rPr>
          <w:rFonts w:hint="eastAsia" w:ascii="宋体" w:hAnsi="宋体" w:eastAsia="宋体" w:cs="Times New Roman"/>
          <w:color w:val="000000"/>
        </w:rPr>
        <w:t>输入带宽：320M</w:t>
      </w:r>
      <w:r>
        <w:rPr>
          <w:rFonts w:hint="eastAsia" w:ascii="宋体" w:hAnsi="宋体" w:eastAsia="宋体" w:cs="Times New Roman"/>
          <w:color w:val="000000"/>
          <w:lang w:eastAsia="zh-CN"/>
        </w:rPr>
        <w:t>；</w:t>
      </w:r>
    </w:p>
    <w:p>
      <w:pPr>
        <w:tabs>
          <w:tab w:val="left" w:pos="550"/>
        </w:tabs>
        <w:autoSpaceDE w:val="0"/>
        <w:autoSpaceDN w:val="0"/>
        <w:spacing w:line="360" w:lineRule="auto"/>
        <w:ind w:firstLine="420" w:firstLineChars="200"/>
        <w:jc w:val="left"/>
        <w:rPr>
          <w:rFonts w:hint="eastAsia" w:ascii="宋体" w:hAnsi="宋体" w:eastAsia="宋体" w:cs="Times New Roman"/>
          <w:color w:val="000000"/>
          <w:lang w:eastAsia="zh-CN"/>
        </w:rPr>
      </w:pPr>
      <w:r>
        <w:rPr>
          <w:rFonts w:hint="eastAsia" w:ascii="宋体" w:hAnsi="宋体" w:eastAsia="宋体" w:cs="Times New Roman"/>
          <w:color w:val="000000"/>
          <w:kern w:val="2"/>
          <w:sz w:val="21"/>
          <w:lang w:val="en-US" w:eastAsia="zh-CN" w:bidi="ar-SA"/>
        </w:rPr>
        <w:t>6）</w:t>
      </w:r>
      <w:r>
        <w:rPr>
          <w:rFonts w:hint="eastAsia" w:ascii="宋体" w:hAnsi="宋体" w:eastAsia="宋体" w:cs="Times New Roman"/>
          <w:color w:val="000000"/>
        </w:rPr>
        <w:t>64路H.264、H.265混合接入</w:t>
      </w:r>
      <w:r>
        <w:rPr>
          <w:rFonts w:hint="eastAsia" w:ascii="宋体" w:hAnsi="宋体" w:eastAsia="宋体" w:cs="Times New Roman"/>
          <w:color w:val="000000"/>
          <w:lang w:eastAsia="zh-CN"/>
        </w:rPr>
        <w:t>；</w:t>
      </w:r>
    </w:p>
    <w:p>
      <w:pPr>
        <w:tabs>
          <w:tab w:val="left" w:pos="550"/>
        </w:tabs>
        <w:autoSpaceDE w:val="0"/>
        <w:autoSpaceDN w:val="0"/>
        <w:spacing w:line="360" w:lineRule="auto"/>
        <w:ind w:firstLine="420" w:firstLineChars="200"/>
        <w:jc w:val="left"/>
        <w:rPr>
          <w:rFonts w:hint="eastAsia" w:ascii="宋体" w:hAnsi="宋体" w:eastAsia="宋体"/>
          <w:b/>
          <w:lang w:eastAsia="zh-CN"/>
        </w:rPr>
      </w:pPr>
      <w:r>
        <w:rPr>
          <w:rFonts w:hint="eastAsia" w:ascii="宋体" w:hAnsi="宋体" w:eastAsia="宋体" w:cs="Times New Roman"/>
          <w:color w:val="000000"/>
          <w:lang w:val="en-US" w:eastAsia="zh-CN"/>
        </w:rPr>
        <w:t>7）</w:t>
      </w:r>
      <w:r>
        <w:rPr>
          <w:rFonts w:hint="eastAsia" w:ascii="宋体" w:hAnsi="宋体" w:eastAsia="宋体" w:cs="Times New Roman"/>
          <w:color w:val="000000"/>
        </w:rPr>
        <w:t>最大支持16×1080P解码</w:t>
      </w:r>
      <w:r>
        <w:rPr>
          <w:rFonts w:hint="eastAsia" w:ascii="宋体" w:hAnsi="宋体" w:eastAsia="宋体" w:cs="Times New Roman"/>
          <w:color w:val="000000"/>
          <w:lang w:eastAsia="zh-CN"/>
        </w:rPr>
        <w:t>、</w:t>
      </w:r>
      <w:r>
        <w:rPr>
          <w:rFonts w:hint="eastAsia" w:ascii="宋体" w:hAnsi="宋体" w:eastAsia="宋体" w:cs="Times New Roman"/>
          <w:color w:val="000000"/>
        </w:rPr>
        <w:t>支持H.265、H.264解码</w:t>
      </w:r>
      <w:r>
        <w:rPr>
          <w:rFonts w:hint="eastAsia" w:ascii="宋体" w:hAnsi="宋体" w:cs="Times New Roman"/>
          <w:color w:val="000000"/>
          <w:lang w:eastAsia="zh-CN"/>
        </w:rPr>
        <w:t>；</w:t>
      </w:r>
    </w:p>
    <w:p>
      <w:pPr>
        <w:spacing w:line="360" w:lineRule="auto"/>
        <w:ind w:firstLine="420" w:firstLineChars="200"/>
        <w:jc w:val="left"/>
        <w:rPr>
          <w:rFonts w:hint="eastAsia" w:ascii="宋体" w:hAnsi="宋体" w:eastAsia="宋体"/>
          <w:b w:val="0"/>
          <w:bCs/>
          <w:lang w:eastAsia="zh-CN"/>
        </w:rPr>
      </w:pPr>
      <w:r>
        <w:rPr>
          <w:rFonts w:hint="eastAsia" w:ascii="宋体" w:hAnsi="宋体"/>
          <w:b w:val="0"/>
          <w:bCs/>
          <w:lang w:val="en-US" w:eastAsia="zh-CN"/>
        </w:rPr>
        <w:t>8）存储：12</w:t>
      </w:r>
      <w:r>
        <w:rPr>
          <w:rFonts w:hint="eastAsia" w:ascii="宋体" w:hAnsi="宋体"/>
          <w:b w:val="0"/>
          <w:bCs/>
        </w:rPr>
        <w:t>TB/64MB(6Gb/秒 NCQ)/5900RPM/SATA3   3.5寸</w:t>
      </w:r>
      <w:r>
        <w:rPr>
          <w:rFonts w:hint="eastAsia" w:ascii="宋体" w:hAnsi="宋体"/>
          <w:b w:val="0"/>
          <w:bCs/>
          <w:lang w:eastAsia="zh-CN"/>
        </w:rPr>
        <w:t>；</w:t>
      </w:r>
    </w:p>
    <w:p>
      <w:pPr>
        <w:spacing w:line="360" w:lineRule="auto"/>
        <w:ind w:firstLine="420" w:firstLineChars="200"/>
        <w:jc w:val="left"/>
        <w:rPr>
          <w:rFonts w:hint="eastAsia"/>
          <w:lang w:val="en-US" w:eastAsia="zh-CN"/>
        </w:rPr>
      </w:pPr>
      <w:r>
        <w:rPr>
          <w:rFonts w:hint="eastAsia" w:ascii="宋体" w:hAnsi="宋体"/>
          <w:b w:val="0"/>
          <w:bCs/>
          <w:lang w:val="en-US" w:eastAsia="zh-CN"/>
        </w:rPr>
        <w:t>9）</w:t>
      </w:r>
      <w:r>
        <w:rPr>
          <w:rFonts w:hint="eastAsia" w:ascii="宋体" w:hAnsi="宋体" w:cs="宋体"/>
          <w:color w:val="000000"/>
          <w:kern w:val="0"/>
          <w:sz w:val="21"/>
          <w:szCs w:val="21"/>
          <w:highlight w:val="none"/>
        </w:rPr>
        <w:t>工作环境温度</w:t>
      </w:r>
      <w:r>
        <w:rPr>
          <w:rFonts w:hint="eastAsia" w:ascii="宋体" w:hAnsi="宋体" w:cs="宋体"/>
          <w:color w:val="000000"/>
          <w:kern w:val="0"/>
          <w:sz w:val="21"/>
          <w:szCs w:val="21"/>
          <w:highlight w:val="none"/>
          <w:lang w:val="en-US" w:eastAsia="zh-CN"/>
        </w:rPr>
        <w:t>-</w:t>
      </w:r>
      <w:r>
        <w:rPr>
          <w:rFonts w:hint="eastAsia" w:ascii="宋体" w:hAnsi="宋体" w:cs="宋体"/>
          <w:color w:val="000000"/>
          <w:kern w:val="0"/>
          <w:sz w:val="21"/>
          <w:szCs w:val="21"/>
          <w:highlight w:val="none"/>
        </w:rPr>
        <w:t>40℃～+70℃，湿度改为5％～100％（既不应凝露，也不应结冰）</w:t>
      </w:r>
      <w:r>
        <w:rPr>
          <w:rFonts w:hint="eastAsia" w:ascii="宋体" w:hAnsi="宋体" w:cs="宋体"/>
          <w:color w:val="000000"/>
          <w:kern w:val="0"/>
          <w:sz w:val="21"/>
          <w:szCs w:val="21"/>
          <w:highlight w:val="none"/>
          <w:lang w:eastAsia="zh-CN"/>
        </w:rPr>
        <w:t>；</w:t>
      </w:r>
    </w:p>
    <w:p>
      <w:pPr>
        <w:pStyle w:val="4"/>
        <w:numPr>
          <w:ilvl w:val="0"/>
          <w:numId w:val="0"/>
        </w:numPr>
        <w:adjustRightInd w:val="0"/>
        <w:snapToGrid w:val="0"/>
        <w:spacing w:line="360" w:lineRule="auto"/>
        <w:rPr>
          <w:rFonts w:hint="eastAsia" w:ascii="Times New Roman" w:hAnsi="Times New Roman" w:cs="Times New Roman"/>
          <w:color w:val="auto"/>
          <w:highlight w:val="none"/>
          <w:lang w:val="en-US" w:eastAsia="zh-CN"/>
        </w:rPr>
      </w:pPr>
      <w:bookmarkStart w:id="51" w:name="_Toc11354"/>
      <w:r>
        <w:rPr>
          <w:rFonts w:hint="eastAsia" w:cs="Times New Roman"/>
          <w:color w:val="auto"/>
          <w:highlight w:val="none"/>
          <w:lang w:val="en-US" w:eastAsia="zh-CN"/>
        </w:rPr>
        <w:t>4</w:t>
      </w:r>
      <w:r>
        <w:rPr>
          <w:rFonts w:hint="eastAsia" w:ascii="Times New Roman" w:hAnsi="Times New Roman" w:cs="Times New Roman"/>
          <w:color w:val="auto"/>
          <w:highlight w:val="none"/>
          <w:lang w:val="en-US" w:eastAsia="zh-CN"/>
        </w:rPr>
        <w:t>.2</w:t>
      </w:r>
      <w:r>
        <w:rPr>
          <w:rFonts w:hint="eastAsia" w:ascii="宋体" w:hAnsi="宋体" w:cs="宋体"/>
          <w:color w:val="000000"/>
          <w:kern w:val="0"/>
          <w:sz w:val="21"/>
          <w:szCs w:val="21"/>
        </w:rPr>
        <w:t>安全网关</w:t>
      </w:r>
      <w:bookmarkEnd w:id="51"/>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kern w:val="0"/>
          <w:sz w:val="21"/>
          <w:szCs w:val="21"/>
        </w:rPr>
      </w:pPr>
      <w:r>
        <w:rPr>
          <w:rFonts w:hint="eastAsia" w:ascii="宋体" w:hAnsi="宋体" w:cs="宋体"/>
          <w:color w:val="000000"/>
          <w:kern w:val="0"/>
          <w:sz w:val="21"/>
          <w:szCs w:val="21"/>
        </w:rPr>
        <w:t>1)端口：2×GE (SFP) + 10×GE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2</w:t>
      </w:r>
      <w:r>
        <w:rPr>
          <w:rFonts w:hint="eastAsia" w:ascii="宋体" w:hAnsi="宋体" w:cs="宋体"/>
          <w:color w:val="000000"/>
          <w:kern w:val="0"/>
          <w:sz w:val="21"/>
          <w:szCs w:val="21"/>
        </w:rPr>
        <w:t>)桌面型；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3</w:t>
      </w:r>
      <w:r>
        <w:rPr>
          <w:rFonts w:hint="eastAsia" w:ascii="宋体" w:hAnsi="宋体" w:cs="宋体"/>
          <w:color w:val="000000"/>
          <w:kern w:val="0"/>
          <w:sz w:val="21"/>
          <w:szCs w:val="21"/>
        </w:rPr>
        <w:t>)集传统防火墙、VPN、入侵防御、防病毒、数据防泄漏、带宽管理、URL过滤等多种功 能于一身，全局配置视图和一体化策略管理；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4</w:t>
      </w:r>
      <w:r>
        <w:rPr>
          <w:rFonts w:hint="eastAsia" w:ascii="宋体" w:hAnsi="宋体" w:cs="宋体"/>
          <w:color w:val="000000"/>
          <w:kern w:val="0"/>
          <w:sz w:val="21"/>
          <w:szCs w:val="21"/>
        </w:rPr>
        <w:t>)尺寸 (W×D×H) mm：250×210×43.6；</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kern w:val="0"/>
          <w:sz w:val="21"/>
          <w:szCs w:val="21"/>
        </w:rPr>
      </w:pPr>
      <w:r>
        <w:rPr>
          <w:rFonts w:hint="eastAsia" w:ascii="宋体" w:hAnsi="宋体" w:cs="宋体"/>
          <w:color w:val="000000"/>
          <w:kern w:val="0"/>
          <w:sz w:val="21"/>
          <w:szCs w:val="21"/>
          <w:lang w:val="en-US" w:eastAsia="zh-CN"/>
        </w:rPr>
        <w:t>5</w:t>
      </w:r>
      <w:r>
        <w:rPr>
          <w:rFonts w:hint="eastAsia" w:ascii="宋体" w:hAnsi="宋体" w:cs="宋体"/>
          <w:color w:val="000000"/>
          <w:kern w:val="0"/>
          <w:sz w:val="21"/>
          <w:szCs w:val="21"/>
        </w:rPr>
        <w:t>)电源功率：36W；电源输入电压 AC适配器，支持100-240V；</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lang w:val="en-US" w:eastAsia="zh-CN"/>
        </w:rPr>
      </w:pPr>
      <w:r>
        <w:rPr>
          <w:rFonts w:hint="eastAsia" w:ascii="宋体" w:hAnsi="宋体" w:cs="宋体"/>
          <w:color w:val="000000"/>
          <w:kern w:val="0"/>
          <w:sz w:val="21"/>
          <w:szCs w:val="21"/>
          <w:lang w:val="en-US" w:eastAsia="zh-CN"/>
        </w:rPr>
        <w:t>6）</w:t>
      </w:r>
      <w:r>
        <w:rPr>
          <w:rFonts w:hint="eastAsia" w:ascii="宋体" w:hAnsi="宋体" w:cs="宋体"/>
          <w:color w:val="000000"/>
          <w:kern w:val="0"/>
          <w:sz w:val="21"/>
          <w:szCs w:val="21"/>
          <w:highlight w:val="none"/>
        </w:rPr>
        <w:t>工作环境温度</w:t>
      </w:r>
      <w:r>
        <w:rPr>
          <w:rFonts w:hint="eastAsia" w:ascii="宋体" w:hAnsi="宋体" w:cs="宋体"/>
          <w:color w:val="000000"/>
          <w:kern w:val="0"/>
          <w:sz w:val="21"/>
          <w:szCs w:val="21"/>
          <w:highlight w:val="none"/>
          <w:lang w:val="en-US" w:eastAsia="zh-CN"/>
        </w:rPr>
        <w:t>-</w:t>
      </w:r>
      <w:r>
        <w:rPr>
          <w:rFonts w:hint="eastAsia" w:ascii="宋体" w:hAnsi="宋体" w:cs="宋体"/>
          <w:color w:val="000000"/>
          <w:kern w:val="0"/>
          <w:sz w:val="21"/>
          <w:szCs w:val="21"/>
          <w:highlight w:val="none"/>
        </w:rPr>
        <w:t>40℃～+70℃，湿度改为5％～100％（既不应凝露，也不应结冰）</w:t>
      </w:r>
      <w:r>
        <w:rPr>
          <w:rFonts w:hint="eastAsia" w:ascii="宋体" w:hAnsi="宋体" w:cs="宋体"/>
          <w:color w:val="000000"/>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630" w:leftChars="200" w:hanging="210" w:hangingChars="100"/>
        <w:textAlignment w:val="auto"/>
        <w:rPr>
          <w:rFonts w:hint="eastAsia" w:eastAsia="宋体"/>
          <w:highlight w:val="yellow"/>
          <w:lang w:val="en-US" w:eastAsia="zh-CN"/>
        </w:rPr>
      </w:pPr>
      <w:r>
        <w:rPr>
          <w:rFonts w:hint="eastAsia" w:ascii="宋体" w:hAnsi="宋体" w:cs="宋体"/>
          <w:color w:val="000000"/>
          <w:kern w:val="0"/>
          <w:sz w:val="21"/>
          <w:szCs w:val="21"/>
          <w:highlight w:val="yellow"/>
          <w:lang w:val="en-US" w:eastAsia="zh-CN"/>
        </w:rPr>
        <w:t>7）产品集成部件的芯片须基于自主可控芯片，包括但不限于多核架构CPU、DRAM颗粒、PHY、FLASH、电源、交换转发、通信等芯片。</w:t>
      </w:r>
    </w:p>
    <w:p>
      <w:pPr>
        <w:bidi w:val="0"/>
        <w:rPr>
          <w:rFonts w:hint="eastAsia"/>
          <w:lang w:val="en-US" w:eastAsia="zh-CN"/>
        </w:rPr>
      </w:pPr>
    </w:p>
    <w:p>
      <w:pPr>
        <w:pStyle w:val="4"/>
        <w:numPr>
          <w:ilvl w:val="0"/>
          <w:numId w:val="0"/>
        </w:numPr>
        <w:adjustRightInd w:val="0"/>
        <w:snapToGrid w:val="0"/>
        <w:spacing w:line="360" w:lineRule="auto"/>
        <w:rPr>
          <w:rFonts w:hint="eastAsia" w:ascii="Times New Roman" w:hAnsi="Times New Roman" w:cs="Times New Roman"/>
          <w:color w:val="auto"/>
          <w:highlight w:val="none"/>
          <w:lang w:val="en-US" w:eastAsia="zh-CN"/>
        </w:rPr>
      </w:pPr>
      <w:bookmarkStart w:id="52" w:name="_Toc18692"/>
      <w:r>
        <w:rPr>
          <w:rFonts w:hint="eastAsia" w:cs="Times New Roman"/>
          <w:color w:val="auto"/>
          <w:highlight w:val="none"/>
          <w:lang w:val="en-US" w:eastAsia="zh-CN"/>
        </w:rPr>
        <w:t>4</w:t>
      </w:r>
      <w:r>
        <w:rPr>
          <w:rFonts w:hint="eastAsia" w:ascii="Times New Roman" w:hAnsi="Times New Roman" w:cs="Times New Roman"/>
          <w:color w:val="auto"/>
          <w:highlight w:val="none"/>
          <w:lang w:val="en-US" w:eastAsia="zh-CN"/>
        </w:rPr>
        <w:t>.3</w:t>
      </w:r>
      <w:r>
        <w:rPr>
          <w:rFonts w:hint="eastAsia" w:hAnsi="宋体" w:cs="宋体"/>
          <w:bCs w:val="0"/>
          <w:color w:val="000000"/>
          <w:kern w:val="0"/>
          <w:sz w:val="21"/>
          <w:szCs w:val="21"/>
          <w:lang w:val="en-US" w:eastAsia="zh-CN" w:bidi="ar-SA"/>
        </w:rPr>
        <w:t>核心</w:t>
      </w:r>
      <w:r>
        <w:rPr>
          <w:rFonts w:hint="eastAsia" w:ascii="宋体" w:hAnsi="宋体" w:cs="宋体"/>
          <w:bCs w:val="0"/>
          <w:color w:val="000000"/>
          <w:kern w:val="0"/>
          <w:sz w:val="21"/>
          <w:szCs w:val="21"/>
          <w:lang w:val="en-US" w:eastAsia="zh-CN" w:bidi="ar-SA"/>
        </w:rPr>
        <w:t>交换机</w:t>
      </w:r>
      <w:bookmarkEnd w:id="52"/>
    </w:p>
    <w:p>
      <w:pPr>
        <w:numPr>
          <w:ilvl w:val="0"/>
          <w:numId w:val="0"/>
        </w:numPr>
        <w:spacing w:line="360" w:lineRule="auto"/>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1)三层千兆以太网交换机。</w:t>
      </w:r>
    </w:p>
    <w:p>
      <w:pPr>
        <w:numPr>
          <w:ilvl w:val="0"/>
          <w:numId w:val="0"/>
        </w:numPr>
        <w:spacing w:line="360" w:lineRule="auto"/>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lang w:val="en-US" w:eastAsia="zh-CN"/>
        </w:rPr>
        <w:t>2</w:t>
      </w:r>
      <w:r>
        <w:rPr>
          <w:rFonts w:hint="eastAsia" w:ascii="宋体" w:hAnsi="宋体" w:cs="宋体"/>
          <w:color w:val="000000"/>
          <w:kern w:val="0"/>
          <w:sz w:val="21"/>
          <w:szCs w:val="21"/>
        </w:rPr>
        <w:t>)24个10/100/1000Base-T端口，4个100/1000Base-X千兆Combo口支持GPON type B, type C 保护，升级主控板和业务板时不中断业务。</w:t>
      </w:r>
    </w:p>
    <w:p>
      <w:pPr>
        <w:numPr>
          <w:ilvl w:val="0"/>
          <w:numId w:val="0"/>
        </w:numPr>
        <w:spacing w:line="360" w:lineRule="auto"/>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lang w:val="en-US" w:eastAsia="zh-CN"/>
        </w:rPr>
        <w:t>3</w:t>
      </w:r>
      <w:r>
        <w:rPr>
          <w:rFonts w:hint="eastAsia" w:ascii="宋体" w:hAnsi="宋体" w:cs="宋体"/>
          <w:color w:val="000000"/>
          <w:kern w:val="0"/>
          <w:sz w:val="21"/>
          <w:szCs w:val="21"/>
        </w:rPr>
        <w:t>)220V AC供电，40W。</w:t>
      </w:r>
    </w:p>
    <w:p>
      <w:pPr>
        <w:numPr>
          <w:ilvl w:val="0"/>
          <w:numId w:val="0"/>
        </w:numPr>
        <w:spacing w:line="360" w:lineRule="auto"/>
        <w:ind w:left="840" w:leftChars="200" w:hanging="420" w:hangingChars="200"/>
        <w:jc w:val="left"/>
        <w:rPr>
          <w:rFonts w:hint="eastAsia"/>
          <w:lang w:eastAsia="zh-CN"/>
        </w:rPr>
      </w:pPr>
      <w:r>
        <w:rPr>
          <w:rFonts w:hint="eastAsia" w:ascii="宋体" w:hAnsi="宋体" w:cs="宋体"/>
          <w:color w:val="000000"/>
          <w:kern w:val="0"/>
          <w:sz w:val="21"/>
          <w:szCs w:val="21"/>
          <w:highlight w:val="none"/>
          <w:lang w:val="en-US" w:eastAsia="zh-CN"/>
        </w:rPr>
        <w:t>4）</w:t>
      </w:r>
      <w:r>
        <w:rPr>
          <w:rFonts w:hint="eastAsia" w:ascii="宋体" w:hAnsi="宋体" w:cs="宋体"/>
          <w:color w:val="000000"/>
          <w:kern w:val="0"/>
          <w:sz w:val="21"/>
          <w:szCs w:val="21"/>
          <w:highlight w:val="none"/>
        </w:rPr>
        <w:t>工作环境温度</w:t>
      </w:r>
      <w:r>
        <w:rPr>
          <w:rFonts w:hint="eastAsia" w:ascii="宋体" w:hAnsi="宋体" w:cs="宋体"/>
          <w:color w:val="000000"/>
          <w:kern w:val="0"/>
          <w:sz w:val="21"/>
          <w:szCs w:val="21"/>
          <w:highlight w:val="none"/>
          <w:lang w:val="en-US" w:eastAsia="zh-CN"/>
        </w:rPr>
        <w:t>-</w:t>
      </w:r>
      <w:r>
        <w:rPr>
          <w:rFonts w:hint="eastAsia" w:ascii="宋体" w:hAnsi="宋体" w:cs="宋体"/>
          <w:color w:val="000000"/>
          <w:kern w:val="0"/>
          <w:sz w:val="21"/>
          <w:szCs w:val="21"/>
          <w:highlight w:val="none"/>
        </w:rPr>
        <w:t>40℃～+70℃，湿度改为5％～100％（既不应凝露，也不应结冰），含光模块</w:t>
      </w:r>
      <w:r>
        <w:rPr>
          <w:rFonts w:hint="eastAsia" w:ascii="宋体" w:hAnsi="宋体" w:cs="宋体"/>
          <w:color w:val="000000"/>
          <w:kern w:val="0"/>
          <w:sz w:val="21"/>
          <w:szCs w:val="21"/>
          <w:highlight w:val="none"/>
          <w:lang w:eastAsia="zh-CN"/>
        </w:rPr>
        <w:t>；</w:t>
      </w:r>
    </w:p>
    <w:p>
      <w:pPr>
        <w:numPr>
          <w:ilvl w:val="0"/>
          <w:numId w:val="0"/>
        </w:numPr>
        <w:spacing w:line="360" w:lineRule="auto"/>
        <w:ind w:firstLine="420" w:firstLineChars="200"/>
        <w:jc w:val="left"/>
        <w:rPr>
          <w:rFonts w:hint="eastAsia"/>
          <w:highlight w:val="yellow"/>
          <w:lang w:eastAsia="zh-CN"/>
        </w:rPr>
      </w:pPr>
      <w:r>
        <w:rPr>
          <w:rFonts w:hint="eastAsia" w:ascii="宋体" w:hAnsi="宋体" w:eastAsia="宋体" w:cs="宋体"/>
          <w:color w:val="000000"/>
          <w:kern w:val="0"/>
          <w:sz w:val="21"/>
          <w:szCs w:val="21"/>
          <w:highlight w:val="yellow"/>
          <w:lang w:val="en-US" w:eastAsia="zh-CN"/>
        </w:rPr>
        <w:t>5）产品的控制及转发处理单元要求必须为自主可控的设计、研发、生产</w:t>
      </w:r>
      <w:r>
        <w:rPr>
          <w:rFonts w:hint="eastAsia" w:ascii="宋体" w:hAnsi="宋体" w:cs="宋体"/>
          <w:color w:val="000000"/>
          <w:kern w:val="0"/>
          <w:sz w:val="21"/>
          <w:szCs w:val="21"/>
          <w:highlight w:val="yellow"/>
          <w:lang w:val="en-US" w:eastAsia="zh-CN"/>
        </w:rPr>
        <w:t>（提供证明文件）</w:t>
      </w:r>
      <w:r>
        <w:rPr>
          <w:rFonts w:hint="eastAsia" w:ascii="宋体" w:hAnsi="宋体" w:eastAsia="宋体" w:cs="宋体"/>
          <w:color w:val="000000"/>
          <w:kern w:val="0"/>
          <w:sz w:val="21"/>
          <w:szCs w:val="21"/>
          <w:highlight w:val="yellow"/>
          <w:lang w:eastAsia="zh-CN"/>
        </w:rPr>
        <w:t>；</w:t>
      </w:r>
    </w:p>
    <w:p>
      <w:pPr>
        <w:adjustRightInd w:val="0"/>
        <w:snapToGrid w:val="0"/>
        <w:spacing w:line="360" w:lineRule="auto"/>
        <w:ind w:firstLine="420" w:firstLineChars="200"/>
        <w:rPr>
          <w:rFonts w:hint="default"/>
          <w:highlight w:val="yellow"/>
          <w:lang w:val="en-US" w:eastAsia="zh-CN"/>
        </w:rPr>
      </w:pPr>
      <w:r>
        <w:rPr>
          <w:rFonts w:hint="eastAsia"/>
          <w:highlight w:val="yellow"/>
          <w:lang w:val="en-US" w:eastAsia="zh-CN"/>
        </w:rPr>
        <w:t xml:space="preserve">    6）投标产品的CPU信息、DRAM颗粒信息、FLASH信息、交换转发芯片信息等需提供自主可控情况说明（格式见</w:t>
      </w:r>
      <w:r>
        <w:rPr>
          <w:rFonts w:hint="eastAsia" w:eastAsia="宋体"/>
          <w:highlight w:val="yellow"/>
          <w:lang w:val="en-US" w:eastAsia="zh-CN"/>
        </w:rPr>
        <w:t>附表2：交换机</w:t>
      </w:r>
      <w:r>
        <w:rPr>
          <w:rFonts w:hint="eastAsia" w:ascii="宋体" w:hAnsi="宋体" w:cs="Times New Roman"/>
          <w:kern w:val="2"/>
          <w:sz w:val="21"/>
          <w:szCs w:val="21"/>
          <w:highlight w:val="yellow"/>
          <w:lang w:val="en-US" w:eastAsia="zh-CN" w:bidi="ar-SA"/>
        </w:rPr>
        <w:t>自主可控指标要求清单</w:t>
      </w:r>
      <w:r>
        <w:rPr>
          <w:rFonts w:hint="eastAsia"/>
          <w:highlight w:val="yellow"/>
          <w:lang w:val="en-US" w:eastAsia="zh-CN"/>
        </w:rPr>
        <w:t>）。</w:t>
      </w:r>
    </w:p>
    <w:p>
      <w:pPr>
        <w:pStyle w:val="4"/>
        <w:numPr>
          <w:ilvl w:val="0"/>
          <w:numId w:val="0"/>
        </w:numPr>
        <w:adjustRightInd w:val="0"/>
        <w:snapToGrid w:val="0"/>
        <w:spacing w:line="360" w:lineRule="auto"/>
        <w:rPr>
          <w:rFonts w:hint="eastAsia" w:hAnsi="宋体" w:cs="宋体"/>
          <w:color w:val="000000"/>
          <w:kern w:val="0"/>
          <w:sz w:val="21"/>
          <w:szCs w:val="21"/>
          <w:lang w:val="en-US" w:eastAsia="zh-CN"/>
        </w:rPr>
      </w:pPr>
      <w:bookmarkStart w:id="53" w:name="_Toc18582"/>
      <w:r>
        <w:rPr>
          <w:rFonts w:hint="eastAsia" w:cs="Times New Roman"/>
          <w:color w:val="auto"/>
          <w:highlight w:val="none"/>
          <w:lang w:val="en-US" w:eastAsia="zh-CN"/>
        </w:rPr>
        <w:t>4</w:t>
      </w:r>
      <w:r>
        <w:rPr>
          <w:rFonts w:hint="eastAsia" w:ascii="Times New Roman" w:hAnsi="Times New Roman" w:cs="Times New Roman"/>
          <w:color w:val="auto"/>
          <w:highlight w:val="none"/>
          <w:lang w:val="en-US" w:eastAsia="zh-CN"/>
        </w:rPr>
        <w:t>.4</w:t>
      </w:r>
      <w:r>
        <w:rPr>
          <w:rFonts w:hint="eastAsia" w:hAnsi="宋体" w:cs="宋体"/>
          <w:color w:val="000000"/>
          <w:kern w:val="0"/>
          <w:sz w:val="21"/>
          <w:szCs w:val="21"/>
          <w:lang w:val="en-US" w:eastAsia="zh-CN"/>
        </w:rPr>
        <w:t>汇聚交换机</w:t>
      </w:r>
      <w:bookmarkEnd w:id="53"/>
    </w:p>
    <w:p>
      <w:pPr>
        <w:numPr>
          <w:ilvl w:val="0"/>
          <w:numId w:val="0"/>
        </w:numPr>
        <w:spacing w:line="360" w:lineRule="auto"/>
        <w:ind w:firstLine="420" w:firstLineChars="200"/>
        <w:jc w:val="left"/>
        <w:rPr>
          <w:rFonts w:hint="eastAsia"/>
          <w:highlight w:val="yellow"/>
          <w:lang w:eastAsia="zh-CN"/>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highlight w:val="yellow"/>
          <w:lang w:val="en-US" w:eastAsia="zh-CN"/>
        </w:rPr>
        <w:t>）产品的控制及转发处理单元要求必须为自主可控的设计、研发、生产</w:t>
      </w:r>
      <w:r>
        <w:rPr>
          <w:rFonts w:hint="eastAsia" w:ascii="宋体" w:hAnsi="宋体" w:eastAsia="宋体" w:cs="宋体"/>
          <w:color w:val="000000"/>
          <w:kern w:val="0"/>
          <w:sz w:val="21"/>
          <w:szCs w:val="21"/>
          <w:highlight w:val="yellow"/>
          <w:lang w:eastAsia="zh-CN"/>
        </w:rPr>
        <w:t>；</w:t>
      </w:r>
    </w:p>
    <w:p>
      <w:pPr>
        <w:adjustRightInd w:val="0"/>
        <w:snapToGrid w:val="0"/>
        <w:spacing w:line="360" w:lineRule="auto"/>
        <w:ind w:firstLine="420" w:firstLineChars="200"/>
        <w:rPr>
          <w:rFonts w:hint="eastAsia"/>
          <w:highlight w:val="yellow"/>
          <w:lang w:val="en-US" w:eastAsia="zh-CN"/>
        </w:rPr>
      </w:pPr>
      <w:r>
        <w:rPr>
          <w:rFonts w:hint="eastAsia"/>
          <w:highlight w:val="yellow"/>
          <w:lang w:val="en-US" w:eastAsia="zh-CN"/>
        </w:rPr>
        <w:t xml:space="preserve">    2）投标产品的CPU信息、DRAM颗粒信息、FLASH信息、交换转发芯片信息等需提供自主可控情况说明（格式见</w:t>
      </w:r>
      <w:r>
        <w:rPr>
          <w:rFonts w:hint="eastAsia" w:eastAsia="宋体"/>
          <w:highlight w:val="yellow"/>
          <w:lang w:val="en-US" w:eastAsia="zh-CN"/>
        </w:rPr>
        <w:t>附表2：交换机</w:t>
      </w:r>
      <w:r>
        <w:rPr>
          <w:rFonts w:hint="eastAsia" w:ascii="宋体" w:hAnsi="宋体" w:cs="Times New Roman"/>
          <w:kern w:val="2"/>
          <w:sz w:val="21"/>
          <w:szCs w:val="21"/>
          <w:highlight w:val="yellow"/>
          <w:lang w:val="en-US" w:eastAsia="zh-CN" w:bidi="ar-SA"/>
        </w:rPr>
        <w:t>自主可控指标要求清单</w:t>
      </w:r>
      <w:r>
        <w:rPr>
          <w:rFonts w:hint="eastAsia"/>
          <w:highlight w:val="yellow"/>
          <w:lang w:val="en-US" w:eastAsia="zh-CN"/>
        </w:rPr>
        <w:t>）。</w:t>
      </w:r>
    </w:p>
    <w:tbl>
      <w:tblPr>
        <w:tblStyle w:val="11"/>
        <w:tblpPr w:leftFromText="180" w:rightFromText="180" w:vertAnchor="text" w:horzAnchor="page" w:tblpX="1935" w:tblpY="595"/>
        <w:tblOverlap w:val="never"/>
        <w:tblW w:w="86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84"/>
        <w:gridCol w:w="3636"/>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b/>
                <w:kern w:val="0"/>
                <w:sz w:val="20"/>
                <w:szCs w:val="20"/>
                <w:lang w:val="en-US" w:eastAsia="zh-CN"/>
              </w:rPr>
            </w:pPr>
            <w:r>
              <w:rPr>
                <w:rFonts w:hint="eastAsia" w:ascii="宋体" w:hAnsi="宋体" w:eastAsia="宋体" w:cs="宋体"/>
                <w:b/>
                <w:kern w:val="0"/>
                <w:sz w:val="20"/>
                <w:szCs w:val="20"/>
                <w:lang w:val="en-US" w:eastAsia="zh-CN"/>
              </w:rPr>
              <w:t>序号</w:t>
            </w:r>
          </w:p>
        </w:tc>
        <w:tc>
          <w:tcPr>
            <w:tcW w:w="1884" w:type="dxa"/>
            <w:noWrap w:val="0"/>
            <w:vAlign w:val="center"/>
          </w:tcPr>
          <w:p>
            <w:pPr>
              <w:widowControl/>
              <w:jc w:val="center"/>
              <w:rPr>
                <w:rFonts w:hint="eastAsia" w:ascii="宋体" w:hAnsi="宋体" w:eastAsia="宋体" w:cs="宋体"/>
                <w:b/>
                <w:kern w:val="0"/>
                <w:sz w:val="20"/>
                <w:szCs w:val="20"/>
                <w:lang w:val="en-US" w:eastAsia="zh-CN"/>
              </w:rPr>
            </w:pPr>
            <w:r>
              <w:rPr>
                <w:rFonts w:hint="eastAsia" w:ascii="宋体" w:hAnsi="宋体" w:eastAsia="宋体" w:cs="宋体"/>
                <w:b/>
                <w:kern w:val="0"/>
                <w:sz w:val="20"/>
                <w:szCs w:val="20"/>
                <w:lang w:val="en-US" w:eastAsia="zh-CN"/>
              </w:rPr>
              <w:t>参数名称</w:t>
            </w:r>
          </w:p>
        </w:tc>
        <w:tc>
          <w:tcPr>
            <w:tcW w:w="3636" w:type="dxa"/>
            <w:noWrap w:val="0"/>
            <w:vAlign w:val="center"/>
          </w:tcPr>
          <w:p>
            <w:pPr>
              <w:widowControl/>
              <w:jc w:val="center"/>
              <w:rPr>
                <w:rFonts w:hint="eastAsia" w:ascii="宋体" w:hAnsi="宋体" w:eastAsia="宋体" w:cs="宋体"/>
                <w:b/>
                <w:kern w:val="0"/>
                <w:sz w:val="20"/>
                <w:szCs w:val="20"/>
                <w:lang w:val="en-US" w:eastAsia="zh-CN"/>
              </w:rPr>
            </w:pPr>
            <w:r>
              <w:rPr>
                <w:rFonts w:hint="eastAsia" w:ascii="宋体" w:hAnsi="宋体" w:eastAsia="宋体" w:cs="宋体"/>
                <w:b/>
                <w:kern w:val="0"/>
                <w:sz w:val="20"/>
                <w:szCs w:val="20"/>
                <w:lang w:val="en-US" w:eastAsia="zh-CN"/>
              </w:rPr>
              <w:t>技术指标</w:t>
            </w:r>
          </w:p>
        </w:tc>
        <w:tc>
          <w:tcPr>
            <w:tcW w:w="2520" w:type="dxa"/>
            <w:noWrap w:val="0"/>
            <w:vAlign w:val="center"/>
          </w:tcPr>
          <w:p>
            <w:pPr>
              <w:widowControl/>
              <w:jc w:val="center"/>
              <w:rPr>
                <w:rFonts w:hint="default" w:ascii="宋体" w:hAnsi="宋体" w:eastAsia="宋体" w:cs="宋体"/>
                <w:b/>
                <w:kern w:val="0"/>
                <w:sz w:val="20"/>
                <w:szCs w:val="20"/>
                <w:lang w:val="en-US" w:eastAsia="zh-CN"/>
              </w:rPr>
            </w:pPr>
            <w:r>
              <w:rPr>
                <w:rFonts w:hint="eastAsia" w:ascii="宋体" w:hAnsi="宋体" w:eastAsia="宋体" w:cs="宋体"/>
                <w:b/>
                <w:kern w:val="0"/>
                <w:sz w:val="20"/>
                <w:szCs w:val="2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固定端口</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18*10/100/1000Base-TX RJ45端口（数据）</w:t>
            </w:r>
          </w:p>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8*1000M SFP</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控制台端口</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1个控制台端口</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重置密钥</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中央处理器</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500M</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DDR</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1G DDR3 1333MHz</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6</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缓冲区</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完全集成的4.1M数据包缓冲区</w:t>
            </w:r>
          </w:p>
        </w:tc>
        <w:tc>
          <w:tcPr>
            <w:tcW w:w="2520" w:type="dxa"/>
            <w:noWrap w:val="0"/>
            <w:vAlign w:val="center"/>
          </w:tcPr>
          <w:p>
            <w:pPr>
              <w:widowControl/>
              <w:jc w:val="left"/>
              <w:rPr>
                <w:rFonts w:hint="eastAsia" w:ascii="宋体" w:hAnsi="宋体" w:eastAsia="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7</w:t>
            </w:r>
          </w:p>
        </w:tc>
        <w:tc>
          <w:tcPr>
            <w:tcW w:w="1884" w:type="dxa"/>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rPr>
              <w:t>闪</w:t>
            </w:r>
            <w:r>
              <w:rPr>
                <w:rFonts w:hint="eastAsia" w:ascii="宋体" w:hAnsi="宋体" w:eastAsia="宋体" w:cs="宋体"/>
                <w:kern w:val="0"/>
                <w:sz w:val="21"/>
                <w:szCs w:val="21"/>
                <w:lang w:val="en-US" w:eastAsia="zh-CN"/>
              </w:rPr>
              <w:t>存</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16M</w:t>
            </w:r>
          </w:p>
        </w:tc>
        <w:tc>
          <w:tcPr>
            <w:tcW w:w="2520" w:type="dxa"/>
            <w:noWrap w:val="0"/>
            <w:vAlign w:val="center"/>
          </w:tcPr>
          <w:p>
            <w:pPr>
              <w:widowControl/>
              <w:jc w:val="left"/>
              <w:rPr>
                <w:rFonts w:hint="eastAsia" w:ascii="宋体" w:hAnsi="宋体" w:eastAsia="宋体"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8</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RAM</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128M</w:t>
            </w:r>
          </w:p>
        </w:tc>
        <w:tc>
          <w:tcPr>
            <w:tcW w:w="2520" w:type="dxa"/>
            <w:noWrap w:val="0"/>
            <w:vAlign w:val="center"/>
          </w:tcPr>
          <w:p>
            <w:pPr>
              <w:widowControl/>
              <w:jc w:val="left"/>
              <w:rPr>
                <w:rFonts w:hint="eastAsia" w:ascii="宋体" w:hAnsi="宋体" w:eastAsia="宋体"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带宽</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56/128Gbps</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数据包转发</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40.32Mpps</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11</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访问控制地址</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8K</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12</w:t>
            </w:r>
          </w:p>
        </w:tc>
        <w:tc>
          <w:tcPr>
            <w:tcW w:w="1884"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网络协议</w:t>
            </w:r>
          </w:p>
        </w:tc>
        <w:tc>
          <w:tcPr>
            <w:tcW w:w="3636" w:type="dxa"/>
            <w:noWrap w:val="0"/>
            <w:vAlign w:val="center"/>
          </w:tcPr>
          <w:p>
            <w:pPr>
              <w:pStyle w:val="22"/>
              <w:jc w:val="center"/>
              <w:rPr>
                <w:rFonts w:hint="eastAsia" w:ascii="宋体" w:hAnsi="宋体" w:eastAsia="宋体" w:cs="宋体"/>
                <w:sz w:val="21"/>
                <w:szCs w:val="21"/>
              </w:rPr>
            </w:pPr>
            <w:r>
              <w:rPr>
                <w:rFonts w:hint="eastAsia" w:ascii="宋体" w:hAnsi="宋体" w:eastAsia="宋体" w:cs="宋体"/>
                <w:sz w:val="21"/>
                <w:szCs w:val="21"/>
              </w:rPr>
              <w:t>IEEE 802.3</w:t>
            </w:r>
          </w:p>
          <w:p>
            <w:pPr>
              <w:pStyle w:val="22"/>
              <w:jc w:val="center"/>
              <w:rPr>
                <w:rFonts w:hint="eastAsia" w:ascii="宋体" w:hAnsi="宋体" w:eastAsia="宋体" w:cs="宋体"/>
                <w:sz w:val="21"/>
                <w:szCs w:val="21"/>
              </w:rPr>
            </w:pPr>
            <w:r>
              <w:rPr>
                <w:rFonts w:hint="eastAsia" w:ascii="宋体" w:hAnsi="宋体" w:eastAsia="宋体" w:cs="宋体"/>
                <w:sz w:val="21"/>
                <w:szCs w:val="21"/>
              </w:rPr>
              <w:t>IEEE 802.3u 100BASE-TX</w:t>
            </w:r>
          </w:p>
          <w:p>
            <w:pPr>
              <w:pStyle w:val="22"/>
              <w:jc w:val="center"/>
              <w:rPr>
                <w:rFonts w:hint="eastAsia" w:ascii="宋体" w:hAnsi="宋体" w:eastAsia="宋体" w:cs="宋体"/>
                <w:sz w:val="21"/>
                <w:szCs w:val="21"/>
              </w:rPr>
            </w:pPr>
            <w:r>
              <w:rPr>
                <w:rFonts w:hint="eastAsia" w:ascii="宋体" w:hAnsi="宋体" w:eastAsia="宋体" w:cs="宋体"/>
                <w:sz w:val="21"/>
                <w:szCs w:val="21"/>
              </w:rPr>
              <w:t>IEEE 802.3ab1000BASE-T</w:t>
            </w:r>
          </w:p>
          <w:p>
            <w:pPr>
              <w:pStyle w:val="22"/>
              <w:jc w:val="center"/>
              <w:rPr>
                <w:rFonts w:hint="eastAsia" w:ascii="宋体" w:hAnsi="宋体" w:eastAsia="宋体" w:cs="宋体"/>
                <w:sz w:val="21"/>
                <w:szCs w:val="21"/>
              </w:rPr>
            </w:pPr>
            <w:r>
              <w:rPr>
                <w:rFonts w:hint="eastAsia" w:ascii="宋体" w:hAnsi="宋体" w:eastAsia="宋体" w:cs="宋体"/>
                <w:sz w:val="21"/>
                <w:szCs w:val="21"/>
              </w:rPr>
              <w:t>IEEE 802.3x</w:t>
            </w:r>
          </w:p>
          <w:p>
            <w:pPr>
              <w:pStyle w:val="22"/>
              <w:jc w:val="center"/>
              <w:rPr>
                <w:rFonts w:hint="eastAsia" w:ascii="宋体" w:hAnsi="宋体" w:eastAsia="宋体" w:cs="宋体"/>
                <w:sz w:val="21"/>
                <w:szCs w:val="21"/>
              </w:rPr>
            </w:pPr>
            <w:r>
              <w:rPr>
                <w:rFonts w:hint="eastAsia" w:ascii="宋体" w:hAnsi="宋体" w:eastAsia="宋体" w:cs="宋体"/>
                <w:sz w:val="21"/>
                <w:szCs w:val="21"/>
              </w:rPr>
              <w:t>IEEE802.3z1000basex</w:t>
            </w:r>
          </w:p>
          <w:p>
            <w:pPr>
              <w:pStyle w:val="22"/>
              <w:jc w:val="center"/>
              <w:rPr>
                <w:rFonts w:hint="eastAsia" w:ascii="宋体" w:hAnsi="宋体" w:eastAsia="宋体" w:cs="宋体"/>
                <w:sz w:val="21"/>
                <w:szCs w:val="21"/>
              </w:rPr>
            </w:pPr>
            <w:r>
              <w:rPr>
                <w:rFonts w:hint="eastAsia" w:ascii="宋体" w:hAnsi="宋体" w:eastAsia="宋体" w:cs="宋体"/>
                <w:sz w:val="21"/>
                <w:szCs w:val="21"/>
              </w:rPr>
              <w:t>IEEE802.3广告</w:t>
            </w:r>
          </w:p>
          <w:p>
            <w:pPr>
              <w:pStyle w:val="22"/>
              <w:jc w:val="center"/>
              <w:rPr>
                <w:rFonts w:hint="eastAsia" w:ascii="宋体" w:hAnsi="宋体" w:eastAsia="宋体" w:cs="宋体"/>
                <w:sz w:val="21"/>
                <w:szCs w:val="21"/>
              </w:rPr>
            </w:pPr>
            <w:r>
              <w:rPr>
                <w:rFonts w:hint="eastAsia" w:ascii="宋体" w:hAnsi="宋体" w:eastAsia="宋体" w:cs="宋体"/>
                <w:sz w:val="21"/>
                <w:szCs w:val="21"/>
              </w:rPr>
              <w:t>IEEE 802.3q、IEEE802.3q/p</w:t>
            </w:r>
          </w:p>
          <w:p>
            <w:pPr>
              <w:pStyle w:val="22"/>
              <w:jc w:val="center"/>
              <w:rPr>
                <w:rFonts w:hint="eastAsia" w:ascii="宋体" w:hAnsi="宋体" w:eastAsia="宋体" w:cs="宋体"/>
                <w:sz w:val="21"/>
                <w:szCs w:val="21"/>
              </w:rPr>
            </w:pPr>
            <w:r>
              <w:rPr>
                <w:rFonts w:hint="eastAsia" w:ascii="宋体" w:hAnsi="宋体" w:eastAsia="宋体" w:cs="宋体"/>
                <w:sz w:val="21"/>
                <w:szCs w:val="21"/>
              </w:rPr>
              <w:t>IEEE 802.1w、IEEE802.1d、IEEE802.1S</w:t>
            </w:r>
          </w:p>
          <w:p>
            <w:pPr>
              <w:pStyle w:val="22"/>
              <w:jc w:val="center"/>
              <w:rPr>
                <w:rFonts w:hint="eastAsia" w:ascii="宋体" w:hAnsi="宋体" w:eastAsia="宋体" w:cs="宋体"/>
                <w:sz w:val="21"/>
                <w:szCs w:val="21"/>
              </w:rPr>
            </w:pPr>
            <w:r>
              <w:rPr>
                <w:rFonts w:hint="eastAsia" w:ascii="宋体" w:hAnsi="宋体" w:eastAsia="宋体" w:cs="宋体"/>
                <w:sz w:val="21"/>
                <w:szCs w:val="21"/>
              </w:rPr>
              <w:t>STP（生成树协议）</w:t>
            </w:r>
          </w:p>
          <w:p>
            <w:pPr>
              <w:pStyle w:val="22"/>
              <w:jc w:val="center"/>
              <w:rPr>
                <w:rFonts w:hint="eastAsia" w:ascii="宋体" w:hAnsi="宋体" w:eastAsia="宋体" w:cs="宋体"/>
                <w:sz w:val="21"/>
                <w:szCs w:val="21"/>
              </w:rPr>
            </w:pPr>
            <w:r>
              <w:rPr>
                <w:rFonts w:hint="eastAsia" w:ascii="宋体" w:hAnsi="宋体" w:eastAsia="宋体" w:cs="宋体"/>
                <w:sz w:val="21"/>
                <w:szCs w:val="21"/>
              </w:rPr>
              <w:t>RSTP/MSTP（快速生成树协议）</w:t>
            </w:r>
          </w:p>
          <w:p>
            <w:pPr>
              <w:pStyle w:val="22"/>
              <w:jc w:val="center"/>
              <w:rPr>
                <w:rFonts w:hint="eastAsia" w:ascii="宋体" w:hAnsi="宋体" w:eastAsia="宋体" w:cs="宋体"/>
                <w:sz w:val="21"/>
                <w:szCs w:val="21"/>
              </w:rPr>
            </w:pPr>
            <w:r>
              <w:rPr>
                <w:rFonts w:hint="eastAsia" w:ascii="宋体" w:hAnsi="宋体" w:eastAsia="宋体" w:cs="宋体"/>
                <w:sz w:val="21"/>
                <w:szCs w:val="21"/>
              </w:rPr>
              <w:t>EPPS环网协议</w:t>
            </w:r>
          </w:p>
          <w:p>
            <w:pPr>
              <w:pStyle w:val="22"/>
              <w:jc w:val="center"/>
              <w:rPr>
                <w:rFonts w:hint="eastAsia" w:ascii="宋体" w:hAnsi="宋体" w:eastAsia="宋体" w:cs="宋体"/>
                <w:sz w:val="21"/>
                <w:szCs w:val="21"/>
              </w:rPr>
            </w:pPr>
            <w:r>
              <w:rPr>
                <w:rFonts w:hint="eastAsia" w:ascii="宋体" w:hAnsi="宋体" w:eastAsia="宋体" w:cs="宋体"/>
                <w:sz w:val="21"/>
                <w:szCs w:val="21"/>
              </w:rPr>
              <w:t>EAPS环网协议</w:t>
            </w:r>
          </w:p>
        </w:tc>
        <w:tc>
          <w:tcPr>
            <w:tcW w:w="2520" w:type="dxa"/>
            <w:noWrap w:val="0"/>
            <w:vAlign w:val="center"/>
          </w:tcPr>
          <w:p>
            <w:pPr>
              <w:pStyle w:val="22"/>
              <w:jc w:val="both"/>
              <w:rPr>
                <w:rFonts w:hint="eastAsia" w:ascii="宋体" w:hAnsi="宋体" w:eastAsia="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端口规格</w:t>
            </w:r>
          </w:p>
        </w:tc>
        <w:tc>
          <w:tcPr>
            <w:tcW w:w="3636" w:type="dxa"/>
            <w:noWrap w:val="0"/>
            <w:vAlign w:val="center"/>
          </w:tcPr>
          <w:p>
            <w:pPr>
              <w:pStyle w:val="22"/>
              <w:jc w:val="center"/>
              <w:rPr>
                <w:rFonts w:hint="eastAsia" w:ascii="宋体" w:hAnsi="宋体" w:eastAsia="宋体" w:cs="宋体"/>
                <w:sz w:val="21"/>
                <w:szCs w:val="21"/>
              </w:rPr>
            </w:pPr>
            <w:r>
              <w:rPr>
                <w:rFonts w:hint="eastAsia" w:ascii="宋体" w:hAnsi="宋体" w:eastAsia="宋体" w:cs="宋体"/>
                <w:sz w:val="21"/>
                <w:szCs w:val="21"/>
              </w:rPr>
              <w:t>10/100/1000BaseT (X)Auto</w:t>
            </w:r>
          </w:p>
        </w:tc>
        <w:tc>
          <w:tcPr>
            <w:tcW w:w="2520" w:type="dxa"/>
            <w:noWrap w:val="0"/>
            <w:vAlign w:val="center"/>
          </w:tcPr>
          <w:p>
            <w:pPr>
              <w:pStyle w:val="22"/>
              <w:rPr>
                <w:rFonts w:hint="eastAsia" w:ascii="宋体" w:hAnsi="宋体" w:eastAsia="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14</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传输模式</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存储和前进（全线速）</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15</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传输距离</w:t>
            </w:r>
          </w:p>
        </w:tc>
        <w:tc>
          <w:tcPr>
            <w:tcW w:w="3636" w:type="dxa"/>
            <w:noWrap w:val="0"/>
            <w:vAlign w:val="center"/>
          </w:tcPr>
          <w:p>
            <w:pPr>
              <w:pStyle w:val="22"/>
              <w:jc w:val="center"/>
              <w:rPr>
                <w:rFonts w:hint="eastAsia" w:ascii="宋体" w:hAnsi="宋体" w:eastAsia="宋体" w:cs="宋体"/>
                <w:sz w:val="21"/>
                <w:szCs w:val="21"/>
              </w:rPr>
            </w:pPr>
            <w:r>
              <w:rPr>
                <w:rFonts w:hint="eastAsia" w:ascii="宋体" w:hAnsi="宋体" w:eastAsia="宋体" w:cs="宋体"/>
                <w:sz w:val="21"/>
                <w:szCs w:val="21"/>
              </w:rPr>
              <w:t>10BASE-T：类别3、4、5UTP（≤250米）</w:t>
            </w:r>
          </w:p>
          <w:p>
            <w:pPr>
              <w:pStyle w:val="22"/>
              <w:jc w:val="center"/>
              <w:rPr>
                <w:rFonts w:hint="eastAsia" w:ascii="宋体" w:hAnsi="宋体" w:eastAsia="宋体" w:cs="宋体"/>
                <w:sz w:val="21"/>
                <w:szCs w:val="21"/>
              </w:rPr>
            </w:pPr>
            <w:r>
              <w:rPr>
                <w:rFonts w:hint="eastAsia" w:ascii="宋体" w:hAnsi="宋体" w:eastAsia="宋体" w:cs="宋体"/>
                <w:sz w:val="21"/>
                <w:szCs w:val="21"/>
              </w:rPr>
              <w:t>100BASE-TX：Cat5或更高版本的UTP（≤100米）</w:t>
            </w:r>
          </w:p>
          <w:p>
            <w:pPr>
              <w:pStyle w:val="22"/>
              <w:jc w:val="center"/>
              <w:rPr>
                <w:rFonts w:hint="eastAsia" w:ascii="宋体" w:hAnsi="宋体" w:eastAsia="宋体" w:cs="宋体"/>
                <w:sz w:val="21"/>
                <w:szCs w:val="21"/>
              </w:rPr>
            </w:pPr>
            <w:r>
              <w:rPr>
                <w:rFonts w:hint="eastAsia" w:ascii="宋体" w:hAnsi="宋体" w:eastAsia="宋体" w:cs="宋体"/>
                <w:sz w:val="21"/>
                <w:szCs w:val="21"/>
              </w:rPr>
              <w:t>1000BASE-TX：Cat6或更高版本的UTP（≤1000米）</w:t>
            </w:r>
          </w:p>
        </w:tc>
        <w:tc>
          <w:tcPr>
            <w:tcW w:w="2520" w:type="dxa"/>
            <w:noWrap w:val="0"/>
            <w:vAlign w:val="center"/>
          </w:tcPr>
          <w:p>
            <w:pPr>
              <w:pStyle w:val="22"/>
              <w:rPr>
                <w:rFonts w:hint="eastAsia" w:ascii="宋体" w:hAnsi="宋体" w:eastAsia="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16</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LED指示灯</w:t>
            </w:r>
          </w:p>
        </w:tc>
        <w:tc>
          <w:tcPr>
            <w:tcW w:w="3636" w:type="dxa"/>
            <w:noWrap w:val="0"/>
            <w:vAlign w:val="center"/>
          </w:tcPr>
          <w:p>
            <w:pPr>
              <w:pStyle w:val="22"/>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PWR：电源指示灯</w:t>
            </w:r>
          </w:p>
          <w:p>
            <w:pPr>
              <w:pStyle w:val="22"/>
              <w:jc w:val="center"/>
              <w:rPr>
                <w:rFonts w:hint="eastAsia" w:ascii="宋体" w:hAnsi="宋体" w:eastAsia="宋体" w:cs="宋体"/>
                <w:sz w:val="21"/>
                <w:szCs w:val="21"/>
              </w:rPr>
            </w:pPr>
            <w:r>
              <w:rPr>
                <w:rFonts w:hint="eastAsia" w:ascii="宋体" w:hAnsi="宋体" w:eastAsia="宋体" w:cs="宋体"/>
                <w:sz w:val="21"/>
                <w:szCs w:val="21"/>
                <w:lang w:val="en-US" w:eastAsia="zh-CN"/>
              </w:rPr>
              <w:t>SYS：（系统LED）</w:t>
            </w:r>
          </w:p>
          <w:p>
            <w:pPr>
              <w:pStyle w:val="22"/>
              <w:jc w:val="center"/>
              <w:rPr>
                <w:rFonts w:hint="eastAsia" w:ascii="宋体" w:hAnsi="宋体" w:eastAsia="宋体" w:cs="宋体"/>
                <w:sz w:val="21"/>
                <w:szCs w:val="21"/>
              </w:rPr>
            </w:pPr>
            <w:r>
              <w:rPr>
                <w:rFonts w:hint="eastAsia" w:ascii="宋体" w:hAnsi="宋体" w:eastAsia="宋体" w:cs="宋体"/>
                <w:sz w:val="21"/>
                <w:szCs w:val="21"/>
                <w:lang w:val="en-US" w:eastAsia="zh-CN"/>
              </w:rPr>
              <w:t>1~8：(链路/ActLED=10/100链路LED，1000M=千兆链路LED)</w:t>
            </w:r>
          </w:p>
          <w:p>
            <w:pPr>
              <w:pStyle w:val="22"/>
              <w:jc w:val="center"/>
              <w:rPr>
                <w:rFonts w:hint="eastAsia" w:ascii="宋体" w:hAnsi="宋体" w:eastAsia="宋体" w:cs="宋体"/>
                <w:sz w:val="21"/>
                <w:szCs w:val="21"/>
              </w:rPr>
            </w:pPr>
            <w:r>
              <w:rPr>
                <w:rFonts w:hint="eastAsia" w:ascii="宋体" w:hAnsi="宋体" w:eastAsia="宋体" w:cs="宋体"/>
                <w:sz w:val="21"/>
                <w:szCs w:val="21"/>
                <w:lang w:val="en-US" w:eastAsia="zh-CN"/>
              </w:rPr>
              <w:t>9-26：(sfpled)</w:t>
            </w:r>
          </w:p>
          <w:p>
            <w:pPr>
              <w:pStyle w:val="22"/>
              <w:jc w:val="center"/>
              <w:rPr>
                <w:rFonts w:hint="eastAsia" w:ascii="宋体" w:hAnsi="宋体" w:eastAsia="宋体" w:cs="宋体"/>
                <w:sz w:val="21"/>
                <w:szCs w:val="21"/>
              </w:rPr>
            </w:pPr>
            <w:r>
              <w:rPr>
                <w:rFonts w:hint="eastAsia" w:ascii="宋体" w:hAnsi="宋体" w:eastAsia="宋体" w:cs="宋体"/>
                <w:sz w:val="21"/>
                <w:szCs w:val="21"/>
                <w:lang w:val="en-US" w:eastAsia="zh-CN"/>
              </w:rPr>
              <w:t>MS：（主电源LED）</w:t>
            </w:r>
          </w:p>
          <w:p>
            <w:pPr>
              <w:pStyle w:val="22"/>
              <w:jc w:val="center"/>
              <w:rPr>
                <w:rFonts w:hint="eastAsia" w:ascii="宋体" w:hAnsi="宋体" w:eastAsia="宋体" w:cs="宋体"/>
                <w:sz w:val="21"/>
                <w:szCs w:val="21"/>
              </w:rPr>
            </w:pPr>
            <w:r>
              <w:rPr>
                <w:rFonts w:hint="eastAsia" w:ascii="宋体" w:hAnsi="宋体" w:eastAsia="宋体" w:cs="宋体"/>
                <w:sz w:val="21"/>
                <w:szCs w:val="21"/>
                <w:lang w:val="en-US" w:eastAsia="zh-CN"/>
              </w:rPr>
              <w:t>SL：（从机电源LED）</w:t>
            </w:r>
          </w:p>
        </w:tc>
        <w:tc>
          <w:tcPr>
            <w:tcW w:w="2520" w:type="dxa"/>
            <w:noWrap w:val="0"/>
            <w:vAlign w:val="center"/>
          </w:tcPr>
          <w:p>
            <w:pPr>
              <w:pStyle w:val="22"/>
              <w:rPr>
                <w:rFonts w:hint="eastAsia" w:ascii="宋体" w:hAnsi="宋体" w:eastAsia="宋体" w:cs="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17</w:t>
            </w:r>
          </w:p>
        </w:tc>
        <w:tc>
          <w:tcPr>
            <w:tcW w:w="1884" w:type="dxa"/>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电源</w:t>
            </w:r>
          </w:p>
        </w:tc>
        <w:tc>
          <w:tcPr>
            <w:tcW w:w="3636" w:type="dxa"/>
            <w:noWrap w:val="0"/>
            <w:vAlign w:val="center"/>
          </w:tcPr>
          <w:p>
            <w:pPr>
              <w:pStyle w:val="22"/>
              <w:jc w:val="center"/>
              <w:rPr>
                <w:rFonts w:hint="eastAsia" w:ascii="宋体" w:hAnsi="宋体" w:eastAsia="宋体" w:cs="宋体"/>
                <w:sz w:val="21"/>
                <w:szCs w:val="21"/>
              </w:rPr>
            </w:pPr>
            <w:r>
              <w:rPr>
                <w:rFonts w:hint="eastAsia" w:ascii="宋体" w:hAnsi="宋体" w:eastAsia="宋体" w:cs="宋体"/>
                <w:sz w:val="21"/>
                <w:szCs w:val="21"/>
              </w:rPr>
              <w:t>内置电源AC100~240V50/60HZ</w:t>
            </w:r>
          </w:p>
          <w:p>
            <w:pPr>
              <w:pStyle w:val="22"/>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最大电流0.5A</w:t>
            </w:r>
          </w:p>
          <w:p>
            <w:pPr>
              <w:pStyle w:val="22"/>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最大功率35W</w:t>
            </w:r>
          </w:p>
        </w:tc>
        <w:tc>
          <w:tcPr>
            <w:tcW w:w="2520" w:type="dxa"/>
            <w:noWrap w:val="0"/>
            <w:vAlign w:val="center"/>
          </w:tcPr>
          <w:p>
            <w:pPr>
              <w:pStyle w:val="22"/>
              <w:rPr>
                <w:rFonts w:hint="eastAsia" w:ascii="宋体" w:hAnsi="宋体" w:eastAsia="宋体" w:cs="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w:t>
            </w:r>
          </w:p>
        </w:tc>
        <w:tc>
          <w:tcPr>
            <w:tcW w:w="1884" w:type="dxa"/>
            <w:noWrap w:val="0"/>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工作温度/湿度</w:t>
            </w:r>
          </w:p>
        </w:tc>
        <w:tc>
          <w:tcPr>
            <w:tcW w:w="3636" w:type="dxa"/>
            <w:noWrap w:val="0"/>
            <w:vAlign w:val="center"/>
          </w:tcPr>
          <w:p>
            <w:pPr>
              <w:widowControl/>
              <w:jc w:val="center"/>
              <w:rPr>
                <w:rFonts w:hint="eastAsia" w:ascii="宋体" w:hAnsi="宋体" w:eastAsia="宋体" w:cs="宋体"/>
                <w:color w:val="000000"/>
                <w:kern w:val="0"/>
                <w:sz w:val="21"/>
                <w:szCs w:val="21"/>
                <w:highlight w:val="none"/>
              </w:rPr>
            </w:pPr>
            <w:r>
              <w:rPr>
                <w:rFonts w:hint="eastAsia" w:ascii="宋体" w:hAnsi="宋体" w:cs="宋体"/>
                <w:color w:val="000000"/>
                <w:kern w:val="0"/>
                <w:sz w:val="21"/>
                <w:szCs w:val="21"/>
                <w:highlight w:val="none"/>
              </w:rPr>
              <w:t>工作环境温度</w:t>
            </w:r>
            <w:r>
              <w:rPr>
                <w:rFonts w:hint="eastAsia" w:ascii="宋体" w:hAnsi="宋体" w:cs="宋体"/>
                <w:color w:val="000000"/>
                <w:kern w:val="0"/>
                <w:sz w:val="21"/>
                <w:szCs w:val="21"/>
                <w:highlight w:val="none"/>
                <w:lang w:val="en-US" w:eastAsia="zh-CN"/>
              </w:rPr>
              <w:t>-</w:t>
            </w:r>
            <w:r>
              <w:rPr>
                <w:rFonts w:hint="eastAsia" w:ascii="宋体" w:hAnsi="宋体" w:cs="宋体"/>
                <w:color w:val="000000"/>
                <w:kern w:val="0"/>
                <w:sz w:val="21"/>
                <w:szCs w:val="21"/>
                <w:highlight w:val="none"/>
              </w:rPr>
              <w:t>40℃～+70℃，湿度改为5％～100％（既不应凝露，也不应结冰）</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19</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储存温度/湿度</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-40~+75°C；5%~95%不凝固</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w:t>
            </w:r>
          </w:p>
        </w:tc>
        <w:tc>
          <w:tcPr>
            <w:tcW w:w="1884" w:type="dxa"/>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防雷等级</w:t>
            </w:r>
          </w:p>
        </w:tc>
        <w:tc>
          <w:tcPr>
            <w:tcW w:w="3636" w:type="dxa"/>
            <w:noWrap w:val="0"/>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3KV 8/20us;</w:t>
            </w:r>
          </w:p>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IP30</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21</w:t>
            </w:r>
          </w:p>
        </w:tc>
        <w:tc>
          <w:tcPr>
            <w:tcW w:w="1884" w:type="dxa"/>
            <w:noWrap w:val="0"/>
            <w:vAlign w:val="top"/>
          </w:tcPr>
          <w:p>
            <w:pPr>
              <w:jc w:val="center"/>
              <w:rPr>
                <w:rFonts w:ascii="宋体" w:hAnsi="宋体" w:eastAsia="宋体"/>
                <w:sz w:val="21"/>
                <w:szCs w:val="21"/>
              </w:rPr>
            </w:pPr>
          </w:p>
          <w:p>
            <w:pPr>
              <w:jc w:val="center"/>
              <w:rPr>
                <w:rFonts w:ascii="宋体" w:hAnsi="宋体" w:eastAsia="宋体"/>
                <w:sz w:val="21"/>
                <w:szCs w:val="21"/>
              </w:rPr>
            </w:pPr>
          </w:p>
          <w:p>
            <w:pPr>
              <w:jc w:val="center"/>
              <w:rPr>
                <w:rFonts w:hint="eastAsia" w:ascii="宋体" w:hAnsi="宋体" w:eastAsia="宋体" w:cs="宋体"/>
                <w:kern w:val="0"/>
                <w:sz w:val="21"/>
                <w:szCs w:val="21"/>
              </w:rPr>
            </w:pPr>
            <w:r>
              <w:rPr>
                <w:rFonts w:hint="default" w:ascii="宋体" w:hAnsi="宋体" w:eastAsia="宋体" w:cs="宋体"/>
                <w:sz w:val="21"/>
                <w:szCs w:val="21"/>
                <w:lang w:val="en-US" w:eastAsia="zh-CN"/>
              </w:rPr>
              <w:t>网络协议</w:t>
            </w:r>
          </w:p>
        </w:tc>
        <w:tc>
          <w:tcPr>
            <w:tcW w:w="3636" w:type="dxa"/>
            <w:noWrap w:val="0"/>
            <w:vAlign w:val="top"/>
          </w:tcPr>
          <w:p>
            <w:pPr>
              <w:jc w:val="center"/>
              <w:rPr>
                <w:rFonts w:hint="default" w:ascii="Arial" w:hAnsi="Arial" w:eastAsia="宋体" w:cs="Arial"/>
                <w:sz w:val="21"/>
                <w:szCs w:val="21"/>
              </w:rPr>
            </w:pPr>
            <w:r>
              <w:rPr>
                <w:rFonts w:hint="default" w:ascii="宋体" w:hAnsi="宋体" w:eastAsia="宋体" w:cs="宋体"/>
                <w:sz w:val="21"/>
                <w:szCs w:val="21"/>
              </w:rPr>
              <w:t>IEEE 802.3x</w:t>
            </w:r>
          </w:p>
          <w:p>
            <w:pPr>
              <w:jc w:val="center"/>
              <w:rPr>
                <w:rFonts w:hint="default" w:ascii="Arial" w:hAnsi="Arial" w:eastAsia="宋体" w:cs="Arial"/>
                <w:sz w:val="21"/>
                <w:szCs w:val="21"/>
              </w:rPr>
            </w:pPr>
            <w:r>
              <w:rPr>
                <w:rFonts w:hint="default" w:ascii="宋体" w:hAnsi="宋体" w:eastAsia="宋体" w:cs="宋体"/>
                <w:sz w:val="21"/>
                <w:szCs w:val="21"/>
              </w:rPr>
              <w:t>IEEE802.3、IEEE 802.3u、IEEE 802.3ab、IEEE802.3z</w:t>
            </w:r>
          </w:p>
          <w:p>
            <w:pPr>
              <w:jc w:val="center"/>
              <w:rPr>
                <w:rFonts w:hint="default" w:ascii="Arial" w:hAnsi="Arial" w:eastAsia="宋体" w:cs="Arial"/>
                <w:sz w:val="21"/>
                <w:szCs w:val="21"/>
              </w:rPr>
            </w:pPr>
            <w:r>
              <w:rPr>
                <w:rFonts w:hint="default" w:ascii="宋体" w:hAnsi="宋体" w:eastAsia="宋体" w:cs="宋体"/>
                <w:sz w:val="21"/>
                <w:szCs w:val="21"/>
              </w:rPr>
              <w:t>IEEE802.3广告</w:t>
            </w:r>
          </w:p>
          <w:p>
            <w:pPr>
              <w:jc w:val="center"/>
              <w:rPr>
                <w:rFonts w:hint="default" w:ascii="Arial" w:hAnsi="Arial" w:eastAsia="宋体" w:cs="Arial"/>
                <w:sz w:val="21"/>
                <w:szCs w:val="21"/>
              </w:rPr>
            </w:pPr>
            <w:r>
              <w:rPr>
                <w:rFonts w:hint="default" w:ascii="宋体" w:hAnsi="宋体" w:eastAsia="宋体" w:cs="宋体"/>
                <w:sz w:val="21"/>
                <w:szCs w:val="21"/>
              </w:rPr>
              <w:t>IEEE 802.3q、IEEE802.3q/p</w:t>
            </w:r>
          </w:p>
          <w:p>
            <w:pPr>
              <w:jc w:val="center"/>
              <w:rPr>
                <w:rFonts w:hint="eastAsia" w:ascii="宋体" w:hAnsi="宋体" w:eastAsia="宋体" w:cs="宋体"/>
                <w:color w:val="000000"/>
                <w:kern w:val="0"/>
                <w:sz w:val="21"/>
                <w:szCs w:val="21"/>
              </w:rPr>
            </w:pPr>
            <w:r>
              <w:rPr>
                <w:rFonts w:hint="default" w:ascii="宋体" w:hAnsi="宋体" w:eastAsia="宋体" w:cs="宋体"/>
                <w:sz w:val="21"/>
                <w:szCs w:val="21"/>
              </w:rPr>
              <w:t>IEEE 802.1w、IEEE 802.1d、IEEE 802.1S、IEEE802.1X</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22</w:t>
            </w:r>
          </w:p>
        </w:tc>
        <w:tc>
          <w:tcPr>
            <w:tcW w:w="1884" w:type="dxa"/>
            <w:noWrap w:val="0"/>
            <w:vAlign w:val="top"/>
          </w:tcPr>
          <w:p>
            <w:pPr>
              <w:jc w:val="center"/>
              <w:rPr>
                <w:rFonts w:hint="eastAsia" w:ascii="宋体" w:hAnsi="宋体" w:eastAsia="宋体" w:cs="宋体"/>
                <w:kern w:val="0"/>
                <w:sz w:val="21"/>
                <w:szCs w:val="21"/>
              </w:rPr>
            </w:pPr>
            <w:r>
              <w:rPr>
                <w:rFonts w:hint="default" w:ascii="宋体" w:hAnsi="宋体" w:eastAsia="宋体" w:cs="宋体"/>
                <w:sz w:val="21"/>
                <w:szCs w:val="21"/>
              </w:rPr>
              <w:t>MAC</w:t>
            </w:r>
          </w:p>
        </w:tc>
        <w:tc>
          <w:tcPr>
            <w:tcW w:w="3636" w:type="dxa"/>
            <w:noWrap w:val="0"/>
            <w:vAlign w:val="top"/>
          </w:tcPr>
          <w:p>
            <w:pPr>
              <w:jc w:val="center"/>
              <w:rPr>
                <w:rFonts w:hint="eastAsia" w:ascii="宋体" w:hAnsi="宋体" w:eastAsia="宋体" w:cs="宋体"/>
                <w:color w:val="000000"/>
                <w:kern w:val="0"/>
                <w:sz w:val="21"/>
                <w:szCs w:val="21"/>
              </w:rPr>
            </w:pPr>
            <w:r>
              <w:rPr>
                <w:rFonts w:hint="default" w:ascii="宋体" w:hAnsi="宋体" w:eastAsia="宋体" w:cs="宋体"/>
                <w:sz w:val="21"/>
                <w:szCs w:val="21"/>
              </w:rPr>
              <w:t>支持16K MAC地址，自动老化和学习</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23</w:t>
            </w:r>
          </w:p>
        </w:tc>
        <w:tc>
          <w:tcPr>
            <w:tcW w:w="1884" w:type="dxa"/>
            <w:noWrap w:val="0"/>
            <w:vAlign w:val="top"/>
          </w:tcPr>
          <w:p>
            <w:pPr>
              <w:jc w:val="center"/>
              <w:rPr>
                <w:rFonts w:hint="default" w:ascii="Arial" w:hAnsi="Arial" w:eastAsia="宋体" w:cs="Arial"/>
                <w:sz w:val="21"/>
                <w:szCs w:val="21"/>
              </w:rPr>
            </w:pPr>
          </w:p>
          <w:p>
            <w:pPr>
              <w:ind w:firstLine="210" w:firstLineChars="100"/>
              <w:jc w:val="center"/>
              <w:rPr>
                <w:rFonts w:hint="eastAsia" w:ascii="宋体" w:hAnsi="宋体" w:eastAsia="宋体" w:cs="宋体"/>
                <w:kern w:val="0"/>
                <w:sz w:val="21"/>
                <w:szCs w:val="21"/>
              </w:rPr>
            </w:pPr>
            <w:r>
              <w:rPr>
                <w:rFonts w:hint="default" w:ascii="宋体" w:hAnsi="宋体" w:eastAsia="宋体" w:cs="宋体"/>
                <w:sz w:val="21"/>
                <w:szCs w:val="21"/>
                <w:lang w:val="en-US" w:eastAsia="zh-CN"/>
              </w:rPr>
              <w:t>VLAN配置</w:t>
            </w:r>
          </w:p>
        </w:tc>
        <w:tc>
          <w:tcPr>
            <w:tcW w:w="3636" w:type="dxa"/>
            <w:noWrap w:val="0"/>
            <w:vAlign w:val="top"/>
          </w:tcPr>
          <w:p>
            <w:pPr>
              <w:jc w:val="center"/>
              <w:rPr>
                <w:rFonts w:hint="default" w:ascii="Arial" w:hAnsi="Arial" w:eastAsia="宋体" w:cs="Arial"/>
                <w:sz w:val="21"/>
                <w:szCs w:val="21"/>
              </w:rPr>
            </w:pPr>
            <w:r>
              <w:rPr>
                <w:rFonts w:hint="default" w:ascii="宋体" w:hAnsi="宋体" w:eastAsia="宋体" w:cs="宋体"/>
                <w:sz w:val="21"/>
                <w:szCs w:val="21"/>
                <w:lang w:val="en-US" w:eastAsia="zh-CN"/>
              </w:rPr>
              <w:t>支持基于端口的VLAN</w:t>
            </w:r>
          </w:p>
          <w:p>
            <w:pPr>
              <w:jc w:val="center"/>
              <w:rPr>
                <w:rFonts w:hint="eastAsia" w:ascii="Arial" w:hAnsi="Arial" w:eastAsia="宋体" w:cs="Arial"/>
                <w:sz w:val="21"/>
                <w:szCs w:val="21"/>
                <w:lang w:val="en-US" w:eastAsia="zh-CN"/>
              </w:rPr>
            </w:pPr>
            <w:r>
              <w:rPr>
                <w:rFonts w:hint="default" w:ascii="宋体" w:hAnsi="宋体" w:eastAsia="宋体" w:cs="宋体"/>
                <w:sz w:val="21"/>
                <w:szCs w:val="21"/>
                <w:lang w:val="en-US" w:eastAsia="zh-CN"/>
              </w:rPr>
              <w:t>高达4096VLAN</w:t>
            </w:r>
          </w:p>
          <w:p>
            <w:pPr>
              <w:jc w:val="center"/>
              <w:rPr>
                <w:rFonts w:hint="default" w:ascii="Arial" w:hAnsi="Arial" w:eastAsia="宋体" w:cs="Arial"/>
                <w:sz w:val="21"/>
                <w:szCs w:val="21"/>
              </w:rPr>
            </w:pPr>
            <w:r>
              <w:rPr>
                <w:rFonts w:hint="default" w:ascii="宋体" w:hAnsi="宋体" w:eastAsia="宋体" w:cs="宋体"/>
                <w:sz w:val="21"/>
                <w:szCs w:val="21"/>
                <w:lang w:val="en-US" w:eastAsia="zh-CN"/>
              </w:rPr>
              <w:t>支持语音VLAN，可以为语音数据配置Qos</w:t>
            </w:r>
          </w:p>
          <w:p>
            <w:pPr>
              <w:jc w:val="center"/>
              <w:rPr>
                <w:rFonts w:hint="eastAsia" w:ascii="宋体" w:hAnsi="宋体" w:eastAsia="宋体" w:cs="宋体"/>
                <w:color w:val="000000"/>
                <w:kern w:val="0"/>
                <w:sz w:val="21"/>
                <w:szCs w:val="21"/>
              </w:rPr>
            </w:pPr>
            <w:r>
              <w:rPr>
                <w:rFonts w:hint="default" w:ascii="宋体" w:hAnsi="宋体" w:eastAsia="宋体" w:cs="宋体"/>
                <w:sz w:val="21"/>
                <w:szCs w:val="21"/>
              </w:rPr>
              <w:t>802.1Q</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24</w:t>
            </w:r>
          </w:p>
        </w:tc>
        <w:tc>
          <w:tcPr>
            <w:tcW w:w="1884" w:type="dxa"/>
            <w:noWrap w:val="0"/>
            <w:vAlign w:val="top"/>
          </w:tcPr>
          <w:p>
            <w:pPr>
              <w:jc w:val="center"/>
              <w:rPr>
                <w:rFonts w:hint="default" w:ascii="Arial" w:hAnsi="Arial" w:eastAsia="宋体" w:cs="Arial"/>
                <w:sz w:val="21"/>
                <w:szCs w:val="21"/>
              </w:rPr>
            </w:pPr>
          </w:p>
          <w:p>
            <w:pPr>
              <w:spacing w:line="600" w:lineRule="auto"/>
              <w:ind w:firstLine="420" w:firstLineChars="200"/>
              <w:jc w:val="center"/>
              <w:rPr>
                <w:rFonts w:hint="eastAsia" w:ascii="宋体" w:hAnsi="宋体" w:eastAsia="宋体" w:cs="宋体"/>
                <w:kern w:val="0"/>
                <w:sz w:val="21"/>
                <w:szCs w:val="21"/>
              </w:rPr>
            </w:pPr>
            <w:r>
              <w:rPr>
                <w:rFonts w:hint="default" w:ascii="宋体" w:hAnsi="宋体" w:eastAsia="宋体" w:cs="宋体"/>
                <w:sz w:val="21"/>
                <w:szCs w:val="21"/>
                <w:lang w:val="en-US" w:eastAsia="zh-CN"/>
              </w:rPr>
              <w:t>生成树</w:t>
            </w:r>
          </w:p>
        </w:tc>
        <w:tc>
          <w:tcPr>
            <w:tcW w:w="3636" w:type="dxa"/>
            <w:noWrap w:val="0"/>
            <w:vAlign w:val="top"/>
          </w:tcPr>
          <w:p>
            <w:pPr>
              <w:jc w:val="center"/>
              <w:rPr>
                <w:rFonts w:hint="default" w:ascii="Arial" w:hAnsi="Arial" w:eastAsia="宋体" w:cs="Arial"/>
                <w:sz w:val="21"/>
                <w:szCs w:val="21"/>
                <w:lang w:val="en-US" w:eastAsia="zh-CN"/>
              </w:rPr>
            </w:pPr>
            <w:r>
              <w:rPr>
                <w:rFonts w:hint="default" w:ascii="宋体" w:hAnsi="宋体" w:eastAsia="宋体" w:cs="宋体"/>
                <w:sz w:val="21"/>
                <w:szCs w:val="21"/>
                <w:lang w:val="en-US" w:eastAsia="zh-CN"/>
              </w:rPr>
              <w:t>STP（生成树协议）</w:t>
            </w:r>
          </w:p>
          <w:p>
            <w:pPr>
              <w:jc w:val="center"/>
              <w:rPr>
                <w:rFonts w:hint="default" w:ascii="Arial" w:hAnsi="Arial" w:eastAsia="宋体" w:cs="Arial"/>
                <w:sz w:val="21"/>
                <w:szCs w:val="21"/>
                <w:lang w:val="en-US" w:eastAsia="zh-CN"/>
              </w:rPr>
            </w:pPr>
            <w:r>
              <w:rPr>
                <w:rFonts w:hint="default" w:ascii="宋体" w:hAnsi="宋体" w:eastAsia="宋体" w:cs="宋体"/>
                <w:sz w:val="21"/>
                <w:szCs w:val="21"/>
                <w:lang w:val="en-US" w:eastAsia="zh-CN"/>
              </w:rPr>
              <w:t>RSTP/MSTP（快速生成树协议）</w:t>
            </w:r>
          </w:p>
          <w:p>
            <w:pPr>
              <w:jc w:val="center"/>
              <w:rPr>
                <w:rFonts w:hint="eastAsia" w:ascii="Arial" w:hAnsi="Arial" w:eastAsia="宋体" w:cs="Arial"/>
                <w:sz w:val="21"/>
                <w:szCs w:val="21"/>
                <w:lang w:val="en-US" w:eastAsia="zh-CN"/>
              </w:rPr>
            </w:pPr>
            <w:r>
              <w:rPr>
                <w:rFonts w:hint="default" w:ascii="宋体" w:hAnsi="宋体" w:eastAsia="宋体" w:cs="宋体"/>
                <w:sz w:val="21"/>
                <w:szCs w:val="21"/>
              </w:rPr>
              <w:t>EPPS/EAPS（环形网络协议）</w:t>
            </w:r>
          </w:p>
          <w:p>
            <w:pPr>
              <w:jc w:val="center"/>
              <w:rPr>
                <w:rFonts w:hint="eastAsia" w:ascii="宋体" w:hAnsi="宋体" w:eastAsia="宋体" w:cs="宋体"/>
                <w:color w:val="000000"/>
                <w:kern w:val="0"/>
                <w:sz w:val="21"/>
                <w:szCs w:val="21"/>
              </w:rPr>
            </w:pPr>
            <w:r>
              <w:rPr>
                <w:rFonts w:hint="default" w:ascii="宋体" w:hAnsi="宋体" w:eastAsia="宋体" w:cs="宋体"/>
                <w:sz w:val="21"/>
                <w:szCs w:val="21"/>
              </w:rPr>
              <w:t>802.1x</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c>
          <w:tcPr>
            <w:tcW w:w="1884" w:type="dxa"/>
            <w:noWrap w:val="0"/>
            <w:vAlign w:val="top"/>
          </w:tcPr>
          <w:p>
            <w:pPr>
              <w:jc w:val="center"/>
              <w:rPr>
                <w:rFonts w:hint="eastAsia" w:ascii="宋体" w:hAnsi="宋体" w:eastAsia="宋体" w:cs="宋体"/>
                <w:kern w:val="0"/>
                <w:sz w:val="21"/>
                <w:szCs w:val="21"/>
              </w:rPr>
            </w:pPr>
            <w:r>
              <w:rPr>
                <w:rFonts w:hint="default" w:ascii="宋体" w:hAnsi="宋体" w:eastAsia="宋体" w:cs="宋体"/>
                <w:sz w:val="21"/>
                <w:szCs w:val="21"/>
                <w:lang w:val="en-US" w:eastAsia="zh-CN"/>
              </w:rPr>
              <w:t>端口聚合</w:t>
            </w:r>
          </w:p>
        </w:tc>
        <w:tc>
          <w:tcPr>
            <w:tcW w:w="3636" w:type="dxa"/>
            <w:noWrap w:val="0"/>
            <w:vAlign w:val="top"/>
          </w:tcPr>
          <w:p>
            <w:pPr>
              <w:jc w:val="center"/>
              <w:rPr>
                <w:rFonts w:hint="eastAsia" w:ascii="宋体" w:hAnsi="宋体" w:eastAsia="宋体" w:cs="宋体"/>
                <w:color w:val="000000"/>
                <w:kern w:val="0"/>
                <w:sz w:val="21"/>
                <w:szCs w:val="21"/>
              </w:rPr>
            </w:pPr>
            <w:r>
              <w:rPr>
                <w:rFonts w:hint="default" w:ascii="宋体" w:hAnsi="宋体" w:eastAsia="宋体" w:cs="宋体"/>
                <w:sz w:val="21"/>
                <w:szCs w:val="21"/>
              </w:rPr>
              <w:t>支持8个聚合组，每个组最多支持8个端口；</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26</w:t>
            </w:r>
          </w:p>
        </w:tc>
        <w:tc>
          <w:tcPr>
            <w:tcW w:w="1884" w:type="dxa"/>
            <w:noWrap w:val="0"/>
            <w:vAlign w:val="top"/>
          </w:tcPr>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端口镜像</w:t>
            </w:r>
          </w:p>
        </w:tc>
        <w:tc>
          <w:tcPr>
            <w:tcW w:w="3636" w:type="dxa"/>
            <w:noWrap w:val="0"/>
            <w:vAlign w:val="top"/>
          </w:tcPr>
          <w:p>
            <w:pPr>
              <w:jc w:val="center"/>
              <w:rPr>
                <w:rFonts w:hint="default" w:ascii="宋体" w:hAnsi="宋体" w:eastAsia="宋体" w:cs="宋体"/>
                <w:sz w:val="21"/>
                <w:szCs w:val="21"/>
              </w:rPr>
            </w:pPr>
            <w:r>
              <w:rPr>
                <w:rFonts w:hint="default" w:ascii="宋体" w:hAnsi="宋体" w:eastAsia="宋体" w:cs="宋体"/>
                <w:sz w:val="21"/>
                <w:szCs w:val="21"/>
              </w:rPr>
              <w:t>支持多一对一端口镜像</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27</w:t>
            </w:r>
          </w:p>
        </w:tc>
        <w:tc>
          <w:tcPr>
            <w:tcW w:w="1884" w:type="dxa"/>
            <w:noWrap w:val="0"/>
            <w:vAlign w:val="top"/>
          </w:tcPr>
          <w:p>
            <w:pPr>
              <w:spacing w:line="480" w:lineRule="auto"/>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回路保护</w:t>
            </w:r>
          </w:p>
        </w:tc>
        <w:tc>
          <w:tcPr>
            <w:tcW w:w="3636" w:type="dxa"/>
            <w:noWrap w:val="0"/>
            <w:vAlign w:val="top"/>
          </w:tcPr>
          <w:p>
            <w:pPr>
              <w:jc w:val="center"/>
              <w:rPr>
                <w:rFonts w:hint="default" w:ascii="宋体" w:hAnsi="宋体" w:eastAsia="宋体" w:cs="宋体"/>
                <w:sz w:val="21"/>
                <w:szCs w:val="21"/>
              </w:rPr>
            </w:pPr>
            <w:r>
              <w:rPr>
                <w:rFonts w:hint="default" w:ascii="宋体" w:hAnsi="宋体" w:eastAsia="宋体" w:cs="宋体"/>
                <w:sz w:val="21"/>
                <w:szCs w:val="21"/>
              </w:rPr>
              <w:t>支持回路保护，实时检测，快速报警，简明定位，智能阻塞，自动恢复</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28</w:t>
            </w:r>
          </w:p>
        </w:tc>
        <w:tc>
          <w:tcPr>
            <w:tcW w:w="1884" w:type="dxa"/>
            <w:noWrap w:val="0"/>
            <w:vAlign w:val="top"/>
          </w:tcPr>
          <w:p>
            <w:pPr>
              <w:spacing w:line="480" w:lineRule="auto"/>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端口隔离</w:t>
            </w:r>
          </w:p>
        </w:tc>
        <w:tc>
          <w:tcPr>
            <w:tcW w:w="3636" w:type="dxa"/>
            <w:noWrap w:val="0"/>
            <w:vAlign w:val="top"/>
          </w:tcPr>
          <w:p>
            <w:pPr>
              <w:jc w:val="center"/>
              <w:rPr>
                <w:rFonts w:hint="default" w:ascii="宋体" w:hAnsi="宋体" w:eastAsia="宋体" w:cs="宋体"/>
                <w:sz w:val="21"/>
                <w:szCs w:val="21"/>
              </w:rPr>
            </w:pPr>
            <w:r>
              <w:rPr>
                <w:rFonts w:hint="default" w:ascii="宋体" w:hAnsi="宋体" w:eastAsia="宋体" w:cs="宋体"/>
                <w:sz w:val="21"/>
                <w:szCs w:val="21"/>
              </w:rPr>
              <w:t>支持下行端口相互隔离，并与上行端口进行通信</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29</w:t>
            </w:r>
          </w:p>
        </w:tc>
        <w:tc>
          <w:tcPr>
            <w:tcW w:w="1884" w:type="dxa"/>
            <w:noWrap w:val="0"/>
            <w:vAlign w:val="top"/>
          </w:tcPr>
          <w:p>
            <w:pPr>
              <w:spacing w:line="480" w:lineRule="auto"/>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流量控制</w:t>
            </w:r>
          </w:p>
        </w:tc>
        <w:tc>
          <w:tcPr>
            <w:tcW w:w="3636" w:type="dxa"/>
            <w:noWrap w:val="0"/>
            <w:vAlign w:val="top"/>
          </w:tcPr>
          <w:p>
            <w:pPr>
              <w:jc w:val="center"/>
              <w:rPr>
                <w:rFonts w:hint="default" w:ascii="Arial" w:hAnsi="Arial" w:eastAsia="宋体" w:cs="Arial"/>
                <w:sz w:val="21"/>
                <w:szCs w:val="21"/>
              </w:rPr>
            </w:pPr>
            <w:r>
              <w:rPr>
                <w:rFonts w:hint="default" w:ascii="宋体" w:hAnsi="宋体" w:eastAsia="宋体" w:cs="宋体"/>
                <w:sz w:val="21"/>
                <w:szCs w:val="21"/>
              </w:rPr>
              <w:t>基于背压的半双工结构；</w:t>
            </w:r>
          </w:p>
          <w:p>
            <w:pPr>
              <w:jc w:val="center"/>
              <w:rPr>
                <w:rFonts w:hint="default" w:ascii="宋体" w:hAnsi="宋体" w:eastAsia="宋体" w:cs="宋体"/>
                <w:sz w:val="21"/>
                <w:szCs w:val="21"/>
              </w:rPr>
            </w:pPr>
            <w:r>
              <w:rPr>
                <w:rFonts w:hint="default" w:ascii="宋体" w:hAnsi="宋体" w:eastAsia="宋体" w:cs="宋体"/>
                <w:sz w:val="21"/>
                <w:szCs w:val="21"/>
              </w:rPr>
              <w:t>基于暂停帧的全双工结构</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30</w:t>
            </w:r>
          </w:p>
        </w:tc>
        <w:tc>
          <w:tcPr>
            <w:tcW w:w="1884" w:type="dxa"/>
            <w:noWrap w:val="0"/>
            <w:vAlign w:val="top"/>
          </w:tcPr>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速度限制</w:t>
            </w:r>
          </w:p>
        </w:tc>
        <w:tc>
          <w:tcPr>
            <w:tcW w:w="3636" w:type="dxa"/>
            <w:noWrap w:val="0"/>
            <w:vAlign w:val="top"/>
          </w:tcPr>
          <w:p>
            <w:pPr>
              <w:jc w:val="center"/>
              <w:rPr>
                <w:rFonts w:hint="default" w:ascii="宋体" w:hAnsi="宋体" w:eastAsia="宋体" w:cs="宋体"/>
                <w:sz w:val="21"/>
                <w:szCs w:val="21"/>
              </w:rPr>
            </w:pPr>
            <w:r>
              <w:rPr>
                <w:rFonts w:hint="default" w:ascii="宋体" w:hAnsi="宋体" w:eastAsia="宋体" w:cs="宋体"/>
                <w:sz w:val="21"/>
                <w:szCs w:val="21"/>
                <w:lang w:val="en-US" w:eastAsia="zh-CN"/>
              </w:rPr>
              <w:t>基于端口输入和输出的带宽管理</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31</w:t>
            </w:r>
          </w:p>
        </w:tc>
        <w:tc>
          <w:tcPr>
            <w:tcW w:w="1884" w:type="dxa"/>
            <w:noWrap w:val="0"/>
            <w:vAlign w:val="top"/>
          </w:tcPr>
          <w:p>
            <w:pPr>
              <w:jc w:val="center"/>
              <w:rPr>
                <w:rFonts w:hint="default" w:ascii="Arial" w:hAnsi="Arial" w:eastAsia="宋体" w:cs="Arial"/>
                <w:sz w:val="21"/>
                <w:szCs w:val="21"/>
              </w:rPr>
            </w:pPr>
          </w:p>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多播控制</w:t>
            </w:r>
          </w:p>
        </w:tc>
        <w:tc>
          <w:tcPr>
            <w:tcW w:w="3636" w:type="dxa"/>
            <w:noWrap w:val="0"/>
            <w:vAlign w:val="top"/>
          </w:tcPr>
          <w:p>
            <w:pPr>
              <w:jc w:val="center"/>
              <w:rPr>
                <w:rFonts w:hint="default" w:ascii="Arial" w:hAnsi="Arial" w:eastAsia="宋体" w:cs="Arial"/>
                <w:sz w:val="21"/>
                <w:szCs w:val="21"/>
              </w:rPr>
            </w:pPr>
            <w:r>
              <w:rPr>
                <w:rFonts w:hint="default" w:ascii="宋体" w:hAnsi="宋体" w:eastAsia="宋体" w:cs="宋体"/>
                <w:sz w:val="21"/>
                <w:szCs w:val="21"/>
              </w:rPr>
              <w:t>IGMPv1/2/3和MLDv1/2窥探</w:t>
            </w:r>
          </w:p>
          <w:p>
            <w:pPr>
              <w:jc w:val="center"/>
              <w:rPr>
                <w:rFonts w:hint="default" w:ascii="Arial" w:hAnsi="Arial" w:eastAsia="宋体" w:cs="Arial"/>
                <w:sz w:val="21"/>
                <w:szCs w:val="21"/>
              </w:rPr>
            </w:pPr>
            <w:r>
              <w:rPr>
                <w:rFonts w:hint="default" w:ascii="宋体" w:hAnsi="宋体" w:eastAsia="宋体" w:cs="宋体"/>
                <w:sz w:val="21"/>
                <w:szCs w:val="21"/>
              </w:rPr>
              <w:t>GMRP协议注册</w:t>
            </w:r>
          </w:p>
          <w:p>
            <w:pPr>
              <w:jc w:val="center"/>
              <w:rPr>
                <w:rFonts w:hint="default" w:ascii="宋体" w:hAnsi="宋体" w:eastAsia="宋体" w:cs="宋体"/>
                <w:sz w:val="21"/>
                <w:szCs w:val="21"/>
              </w:rPr>
            </w:pPr>
            <w:r>
              <w:rPr>
                <w:rFonts w:hint="default" w:ascii="宋体" w:hAnsi="宋体" w:eastAsia="宋体" w:cs="宋体"/>
                <w:sz w:val="21"/>
                <w:szCs w:val="21"/>
              </w:rPr>
              <w:t>多播地址管理、组播VLAN、多播路由端口、静态组播地址</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32</w:t>
            </w:r>
          </w:p>
        </w:tc>
        <w:tc>
          <w:tcPr>
            <w:tcW w:w="1884" w:type="dxa"/>
            <w:noWrap w:val="0"/>
            <w:vAlign w:val="top"/>
          </w:tcPr>
          <w:p>
            <w:pPr>
              <w:jc w:val="center"/>
              <w:rPr>
                <w:rFonts w:hint="default" w:ascii="宋体" w:hAnsi="宋体" w:eastAsia="宋体" w:cs="宋体"/>
                <w:sz w:val="21"/>
                <w:szCs w:val="21"/>
                <w:lang w:val="en-US" w:eastAsia="zh-CN"/>
              </w:rPr>
            </w:pPr>
            <w:r>
              <w:rPr>
                <w:rFonts w:hint="default" w:ascii="宋体" w:hAnsi="宋体" w:eastAsia="宋体" w:cs="宋体"/>
                <w:sz w:val="21"/>
                <w:szCs w:val="21"/>
              </w:rPr>
              <w:t>双六方紧密堆积</w:t>
            </w:r>
          </w:p>
        </w:tc>
        <w:tc>
          <w:tcPr>
            <w:tcW w:w="3636" w:type="dxa"/>
            <w:noWrap w:val="0"/>
            <w:vAlign w:val="top"/>
          </w:tcPr>
          <w:p>
            <w:pPr>
              <w:jc w:val="center"/>
              <w:rPr>
                <w:rFonts w:hint="default" w:ascii="宋体" w:hAnsi="宋体" w:eastAsia="宋体" w:cs="宋体"/>
                <w:sz w:val="21"/>
                <w:szCs w:val="21"/>
              </w:rPr>
            </w:pPr>
            <w:r>
              <w:rPr>
                <w:rFonts w:hint="default" w:ascii="宋体" w:hAnsi="宋体" w:eastAsia="宋体" w:cs="宋体"/>
                <w:sz w:val="21"/>
                <w:szCs w:val="21"/>
              </w:rPr>
              <w:t>DHCP窥探</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33</w:t>
            </w:r>
          </w:p>
        </w:tc>
        <w:tc>
          <w:tcPr>
            <w:tcW w:w="1884" w:type="dxa"/>
            <w:noWrap w:val="0"/>
            <w:vAlign w:val="top"/>
          </w:tcPr>
          <w:p>
            <w:pPr>
              <w:jc w:val="center"/>
              <w:rPr>
                <w:rFonts w:hint="eastAsia" w:ascii="Arial" w:hAnsi="Arial" w:eastAsia="宋体" w:cs="Arial"/>
                <w:sz w:val="21"/>
                <w:szCs w:val="21"/>
                <w:lang w:val="en-US" w:eastAsia="zh-CN"/>
              </w:rPr>
            </w:pPr>
          </w:p>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风暴抑制</w:t>
            </w:r>
          </w:p>
        </w:tc>
        <w:tc>
          <w:tcPr>
            <w:tcW w:w="3636" w:type="dxa"/>
            <w:noWrap w:val="0"/>
            <w:vAlign w:val="top"/>
          </w:tcPr>
          <w:p>
            <w:pPr>
              <w:jc w:val="center"/>
              <w:rPr>
                <w:rFonts w:hint="default" w:ascii="Arial" w:hAnsi="Arial" w:eastAsia="宋体" w:cs="Arial"/>
                <w:sz w:val="21"/>
                <w:szCs w:val="21"/>
              </w:rPr>
            </w:pPr>
            <w:r>
              <w:rPr>
                <w:rFonts w:hint="default" w:ascii="宋体" w:hAnsi="宋体" w:eastAsia="宋体" w:cs="宋体"/>
                <w:sz w:val="21"/>
                <w:szCs w:val="21"/>
              </w:rPr>
              <w:t>支持未知单播、多播、未知多播、广播类型的风暴抑制</w:t>
            </w:r>
          </w:p>
          <w:p>
            <w:pPr>
              <w:jc w:val="center"/>
              <w:rPr>
                <w:rFonts w:hint="default" w:ascii="宋体" w:hAnsi="宋体" w:eastAsia="宋体" w:cs="宋体"/>
                <w:sz w:val="21"/>
                <w:szCs w:val="21"/>
              </w:rPr>
            </w:pPr>
            <w:r>
              <w:rPr>
                <w:rFonts w:hint="default" w:ascii="宋体" w:hAnsi="宋体" w:eastAsia="宋体" w:cs="宋体"/>
                <w:sz w:val="21"/>
                <w:szCs w:val="21"/>
              </w:rPr>
              <w:t>基于带宽调整和风暴滤波的风暴抑制</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34</w:t>
            </w:r>
          </w:p>
        </w:tc>
        <w:tc>
          <w:tcPr>
            <w:tcW w:w="1884" w:type="dxa"/>
            <w:noWrap w:val="0"/>
            <w:vAlign w:val="top"/>
          </w:tcPr>
          <w:p>
            <w:pPr>
              <w:jc w:val="center"/>
              <w:rPr>
                <w:rFonts w:hint="default" w:ascii="Arial" w:hAnsi="Arial" w:eastAsia="宋体" w:cs="Arial"/>
                <w:sz w:val="21"/>
                <w:szCs w:val="21"/>
              </w:rPr>
            </w:pPr>
          </w:p>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保护措施</w:t>
            </w:r>
          </w:p>
        </w:tc>
        <w:tc>
          <w:tcPr>
            <w:tcW w:w="3636" w:type="dxa"/>
            <w:noWrap w:val="0"/>
            <w:vAlign w:val="top"/>
          </w:tcPr>
          <w:p>
            <w:pPr>
              <w:jc w:val="center"/>
              <w:rPr>
                <w:rFonts w:hint="default" w:ascii="Arial" w:hAnsi="Arial" w:eastAsia="宋体" w:cs="Arial"/>
                <w:sz w:val="21"/>
                <w:szCs w:val="21"/>
              </w:rPr>
            </w:pPr>
            <w:r>
              <w:rPr>
                <w:rFonts w:hint="default" w:ascii="宋体" w:hAnsi="宋体" w:eastAsia="宋体" w:cs="宋体"/>
                <w:sz w:val="21"/>
                <w:szCs w:val="21"/>
              </w:rPr>
              <w:t>支持用户端口+IP地址+MAC地址</w:t>
            </w:r>
          </w:p>
          <w:p>
            <w:pPr>
              <w:jc w:val="center"/>
              <w:rPr>
                <w:rFonts w:hint="default" w:ascii="Arial" w:hAnsi="Arial" w:eastAsia="宋体" w:cs="Arial"/>
                <w:sz w:val="21"/>
                <w:szCs w:val="21"/>
              </w:rPr>
            </w:pPr>
            <w:r>
              <w:rPr>
                <w:rFonts w:hint="default" w:ascii="宋体" w:hAnsi="宋体" w:eastAsia="宋体" w:cs="宋体"/>
                <w:sz w:val="21"/>
                <w:szCs w:val="21"/>
              </w:rPr>
              <w:t>基于IP、MAC的ACL</w:t>
            </w:r>
          </w:p>
          <w:p>
            <w:pPr>
              <w:jc w:val="center"/>
              <w:rPr>
                <w:rFonts w:hint="default" w:ascii="宋体" w:hAnsi="宋体" w:eastAsia="宋体" w:cs="宋体"/>
                <w:sz w:val="21"/>
                <w:szCs w:val="21"/>
              </w:rPr>
            </w:pPr>
            <w:r>
              <w:rPr>
                <w:rFonts w:hint="default" w:ascii="宋体" w:hAnsi="宋体" w:eastAsia="宋体" w:cs="宋体"/>
                <w:sz w:val="21"/>
                <w:szCs w:val="21"/>
              </w:rPr>
              <w:t>支持基于端口的MAC地址数量的安全属性</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35</w:t>
            </w:r>
          </w:p>
        </w:tc>
        <w:tc>
          <w:tcPr>
            <w:tcW w:w="1884" w:type="dxa"/>
            <w:noWrap w:val="0"/>
            <w:vAlign w:val="top"/>
          </w:tcPr>
          <w:p>
            <w:pPr>
              <w:jc w:val="center"/>
              <w:rPr>
                <w:rFonts w:hint="default" w:ascii="Arial" w:hAnsi="Arial" w:eastAsia="宋体" w:cs="Arial"/>
                <w:sz w:val="21"/>
                <w:szCs w:val="21"/>
              </w:rPr>
            </w:pPr>
          </w:p>
          <w:p>
            <w:pPr>
              <w:jc w:val="center"/>
              <w:rPr>
                <w:rFonts w:hint="default" w:ascii="宋体" w:hAnsi="宋体" w:eastAsia="宋体" w:cs="宋体"/>
                <w:sz w:val="21"/>
                <w:szCs w:val="21"/>
                <w:lang w:val="en-US" w:eastAsia="zh-CN"/>
              </w:rPr>
            </w:pPr>
            <w:r>
              <w:rPr>
                <w:rFonts w:hint="default" w:ascii="宋体" w:hAnsi="宋体" w:eastAsia="宋体" w:cs="宋体"/>
                <w:sz w:val="21"/>
                <w:szCs w:val="21"/>
              </w:rPr>
              <w:t>服务质量</w:t>
            </w:r>
          </w:p>
        </w:tc>
        <w:tc>
          <w:tcPr>
            <w:tcW w:w="3636" w:type="dxa"/>
            <w:noWrap w:val="0"/>
            <w:vAlign w:val="top"/>
          </w:tcPr>
          <w:p>
            <w:pPr>
              <w:jc w:val="center"/>
              <w:rPr>
                <w:rFonts w:hint="eastAsia" w:ascii="Arial" w:hAnsi="Arial" w:eastAsia="宋体" w:cs="Arial"/>
                <w:sz w:val="21"/>
                <w:szCs w:val="21"/>
                <w:lang w:val="en-US" w:eastAsia="zh-CN"/>
              </w:rPr>
            </w:pPr>
            <w:r>
              <w:rPr>
                <w:rFonts w:hint="default" w:ascii="宋体" w:hAnsi="宋体" w:eastAsia="宋体" w:cs="宋体"/>
                <w:sz w:val="21"/>
                <w:szCs w:val="21"/>
                <w:lang w:val="en-US" w:eastAsia="zh-CN"/>
              </w:rPr>
              <w:t>802.1p端口队列优先级算法</w:t>
            </w:r>
          </w:p>
          <w:p>
            <w:pPr>
              <w:jc w:val="center"/>
              <w:rPr>
                <w:rFonts w:hint="default" w:ascii="Arial" w:hAnsi="Arial" w:eastAsia="宋体" w:cs="Arial"/>
                <w:sz w:val="21"/>
                <w:szCs w:val="21"/>
                <w:lang w:val="en-US" w:eastAsia="zh-CN"/>
              </w:rPr>
            </w:pPr>
            <w:r>
              <w:rPr>
                <w:rFonts w:hint="default" w:ascii="宋体" w:hAnsi="宋体" w:eastAsia="宋体" w:cs="宋体"/>
                <w:sz w:val="21"/>
                <w:szCs w:val="21"/>
              </w:rPr>
              <w:t>Cos/Tos，QOS备注</w:t>
            </w:r>
          </w:p>
          <w:p>
            <w:pPr>
              <w:jc w:val="center"/>
              <w:rPr>
                <w:rFonts w:hint="default" w:ascii="Arial" w:hAnsi="Arial" w:eastAsia="宋体" w:cs="Arial"/>
                <w:sz w:val="21"/>
                <w:szCs w:val="21"/>
              </w:rPr>
            </w:pPr>
            <w:r>
              <w:rPr>
                <w:rFonts w:hint="default" w:ascii="宋体" w:hAnsi="宋体" w:eastAsia="宋体" w:cs="宋体"/>
                <w:sz w:val="21"/>
                <w:szCs w:val="21"/>
                <w:lang w:val="en-US" w:eastAsia="zh-CN"/>
              </w:rPr>
              <w:t>WRR（加权循环），加权优先级旋转算法</w:t>
            </w:r>
          </w:p>
          <w:p>
            <w:pPr>
              <w:jc w:val="center"/>
              <w:rPr>
                <w:rFonts w:hint="default" w:ascii="宋体" w:hAnsi="宋体" w:eastAsia="宋体" w:cs="宋体"/>
                <w:sz w:val="21"/>
                <w:szCs w:val="21"/>
              </w:rPr>
            </w:pPr>
            <w:r>
              <w:rPr>
                <w:rFonts w:hint="default" w:ascii="宋体" w:hAnsi="宋体" w:eastAsia="宋体" w:cs="宋体"/>
                <w:sz w:val="21"/>
                <w:szCs w:val="21"/>
                <w:lang w:val="en-US" w:eastAsia="zh-CN"/>
              </w:rPr>
              <w:t>WRR、SP、WFQ优先级调度模式</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36</w:t>
            </w:r>
          </w:p>
        </w:tc>
        <w:tc>
          <w:tcPr>
            <w:tcW w:w="1884" w:type="dxa"/>
            <w:noWrap w:val="0"/>
            <w:vAlign w:val="top"/>
          </w:tcPr>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电缆序列</w:t>
            </w:r>
          </w:p>
        </w:tc>
        <w:tc>
          <w:tcPr>
            <w:tcW w:w="3636" w:type="dxa"/>
            <w:noWrap w:val="0"/>
            <w:vAlign w:val="top"/>
          </w:tcPr>
          <w:p>
            <w:pPr>
              <w:ind w:left="210" w:leftChars="0" w:hanging="210" w:hangingChars="100"/>
              <w:jc w:val="center"/>
              <w:rPr>
                <w:rFonts w:hint="eastAsia" w:ascii="Arial" w:hAnsi="Arial" w:eastAsia="宋体" w:cs="Arial"/>
                <w:sz w:val="21"/>
                <w:szCs w:val="21"/>
                <w:lang w:val="en-US" w:eastAsia="zh-CN"/>
              </w:rPr>
            </w:pPr>
            <w:r>
              <w:rPr>
                <w:rFonts w:hint="default" w:ascii="宋体" w:hAnsi="宋体" w:eastAsia="宋体" w:cs="宋体"/>
                <w:sz w:val="21"/>
                <w:szCs w:val="21"/>
                <w:lang w:val="en-US" w:eastAsia="zh-CN"/>
              </w:rPr>
              <w:t>Auto-MDIX；直通式和交叉式的自动检测</w:t>
            </w:r>
          </w:p>
          <w:p>
            <w:pPr>
              <w:ind w:left="210" w:leftChars="0" w:hanging="210" w:hangingChars="100"/>
              <w:jc w:val="center"/>
              <w:rPr>
                <w:rFonts w:hint="default" w:ascii="宋体" w:hAnsi="宋体" w:eastAsia="宋体" w:cs="宋体"/>
                <w:sz w:val="21"/>
                <w:szCs w:val="21"/>
              </w:rPr>
            </w:pPr>
            <w:r>
              <w:rPr>
                <w:rFonts w:hint="default" w:ascii="宋体" w:hAnsi="宋体" w:eastAsia="宋体" w:cs="宋体"/>
                <w:sz w:val="21"/>
                <w:szCs w:val="21"/>
                <w:lang w:val="en-US" w:eastAsia="zh-CN"/>
              </w:rPr>
              <w:t>电缆</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37</w:t>
            </w:r>
          </w:p>
        </w:tc>
        <w:tc>
          <w:tcPr>
            <w:tcW w:w="1884" w:type="dxa"/>
            <w:noWrap w:val="0"/>
            <w:vAlign w:val="top"/>
          </w:tcPr>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谈判模式</w:t>
            </w:r>
          </w:p>
        </w:tc>
        <w:tc>
          <w:tcPr>
            <w:tcW w:w="3636" w:type="dxa"/>
            <w:noWrap w:val="0"/>
            <w:vAlign w:val="top"/>
          </w:tcPr>
          <w:p>
            <w:pPr>
              <w:jc w:val="center"/>
              <w:rPr>
                <w:rFonts w:hint="default" w:ascii="宋体" w:hAnsi="宋体" w:eastAsia="宋体" w:cs="宋体"/>
                <w:sz w:val="21"/>
                <w:szCs w:val="21"/>
              </w:rPr>
            </w:pPr>
            <w:r>
              <w:rPr>
                <w:rFonts w:hint="default" w:ascii="宋体" w:hAnsi="宋体" w:eastAsia="宋体" w:cs="宋体"/>
                <w:sz w:val="21"/>
                <w:szCs w:val="21"/>
                <w:lang w:val="en-US" w:eastAsia="zh-CN"/>
              </w:rPr>
              <w:t>端口支持自动协商功能（自协商传输速率和双工模式）</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38</w:t>
            </w:r>
          </w:p>
        </w:tc>
        <w:tc>
          <w:tcPr>
            <w:tcW w:w="1884" w:type="dxa"/>
            <w:noWrap w:val="0"/>
            <w:vAlign w:val="top"/>
          </w:tcPr>
          <w:p>
            <w:pPr>
              <w:jc w:val="center"/>
              <w:rPr>
                <w:rFonts w:hint="default" w:ascii="Arial" w:hAnsi="Arial" w:eastAsia="宋体" w:cs="Arial"/>
                <w:sz w:val="21"/>
                <w:szCs w:val="21"/>
              </w:rPr>
            </w:pPr>
          </w:p>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系统维护</w:t>
            </w:r>
          </w:p>
        </w:tc>
        <w:tc>
          <w:tcPr>
            <w:tcW w:w="3636" w:type="dxa"/>
            <w:noWrap w:val="0"/>
            <w:vAlign w:val="top"/>
          </w:tcPr>
          <w:p>
            <w:pPr>
              <w:jc w:val="center"/>
              <w:rPr>
                <w:rFonts w:hint="eastAsia" w:ascii="Arial" w:hAnsi="Arial" w:eastAsia="宋体" w:cs="Arial"/>
                <w:sz w:val="21"/>
                <w:szCs w:val="21"/>
                <w:lang w:val="en-US" w:eastAsia="zh-CN"/>
              </w:rPr>
            </w:pPr>
            <w:r>
              <w:rPr>
                <w:rFonts w:hint="default" w:ascii="宋体" w:hAnsi="宋体" w:eastAsia="宋体" w:cs="宋体"/>
                <w:sz w:val="21"/>
                <w:szCs w:val="21"/>
                <w:lang w:val="en-US" w:eastAsia="zh-CN"/>
              </w:rPr>
              <w:t>升级包上传</w:t>
            </w:r>
          </w:p>
          <w:p>
            <w:pPr>
              <w:jc w:val="center"/>
              <w:rPr>
                <w:rFonts w:hint="default" w:ascii="Arial" w:hAnsi="Arial" w:eastAsia="宋体" w:cs="Arial"/>
                <w:sz w:val="21"/>
                <w:szCs w:val="21"/>
              </w:rPr>
            </w:pPr>
            <w:r>
              <w:rPr>
                <w:rFonts w:hint="default" w:ascii="宋体" w:hAnsi="宋体" w:eastAsia="宋体" w:cs="宋体"/>
                <w:sz w:val="21"/>
                <w:szCs w:val="21"/>
                <w:lang w:val="en-US" w:eastAsia="zh-CN"/>
              </w:rPr>
              <w:t>系统日志查看</w:t>
            </w:r>
          </w:p>
          <w:p>
            <w:pPr>
              <w:jc w:val="center"/>
              <w:rPr>
                <w:rFonts w:hint="default" w:ascii="宋体" w:hAnsi="宋体" w:eastAsia="宋体" w:cs="宋体"/>
                <w:sz w:val="21"/>
                <w:szCs w:val="21"/>
              </w:rPr>
            </w:pPr>
            <w:r>
              <w:rPr>
                <w:rFonts w:hint="default" w:ascii="宋体" w:hAnsi="宋体" w:eastAsia="宋体" w:cs="宋体"/>
                <w:sz w:val="21"/>
                <w:szCs w:val="21"/>
              </w:rPr>
              <w:t>WEB恢复工厂配置</w:t>
            </w:r>
          </w:p>
        </w:tc>
        <w:tc>
          <w:tcPr>
            <w:tcW w:w="2520" w:type="dxa"/>
            <w:noWrap w:val="0"/>
            <w:vAlign w:val="center"/>
          </w:tcPr>
          <w:p>
            <w:pPr>
              <w:widowControl/>
              <w:jc w:val="left"/>
              <w:rPr>
                <w:rFonts w:hint="eastAsia" w:ascii="宋体" w:hAnsi="宋体" w:eastAsia="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648" w:type="dxa"/>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39</w:t>
            </w:r>
          </w:p>
        </w:tc>
        <w:tc>
          <w:tcPr>
            <w:tcW w:w="1884" w:type="dxa"/>
            <w:noWrap w:val="0"/>
            <w:vAlign w:val="top"/>
          </w:tcPr>
          <w:p>
            <w:pPr>
              <w:jc w:val="center"/>
              <w:rPr>
                <w:rFonts w:hint="default" w:ascii="Arial" w:hAnsi="Arial" w:eastAsia="宋体" w:cs="Arial"/>
                <w:sz w:val="21"/>
                <w:szCs w:val="21"/>
              </w:rPr>
            </w:pPr>
          </w:p>
          <w:p>
            <w:pPr>
              <w:jc w:val="center"/>
              <w:rPr>
                <w:rFonts w:hint="default" w:ascii="Arial" w:hAnsi="Arial" w:eastAsia="宋体" w:cs="Arial"/>
                <w:sz w:val="21"/>
                <w:szCs w:val="21"/>
              </w:rPr>
            </w:pPr>
          </w:p>
          <w:p>
            <w:pPr>
              <w:jc w:val="cente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网络管理</w:t>
            </w:r>
          </w:p>
        </w:tc>
        <w:tc>
          <w:tcPr>
            <w:tcW w:w="3636" w:type="dxa"/>
            <w:noWrap w:val="0"/>
            <w:vAlign w:val="top"/>
          </w:tcPr>
          <w:p>
            <w:pPr>
              <w:jc w:val="center"/>
              <w:rPr>
                <w:rFonts w:hint="default" w:ascii="Arial" w:hAnsi="Arial" w:eastAsia="宋体" w:cs="Arial"/>
                <w:sz w:val="21"/>
                <w:szCs w:val="21"/>
                <w:lang w:val="en-US" w:eastAsia="zh-CN"/>
              </w:rPr>
            </w:pPr>
            <w:r>
              <w:rPr>
                <w:rFonts w:hint="default" w:ascii="宋体" w:hAnsi="宋体" w:eastAsia="宋体" w:cs="宋体"/>
                <w:sz w:val="21"/>
                <w:szCs w:val="21"/>
                <w:lang w:val="en-US" w:eastAsia="zh-CN"/>
              </w:rPr>
              <w:t>WEB接口管理</w:t>
            </w:r>
          </w:p>
          <w:p>
            <w:pPr>
              <w:jc w:val="center"/>
              <w:rPr>
                <w:rFonts w:hint="default" w:ascii="Arial" w:hAnsi="Arial" w:eastAsia="宋体" w:cs="Arial"/>
                <w:sz w:val="21"/>
                <w:szCs w:val="21"/>
              </w:rPr>
            </w:pPr>
            <w:r>
              <w:rPr>
                <w:rFonts w:hint="default" w:ascii="宋体" w:hAnsi="宋体" w:eastAsia="宋体" w:cs="宋体"/>
                <w:sz w:val="21"/>
                <w:szCs w:val="21"/>
                <w:lang w:val="en-US" w:eastAsia="zh-CN"/>
              </w:rPr>
              <w:t>基于Telnet、TFTIP、控制台的CLI管理</w:t>
            </w:r>
          </w:p>
          <w:p>
            <w:pPr>
              <w:jc w:val="center"/>
              <w:rPr>
                <w:rFonts w:hint="default" w:ascii="Arial" w:hAnsi="Arial" w:eastAsia="宋体" w:cs="Arial"/>
                <w:sz w:val="21"/>
                <w:szCs w:val="21"/>
                <w:lang w:val="en-US" w:eastAsia="zh-CN"/>
              </w:rPr>
            </w:pPr>
            <w:r>
              <w:rPr>
                <w:rFonts w:hint="default" w:ascii="宋体" w:hAnsi="宋体" w:eastAsia="宋体" w:cs="宋体"/>
                <w:sz w:val="21"/>
                <w:szCs w:val="21"/>
              </w:rPr>
              <w:t>SNMP V1/V2/V3管理</w:t>
            </w:r>
          </w:p>
          <w:p>
            <w:pPr>
              <w:jc w:val="center"/>
              <w:rPr>
                <w:rFonts w:hint="default" w:ascii="Arial" w:hAnsi="Arial" w:eastAsia="宋体" w:cs="Arial"/>
                <w:sz w:val="21"/>
                <w:szCs w:val="21"/>
                <w:lang w:val="en-US" w:eastAsia="zh-CN"/>
              </w:rPr>
            </w:pPr>
            <w:r>
              <w:rPr>
                <w:rFonts w:hint="default" w:ascii="宋体" w:hAnsi="宋体" w:eastAsia="宋体" w:cs="宋体"/>
                <w:sz w:val="21"/>
                <w:szCs w:val="21"/>
                <w:lang w:val="en-US" w:eastAsia="zh-CN"/>
              </w:rPr>
              <w:t>RMONV1/V2管理</w:t>
            </w:r>
          </w:p>
          <w:p>
            <w:pPr>
              <w:jc w:val="center"/>
              <w:rPr>
                <w:rFonts w:hint="default" w:ascii="宋体" w:hAnsi="宋体" w:eastAsia="宋体" w:cs="宋体"/>
                <w:sz w:val="21"/>
                <w:szCs w:val="21"/>
              </w:rPr>
            </w:pPr>
            <w:r>
              <w:rPr>
                <w:rFonts w:hint="default" w:ascii="宋体" w:hAnsi="宋体" w:eastAsia="宋体" w:cs="宋体"/>
                <w:sz w:val="21"/>
                <w:szCs w:val="21"/>
                <w:lang w:val="en-US" w:eastAsia="zh-CN"/>
              </w:rPr>
              <w:t>RMON管理</w:t>
            </w:r>
          </w:p>
        </w:tc>
        <w:tc>
          <w:tcPr>
            <w:tcW w:w="2520" w:type="dxa"/>
            <w:noWrap w:val="0"/>
            <w:vAlign w:val="center"/>
          </w:tcPr>
          <w:p>
            <w:pPr>
              <w:widowControl/>
              <w:jc w:val="left"/>
              <w:rPr>
                <w:rFonts w:hint="eastAsia" w:ascii="宋体" w:hAnsi="宋体" w:eastAsia="宋体" w:cs="宋体"/>
                <w:color w:val="000000"/>
                <w:kern w:val="0"/>
                <w:sz w:val="20"/>
                <w:szCs w:val="20"/>
              </w:rPr>
            </w:pPr>
          </w:p>
        </w:tc>
      </w:tr>
    </w:tbl>
    <w:p>
      <w:pPr>
        <w:bidi w:val="0"/>
        <w:rPr>
          <w:rFonts w:hint="eastAsia"/>
          <w:lang w:eastAsia="zh-CN"/>
        </w:rPr>
      </w:pPr>
    </w:p>
    <w:p>
      <w:pPr>
        <w:bidi w:val="0"/>
        <w:rPr>
          <w:rFonts w:hint="eastAsia"/>
        </w:rPr>
      </w:pPr>
      <w:bookmarkStart w:id="54" w:name="_Toc394479003"/>
      <w:bookmarkStart w:id="55" w:name="_Toc292025347"/>
      <w:bookmarkStart w:id="56" w:name="_Toc170487022"/>
      <w:bookmarkStart w:id="57" w:name="_Toc282993250"/>
    </w:p>
    <w:p>
      <w:pPr>
        <w:pStyle w:val="4"/>
        <w:numPr>
          <w:ilvl w:val="0"/>
          <w:numId w:val="0"/>
        </w:numPr>
        <w:adjustRightInd w:val="0"/>
        <w:snapToGrid w:val="0"/>
        <w:spacing w:line="360" w:lineRule="auto"/>
        <w:rPr>
          <w:rFonts w:hint="eastAsia" w:hAnsi="宋体" w:cs="宋体"/>
          <w:bCs w:val="0"/>
          <w:color w:val="000000"/>
          <w:kern w:val="0"/>
          <w:sz w:val="21"/>
          <w:szCs w:val="21"/>
          <w:lang w:val="en-US" w:eastAsia="zh-CN" w:bidi="ar-SA"/>
        </w:rPr>
      </w:pPr>
      <w:bookmarkStart w:id="58" w:name="_Toc14371"/>
      <w:r>
        <w:rPr>
          <w:rFonts w:hint="eastAsia" w:cs="Times New Roman"/>
          <w:color w:val="auto"/>
          <w:highlight w:val="none"/>
          <w:lang w:val="en-US" w:eastAsia="zh-CN"/>
        </w:rPr>
        <w:t>4</w:t>
      </w:r>
      <w:r>
        <w:rPr>
          <w:rFonts w:hint="eastAsia" w:ascii="Times New Roman" w:hAnsi="Times New Roman" w:cs="Times New Roman"/>
          <w:color w:val="auto"/>
          <w:highlight w:val="none"/>
          <w:lang w:val="en-US" w:eastAsia="zh-CN"/>
        </w:rPr>
        <w:t>.5</w:t>
      </w:r>
      <w:r>
        <w:rPr>
          <w:rFonts w:hint="eastAsia" w:hAnsi="宋体" w:cs="宋体"/>
          <w:bCs w:val="0"/>
          <w:color w:val="000000"/>
          <w:kern w:val="0"/>
          <w:sz w:val="21"/>
          <w:szCs w:val="21"/>
          <w:lang w:val="en-US" w:eastAsia="zh-CN" w:bidi="ar-SA"/>
        </w:rPr>
        <w:t>区域通讯单元</w:t>
      </w:r>
      <w:bookmarkEnd w:id="58"/>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w:t>
      </w:r>
      <w:r>
        <w:rPr>
          <w:rFonts w:hint="eastAsia" w:ascii="宋体" w:hAnsi="宋体" w:eastAsia="宋体" w:cs="宋体"/>
          <w:sz w:val="21"/>
          <w:szCs w:val="21"/>
          <w:lang w:val="en-US" w:eastAsia="zh-CN"/>
        </w:rPr>
        <w:t>16</w:t>
      </w:r>
      <w:r>
        <w:rPr>
          <w:rFonts w:hint="eastAsia" w:ascii="宋体" w:hAnsi="宋体" w:eastAsia="宋体" w:cs="宋体"/>
          <w:sz w:val="21"/>
          <w:szCs w:val="21"/>
        </w:rPr>
        <w:t>个 10/100/1000M自适应以太网接口，2个1000M SFP 扩展槽</w:t>
      </w:r>
      <w:r>
        <w:rPr>
          <w:rFonts w:hint="eastAsia" w:ascii="宋体" w:hAnsi="宋体" w:eastAsia="宋体" w:cs="宋体"/>
          <w:sz w:val="21"/>
          <w:szCs w:val="21"/>
          <w:lang w:eastAsia="zh-CN"/>
        </w:rPr>
        <w:t>；</w:t>
      </w:r>
    </w:p>
    <w:p>
      <w:pPr>
        <w:spacing w:line="360" w:lineRule="auto"/>
        <w:ind w:leftChars="300"/>
        <w:rPr>
          <w:rFonts w:hint="default" w:ascii="宋体" w:hAnsi="宋体" w:eastAsia="宋体" w:cs="宋体"/>
          <w:sz w:val="21"/>
          <w:szCs w:val="21"/>
          <w:lang w:val="en-US" w:eastAsia="zh-CN"/>
        </w:rPr>
      </w:pPr>
      <w:r>
        <w:rPr>
          <w:rFonts w:hint="eastAsia" w:ascii="宋体" w:hAnsi="宋体" w:eastAsia="宋体" w:cs="宋体"/>
          <w:sz w:val="21"/>
          <w:szCs w:val="21"/>
        </w:rPr>
        <w:t>绿色低功耗，工业级芯片设计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背板带宽 24Gbps，包转发速率17.9Mpps，包缓存 4Mbit</w:t>
      </w:r>
      <w:r>
        <w:rPr>
          <w:rFonts w:hint="eastAsia" w:ascii="宋体" w:hAnsi="宋体" w:eastAsia="宋体" w:cs="宋体"/>
          <w:sz w:val="21"/>
          <w:szCs w:val="21"/>
          <w:lang w:eastAsia="zh-CN"/>
        </w:rPr>
        <w:t>；</w:t>
      </w:r>
    </w:p>
    <w:p>
      <w:pPr>
        <w:spacing w:line="360" w:lineRule="auto"/>
        <w:ind w:leftChars="300"/>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一键组网，轻松组建网络</w:t>
      </w:r>
      <w:r>
        <w:rPr>
          <w:rFonts w:hint="eastAsia" w:ascii="宋体" w:hAnsi="宋体" w:eastAsia="宋体" w:cs="宋体"/>
          <w:bCs/>
          <w:color w:val="auto"/>
          <w:sz w:val="21"/>
          <w:szCs w:val="21"/>
          <w:lang w:eastAsia="zh-CN"/>
        </w:rPr>
        <w:t>；</w:t>
      </w:r>
    </w:p>
    <w:p>
      <w:pPr>
        <w:spacing w:line="360" w:lineRule="auto"/>
        <w:ind w:leftChars="300"/>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rPr>
        <w:t>多种自定义端口控制，智能化管理</w:t>
      </w:r>
      <w:r>
        <w:rPr>
          <w:rFonts w:hint="eastAsia" w:ascii="宋体" w:hAnsi="宋体" w:eastAsia="宋体" w:cs="宋体"/>
          <w:bCs/>
          <w:color w:val="auto"/>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 IGMP Snooping 和GMRP 过滤组播封包</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 QoS，基于端口的流量监管， WRR、DRR、SP、队列调度算法、报文的802.lp</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支持端口隔离、支持动态 ARP 检测、支持 IP/Port/MAC 的绑定功能</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支持DHCPserver、DHCPclient、DHCPrelay功能</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 Web、Telnet、Console、SNMP 管理方式</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 xml:space="preserve">支持 </w:t>
      </w:r>
      <w:r>
        <w:rPr>
          <w:rFonts w:hint="eastAsia" w:ascii="宋体" w:hAnsi="宋体" w:eastAsia="宋体" w:cs="宋体"/>
          <w:sz w:val="21"/>
          <w:szCs w:val="21"/>
          <w:lang w:val="en-US" w:eastAsia="zh-CN"/>
        </w:rPr>
        <w:t>STP/RSTP/</w:t>
      </w:r>
      <w:r>
        <w:rPr>
          <w:rFonts w:hint="eastAsia" w:ascii="宋体" w:hAnsi="宋体" w:eastAsia="宋体" w:cs="宋体"/>
          <w:sz w:val="21"/>
          <w:szCs w:val="21"/>
        </w:rPr>
        <w:t>MSTP 生成树协议</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支持Port-based VLAN,IEEE 802.1Q VLAN 和 GVRP 协议</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支持动态和静态链路聚合</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支持</w:t>
      </w:r>
      <w:r>
        <w:rPr>
          <w:rFonts w:hint="eastAsia" w:ascii="宋体" w:hAnsi="宋体" w:eastAsia="宋体" w:cs="宋体"/>
          <w:color w:val="auto"/>
          <w:sz w:val="21"/>
          <w:szCs w:val="21"/>
        </w:rPr>
        <w:t>IEEE1588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PTP对时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协议</w:t>
      </w:r>
      <w:r>
        <w:rPr>
          <w:rFonts w:hint="eastAsia" w:ascii="宋体" w:hAnsi="宋体" w:eastAsia="宋体" w:cs="宋体"/>
          <w:color w:val="auto"/>
          <w:sz w:val="21"/>
          <w:szCs w:val="21"/>
          <w:lang w:eastAsia="zh-CN"/>
        </w:rPr>
        <w:t>；</w:t>
      </w:r>
    </w:p>
    <w:p>
      <w:pPr>
        <w:spacing w:line="360" w:lineRule="auto"/>
        <w:ind w:leftChars="3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支持</w:t>
      </w:r>
      <w:r>
        <w:rPr>
          <w:rFonts w:hint="eastAsia" w:ascii="宋体" w:hAnsi="宋体" w:eastAsia="宋体" w:cs="宋体"/>
          <w:color w:val="auto"/>
          <w:sz w:val="21"/>
          <w:szCs w:val="21"/>
          <w:lang w:val="en-US" w:eastAsia="zh-CN"/>
        </w:rPr>
        <w:t>配置方式可堆叠；</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color w:val="auto"/>
          <w:sz w:val="21"/>
          <w:szCs w:val="21"/>
        </w:rPr>
        <w:t xml:space="preserve">支持 </w:t>
      </w:r>
      <w:r>
        <w:rPr>
          <w:rFonts w:hint="eastAsia" w:ascii="宋体" w:hAnsi="宋体" w:eastAsia="宋体" w:cs="宋体"/>
          <w:color w:val="auto"/>
          <w:sz w:val="21"/>
          <w:szCs w:val="21"/>
          <w:lang w:val="en-US" w:eastAsia="zh-CN"/>
        </w:rPr>
        <w:t>LEBO-</w:t>
      </w:r>
      <w:r>
        <w:rPr>
          <w:rFonts w:hint="eastAsia" w:ascii="宋体" w:hAnsi="宋体" w:eastAsia="宋体" w:cs="宋体"/>
          <w:color w:val="auto"/>
          <w:sz w:val="21"/>
          <w:szCs w:val="21"/>
        </w:rPr>
        <w:t>SNMP 网络管理协议，提供网管软件现实快速设置和管理，电源DC12/24V</w:t>
      </w:r>
      <w:r>
        <w:rPr>
          <w:rFonts w:hint="eastAsia" w:ascii="宋体" w:hAnsi="宋体" w:eastAsia="宋体" w:cs="宋体"/>
          <w:color w:val="auto"/>
          <w:sz w:val="21"/>
          <w:szCs w:val="21"/>
          <w:lang w:val="en-US" w:eastAsia="zh-CN"/>
        </w:rPr>
        <w:t>/36V/48V</w:t>
      </w:r>
      <w:r>
        <w:rPr>
          <w:rFonts w:hint="eastAsia" w:ascii="宋体" w:hAnsi="宋体" w:eastAsia="宋体" w:cs="宋体"/>
          <w:sz w:val="21"/>
          <w:szCs w:val="21"/>
          <w:lang w:val="en-US" w:eastAsia="zh-CN"/>
        </w:rPr>
        <w:t>多级</w:t>
      </w:r>
      <w:r>
        <w:rPr>
          <w:rFonts w:hint="eastAsia" w:ascii="宋体" w:hAnsi="宋体" w:eastAsia="宋体" w:cs="宋体"/>
          <w:sz w:val="21"/>
          <w:szCs w:val="21"/>
        </w:rPr>
        <w:t>可选</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具备失电告警功能和电源防反接保护功能</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支持 IGMP Snooping 和GMRP 过滤组播封包</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 QoS，基于端口的流量监管， WRR、DRR、SP、队列调度算法、报文的802.lp</w:t>
      </w:r>
      <w:r>
        <w:rPr>
          <w:rFonts w:hint="eastAsia" w:ascii="宋体" w:hAnsi="宋体" w:eastAsia="宋体" w:cs="宋体"/>
          <w:sz w:val="21"/>
          <w:szCs w:val="21"/>
          <w:lang w:eastAsia="zh-CN"/>
        </w:rPr>
        <w:t>；</w:t>
      </w:r>
    </w:p>
    <w:p>
      <w:pPr>
        <w:spacing w:line="360" w:lineRule="auto"/>
        <w:ind w:leftChars="300"/>
        <w:rPr>
          <w:rFonts w:hint="default" w:ascii="宋体" w:hAnsi="宋体" w:eastAsia="宋体" w:cs="宋体"/>
          <w:sz w:val="21"/>
          <w:szCs w:val="21"/>
          <w:lang w:val="en-US" w:eastAsia="zh-CN"/>
        </w:rPr>
      </w:pPr>
      <w:r>
        <w:rPr>
          <w:rFonts w:hint="eastAsia" w:ascii="宋体" w:hAnsi="宋体" w:eastAsia="宋体" w:cs="宋体"/>
          <w:sz w:val="21"/>
          <w:szCs w:val="21"/>
        </w:rPr>
        <w:t>支持端口隔离</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支持IPV6；</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 IP/Port/MAC 的绑定功能</w:t>
      </w:r>
      <w:r>
        <w:rPr>
          <w:rFonts w:hint="eastAsia" w:ascii="宋体" w:hAnsi="宋体" w:eastAsia="宋体" w:cs="宋体"/>
          <w:sz w:val="21"/>
          <w:szCs w:val="21"/>
          <w:lang w:eastAsia="zh-CN"/>
        </w:rPr>
        <w:t>；</w:t>
      </w:r>
    </w:p>
    <w:p>
      <w:pPr>
        <w:spacing w:line="360" w:lineRule="auto"/>
        <w:ind w:leftChars="300"/>
        <w:rPr>
          <w:rFonts w:hint="eastAsia" w:ascii="宋体" w:hAnsi="宋体" w:eastAsia="宋体" w:cs="宋体"/>
          <w:sz w:val="21"/>
          <w:szCs w:val="21"/>
          <w:lang w:eastAsia="zh-CN"/>
        </w:rPr>
      </w:pPr>
      <w:r>
        <w:rPr>
          <w:rFonts w:hint="eastAsia" w:ascii="宋体" w:hAnsi="宋体" w:eastAsia="宋体" w:cs="宋体"/>
          <w:sz w:val="21"/>
          <w:szCs w:val="21"/>
        </w:rPr>
        <w:t>支持DHCPserver、DHCPclient、DHCPrelay功能</w:t>
      </w:r>
      <w:r>
        <w:rPr>
          <w:rFonts w:hint="eastAsia" w:ascii="宋体" w:hAnsi="宋体" w:eastAsia="宋体" w:cs="宋体"/>
          <w:sz w:val="21"/>
          <w:szCs w:val="21"/>
          <w:lang w:eastAsia="zh-CN"/>
        </w:rPr>
        <w:t>；</w:t>
      </w:r>
    </w:p>
    <w:p>
      <w:pPr>
        <w:widowControl/>
        <w:spacing w:line="360" w:lineRule="auto"/>
        <w:ind w:leftChars="300"/>
        <w:jc w:val="left"/>
        <w:rPr>
          <w:rFonts w:hint="eastAsia" w:ascii="宋体" w:hAnsi="宋体" w:eastAsia="宋体" w:cs="宋体"/>
          <w:color w:val="000000"/>
          <w:kern w:val="0"/>
          <w:sz w:val="21"/>
          <w:szCs w:val="21"/>
          <w:lang w:eastAsia="zh-CN"/>
        </w:rPr>
      </w:pPr>
      <w:r>
        <w:rPr>
          <w:rFonts w:hint="eastAsia" w:ascii="宋体" w:hAnsi="宋体" w:eastAsia="宋体" w:cs="宋体"/>
          <w:sz w:val="21"/>
          <w:szCs w:val="21"/>
        </w:rPr>
        <w:t>IP</w:t>
      </w:r>
      <w:r>
        <w:rPr>
          <w:rFonts w:hint="eastAsia" w:ascii="宋体" w:hAnsi="宋体" w:eastAsia="宋体" w:cs="宋体"/>
          <w:sz w:val="21"/>
          <w:szCs w:val="21"/>
          <w:lang w:val="en-US" w:eastAsia="zh-CN"/>
        </w:rPr>
        <w:t>66</w:t>
      </w:r>
      <w:r>
        <w:rPr>
          <w:rFonts w:hint="eastAsia" w:ascii="宋体" w:hAnsi="宋体" w:eastAsia="宋体" w:cs="宋体"/>
          <w:sz w:val="21"/>
          <w:szCs w:val="21"/>
        </w:rPr>
        <w:t xml:space="preserve"> 防护等级，工业4级电磁兼容性设计</w:t>
      </w:r>
      <w:r>
        <w:rPr>
          <w:rFonts w:hint="eastAsia" w:ascii="宋体" w:hAnsi="宋体" w:eastAsia="宋体" w:cs="宋体"/>
          <w:sz w:val="21"/>
          <w:szCs w:val="21"/>
          <w:lang w:eastAsia="zh-CN"/>
        </w:rPr>
        <w:t>；</w:t>
      </w:r>
    </w:p>
    <w:p>
      <w:pPr>
        <w:spacing w:line="360" w:lineRule="auto"/>
        <w:ind w:leftChars="300"/>
        <w:rPr>
          <w:rFonts w:hint="eastAsia"/>
          <w:lang w:eastAsia="zh-CN"/>
        </w:rPr>
      </w:pPr>
      <w:r>
        <w:rPr>
          <w:rFonts w:hint="eastAsia" w:ascii="宋体" w:hAnsi="宋体" w:cs="宋体"/>
          <w:color w:val="000000"/>
          <w:kern w:val="0"/>
          <w:sz w:val="21"/>
          <w:szCs w:val="21"/>
          <w:highlight w:val="none"/>
        </w:rPr>
        <w:t>工作环境温度</w:t>
      </w:r>
      <w:r>
        <w:rPr>
          <w:rFonts w:hint="eastAsia" w:ascii="宋体" w:hAnsi="宋体" w:cs="宋体"/>
          <w:color w:val="000000"/>
          <w:kern w:val="0"/>
          <w:sz w:val="21"/>
          <w:szCs w:val="21"/>
          <w:highlight w:val="none"/>
          <w:lang w:val="en-US" w:eastAsia="zh-CN"/>
        </w:rPr>
        <w:t>-</w:t>
      </w:r>
      <w:r>
        <w:rPr>
          <w:rFonts w:hint="eastAsia" w:ascii="宋体" w:hAnsi="宋体" w:cs="宋体"/>
          <w:color w:val="000000"/>
          <w:kern w:val="0"/>
          <w:sz w:val="21"/>
          <w:szCs w:val="21"/>
          <w:highlight w:val="none"/>
        </w:rPr>
        <w:t>40℃～+70℃，湿度改为5％～100％（既不应凝露，也不应结冰）</w:t>
      </w:r>
      <w:r>
        <w:rPr>
          <w:rFonts w:hint="eastAsia" w:ascii="宋体" w:hAnsi="宋体" w:eastAsia="宋体" w:cs="宋体"/>
          <w:sz w:val="21"/>
          <w:szCs w:val="21"/>
          <w:lang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1450"/>
        <w:gridCol w:w="3902"/>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tcPr>
          <w:p>
            <w:pPr>
              <w:jc w:val="center"/>
              <w:rPr>
                <w:rFonts w:ascii="宋体" w:hAnsi="宋体"/>
                <w:b/>
                <w:bCs/>
                <w:szCs w:val="21"/>
              </w:rPr>
            </w:pPr>
            <w:r>
              <w:rPr>
                <w:rFonts w:hint="eastAsia" w:ascii="宋体" w:hAnsi="宋体"/>
                <w:b/>
                <w:bCs/>
                <w:szCs w:val="21"/>
              </w:rPr>
              <w:t>序号</w:t>
            </w:r>
          </w:p>
        </w:tc>
        <w:tc>
          <w:tcPr>
            <w:tcW w:w="1450" w:type="dxa"/>
          </w:tcPr>
          <w:p>
            <w:pPr>
              <w:jc w:val="center"/>
              <w:rPr>
                <w:rFonts w:ascii="宋体" w:hAnsi="宋体"/>
                <w:b/>
                <w:bCs/>
                <w:szCs w:val="21"/>
              </w:rPr>
            </w:pPr>
            <w:r>
              <w:rPr>
                <w:rFonts w:hint="eastAsia" w:ascii="宋体" w:hAnsi="宋体"/>
                <w:b/>
                <w:bCs/>
                <w:szCs w:val="21"/>
              </w:rPr>
              <w:t>参数名称</w:t>
            </w:r>
          </w:p>
        </w:tc>
        <w:tc>
          <w:tcPr>
            <w:tcW w:w="3902" w:type="dxa"/>
          </w:tcPr>
          <w:p>
            <w:pPr>
              <w:jc w:val="center"/>
              <w:rPr>
                <w:rFonts w:ascii="宋体" w:hAnsi="宋体"/>
                <w:b/>
                <w:bCs/>
                <w:szCs w:val="21"/>
              </w:rPr>
            </w:pPr>
            <w:r>
              <w:rPr>
                <w:rFonts w:hint="eastAsia" w:ascii="宋体" w:hAnsi="宋体"/>
                <w:b/>
                <w:bCs/>
                <w:szCs w:val="21"/>
              </w:rPr>
              <w:t>典型技术参数</w:t>
            </w:r>
          </w:p>
        </w:tc>
        <w:tc>
          <w:tcPr>
            <w:tcW w:w="1989" w:type="dxa"/>
          </w:tcPr>
          <w:p>
            <w:pPr>
              <w:jc w:val="center"/>
              <w:rPr>
                <w:rFonts w:ascii="宋体" w:hAnsi="宋体"/>
                <w:b/>
                <w:bCs/>
                <w:szCs w:val="21"/>
              </w:rPr>
            </w:pPr>
            <w:r>
              <w:rPr>
                <w:rFonts w:hint="eastAsia" w:ascii="宋体" w:hAnsi="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ascii="宋体" w:hAnsi="宋体"/>
                <w:szCs w:val="21"/>
              </w:rPr>
            </w:pPr>
            <w:r>
              <w:rPr>
                <w:rFonts w:hint="eastAsia" w:ascii="宋体" w:hAnsi="宋体"/>
                <w:szCs w:val="21"/>
              </w:rPr>
              <w:t>1</w:t>
            </w:r>
          </w:p>
        </w:tc>
        <w:tc>
          <w:tcPr>
            <w:tcW w:w="1450" w:type="dxa"/>
            <w:vAlign w:val="center"/>
          </w:tcPr>
          <w:p>
            <w:pPr>
              <w:jc w:val="center"/>
              <w:rPr>
                <w:rFonts w:ascii="宋体" w:hAnsi="宋体"/>
                <w:szCs w:val="21"/>
              </w:rPr>
            </w:pPr>
            <w:r>
              <w:rPr>
                <w:rFonts w:ascii="宋体" w:hAnsi="宋体"/>
                <w:szCs w:val="21"/>
              </w:rPr>
              <w:t>接口</w:t>
            </w:r>
          </w:p>
        </w:tc>
        <w:tc>
          <w:tcPr>
            <w:tcW w:w="3902" w:type="dxa"/>
            <w:vAlign w:val="center"/>
          </w:tcPr>
          <w:p>
            <w:pPr>
              <w:jc w:val="center"/>
              <w:rPr>
                <w:rFonts w:ascii="宋体" w:hAnsi="宋体"/>
                <w:szCs w:val="21"/>
              </w:rPr>
            </w:pPr>
            <w:r>
              <w:rPr>
                <w:rFonts w:ascii="宋体" w:hAnsi="宋体"/>
                <w:szCs w:val="21"/>
              </w:rPr>
              <w:t>8个10/100/1000Mbps 自适应以太网接口 4个1000Mbps SFP 扩展槽</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2</w:t>
            </w:r>
          </w:p>
        </w:tc>
        <w:tc>
          <w:tcPr>
            <w:tcW w:w="1450" w:type="dxa"/>
            <w:vAlign w:val="center"/>
          </w:tcPr>
          <w:p>
            <w:pPr>
              <w:jc w:val="center"/>
              <w:rPr>
                <w:rFonts w:ascii="宋体" w:hAnsi="宋体"/>
                <w:szCs w:val="21"/>
              </w:rPr>
            </w:pPr>
            <w:r>
              <w:rPr>
                <w:rFonts w:ascii="宋体" w:hAnsi="宋体"/>
                <w:szCs w:val="21"/>
              </w:rPr>
              <w:t>网线类型和距离</w:t>
            </w:r>
          </w:p>
        </w:tc>
        <w:tc>
          <w:tcPr>
            <w:tcW w:w="3902" w:type="dxa"/>
            <w:vAlign w:val="center"/>
          </w:tcPr>
          <w:p>
            <w:pPr>
              <w:jc w:val="center"/>
              <w:rPr>
                <w:rFonts w:ascii="宋体" w:hAnsi="宋体"/>
                <w:szCs w:val="21"/>
              </w:rPr>
            </w:pPr>
            <w:r>
              <w:rPr>
                <w:rFonts w:ascii="宋体" w:hAnsi="宋体"/>
                <w:szCs w:val="21"/>
              </w:rPr>
              <w:t>双绞线,支持最大传输距离100m</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3</w:t>
            </w:r>
          </w:p>
        </w:tc>
        <w:tc>
          <w:tcPr>
            <w:tcW w:w="1450" w:type="dxa"/>
            <w:vAlign w:val="center"/>
          </w:tcPr>
          <w:p>
            <w:pPr>
              <w:jc w:val="center"/>
              <w:rPr>
                <w:rFonts w:ascii="宋体" w:hAnsi="宋体"/>
                <w:szCs w:val="21"/>
              </w:rPr>
            </w:pPr>
            <w:r>
              <w:rPr>
                <w:rFonts w:ascii="宋体" w:hAnsi="宋体"/>
                <w:szCs w:val="21"/>
              </w:rPr>
              <w:t>光口属性</w:t>
            </w:r>
          </w:p>
        </w:tc>
        <w:tc>
          <w:tcPr>
            <w:tcW w:w="3902" w:type="dxa"/>
            <w:vAlign w:val="center"/>
          </w:tcPr>
          <w:p>
            <w:pPr>
              <w:jc w:val="center"/>
              <w:rPr>
                <w:rFonts w:ascii="宋体" w:hAnsi="宋体"/>
                <w:szCs w:val="21"/>
              </w:rPr>
            </w:pPr>
            <w:r>
              <w:rPr>
                <w:rFonts w:ascii="宋体" w:hAnsi="宋体"/>
                <w:szCs w:val="21"/>
              </w:rPr>
              <w:t>单模1310nm，多模850nm；单模20km,多模550m</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4</w:t>
            </w:r>
          </w:p>
        </w:tc>
        <w:tc>
          <w:tcPr>
            <w:tcW w:w="1450" w:type="dxa"/>
            <w:vAlign w:val="center"/>
          </w:tcPr>
          <w:p>
            <w:pPr>
              <w:jc w:val="center"/>
              <w:rPr>
                <w:rFonts w:ascii="宋体" w:hAnsi="宋体"/>
                <w:szCs w:val="21"/>
              </w:rPr>
            </w:pPr>
            <w:r>
              <w:rPr>
                <w:rFonts w:ascii="宋体" w:hAnsi="宋体"/>
                <w:szCs w:val="21"/>
              </w:rPr>
              <w:t>处理类型</w:t>
            </w:r>
          </w:p>
        </w:tc>
        <w:tc>
          <w:tcPr>
            <w:tcW w:w="3902" w:type="dxa"/>
            <w:vAlign w:val="center"/>
          </w:tcPr>
          <w:p>
            <w:pPr>
              <w:jc w:val="center"/>
              <w:rPr>
                <w:rFonts w:ascii="宋体" w:hAnsi="宋体"/>
                <w:szCs w:val="21"/>
              </w:rPr>
            </w:pPr>
            <w:r>
              <w:rPr>
                <w:rFonts w:ascii="宋体" w:hAnsi="宋体"/>
                <w:szCs w:val="21"/>
              </w:rPr>
              <w:t>存储转发</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5</w:t>
            </w:r>
          </w:p>
        </w:tc>
        <w:tc>
          <w:tcPr>
            <w:tcW w:w="1450" w:type="dxa"/>
            <w:vAlign w:val="center"/>
          </w:tcPr>
          <w:p>
            <w:pPr>
              <w:jc w:val="center"/>
              <w:rPr>
                <w:rFonts w:ascii="宋体" w:hAnsi="宋体"/>
                <w:szCs w:val="21"/>
              </w:rPr>
            </w:pPr>
            <w:r>
              <w:rPr>
                <w:rFonts w:ascii="宋体" w:hAnsi="宋体"/>
                <w:szCs w:val="21"/>
              </w:rPr>
              <w:t>背板带宽</w:t>
            </w:r>
          </w:p>
        </w:tc>
        <w:tc>
          <w:tcPr>
            <w:tcW w:w="3902" w:type="dxa"/>
            <w:vAlign w:val="center"/>
          </w:tcPr>
          <w:p>
            <w:pPr>
              <w:jc w:val="center"/>
              <w:rPr>
                <w:rFonts w:ascii="宋体" w:hAnsi="宋体"/>
                <w:szCs w:val="21"/>
              </w:rPr>
            </w:pPr>
            <w:r>
              <w:rPr>
                <w:rFonts w:ascii="宋体" w:hAnsi="宋体"/>
                <w:szCs w:val="21"/>
              </w:rPr>
              <w:t>24Gbps</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6</w:t>
            </w:r>
          </w:p>
        </w:tc>
        <w:tc>
          <w:tcPr>
            <w:tcW w:w="1450" w:type="dxa"/>
            <w:vAlign w:val="center"/>
          </w:tcPr>
          <w:p>
            <w:pPr>
              <w:jc w:val="center"/>
              <w:rPr>
                <w:rFonts w:ascii="宋体" w:hAnsi="宋体"/>
                <w:szCs w:val="21"/>
              </w:rPr>
            </w:pPr>
            <w:r>
              <w:rPr>
                <w:rFonts w:ascii="宋体" w:hAnsi="宋体"/>
                <w:szCs w:val="21"/>
              </w:rPr>
              <w:t>包转发速率</w:t>
            </w:r>
          </w:p>
        </w:tc>
        <w:tc>
          <w:tcPr>
            <w:tcW w:w="3902" w:type="dxa"/>
            <w:vAlign w:val="center"/>
          </w:tcPr>
          <w:p>
            <w:pPr>
              <w:jc w:val="center"/>
              <w:rPr>
                <w:rFonts w:ascii="宋体" w:hAnsi="宋体"/>
                <w:szCs w:val="21"/>
              </w:rPr>
            </w:pPr>
            <w:r>
              <w:rPr>
                <w:rFonts w:ascii="宋体" w:hAnsi="宋体"/>
                <w:szCs w:val="21"/>
              </w:rPr>
              <w:t>17.9Mpps</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7</w:t>
            </w:r>
          </w:p>
        </w:tc>
        <w:tc>
          <w:tcPr>
            <w:tcW w:w="1450" w:type="dxa"/>
            <w:vAlign w:val="center"/>
          </w:tcPr>
          <w:p>
            <w:pPr>
              <w:jc w:val="center"/>
              <w:rPr>
                <w:rFonts w:ascii="宋体" w:hAnsi="宋体"/>
                <w:szCs w:val="21"/>
              </w:rPr>
            </w:pPr>
            <w:r>
              <w:rPr>
                <w:rFonts w:ascii="宋体" w:hAnsi="宋体"/>
                <w:szCs w:val="21"/>
              </w:rPr>
              <w:t>包缓存</w:t>
            </w:r>
          </w:p>
        </w:tc>
        <w:tc>
          <w:tcPr>
            <w:tcW w:w="3902" w:type="dxa"/>
            <w:vAlign w:val="center"/>
          </w:tcPr>
          <w:p>
            <w:pPr>
              <w:jc w:val="center"/>
              <w:rPr>
                <w:rFonts w:ascii="宋体" w:hAnsi="宋体"/>
                <w:szCs w:val="21"/>
              </w:rPr>
            </w:pPr>
            <w:r>
              <w:rPr>
                <w:rFonts w:ascii="宋体" w:hAnsi="宋体"/>
                <w:szCs w:val="21"/>
              </w:rPr>
              <w:t>4Mbit</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8</w:t>
            </w:r>
          </w:p>
        </w:tc>
        <w:tc>
          <w:tcPr>
            <w:tcW w:w="1450" w:type="dxa"/>
            <w:vAlign w:val="center"/>
          </w:tcPr>
          <w:p>
            <w:pPr>
              <w:jc w:val="center"/>
              <w:rPr>
                <w:rFonts w:ascii="宋体" w:hAnsi="宋体"/>
                <w:szCs w:val="21"/>
              </w:rPr>
            </w:pPr>
            <w:r>
              <w:rPr>
                <w:rFonts w:ascii="宋体" w:hAnsi="宋体"/>
                <w:szCs w:val="21"/>
              </w:rPr>
              <w:t>流量控制</w:t>
            </w:r>
          </w:p>
        </w:tc>
        <w:tc>
          <w:tcPr>
            <w:tcW w:w="3902" w:type="dxa"/>
            <w:vAlign w:val="center"/>
          </w:tcPr>
          <w:p>
            <w:pPr>
              <w:jc w:val="center"/>
              <w:rPr>
                <w:rFonts w:ascii="宋体" w:hAnsi="宋体"/>
                <w:szCs w:val="21"/>
              </w:rPr>
            </w:pPr>
            <w:r>
              <w:rPr>
                <w:rFonts w:ascii="宋体" w:hAnsi="宋体"/>
                <w:szCs w:val="21"/>
              </w:rPr>
              <w:t>支持 IEEE802.3x 流量控制（全双工） 支持基于端口速率百分比的风暴抑制 支持基于 PPS 的风暴抑制</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9</w:t>
            </w:r>
          </w:p>
        </w:tc>
        <w:tc>
          <w:tcPr>
            <w:tcW w:w="1450" w:type="dxa"/>
            <w:vAlign w:val="center"/>
          </w:tcPr>
          <w:p>
            <w:pPr>
              <w:jc w:val="center"/>
              <w:rPr>
                <w:rFonts w:ascii="宋体" w:hAnsi="宋体"/>
                <w:szCs w:val="21"/>
              </w:rPr>
            </w:pPr>
            <w:r>
              <w:rPr>
                <w:rFonts w:ascii="宋体" w:hAnsi="宋体"/>
                <w:szCs w:val="21"/>
              </w:rPr>
              <w:t>环网冗余协议</w:t>
            </w:r>
          </w:p>
        </w:tc>
        <w:tc>
          <w:tcPr>
            <w:tcW w:w="3902" w:type="dxa"/>
            <w:vAlign w:val="center"/>
          </w:tcPr>
          <w:p>
            <w:pPr>
              <w:jc w:val="center"/>
              <w:rPr>
                <w:rFonts w:ascii="宋体" w:hAnsi="宋体"/>
                <w:szCs w:val="21"/>
              </w:rPr>
            </w:pPr>
            <w:r>
              <w:rPr>
                <w:rFonts w:ascii="宋体" w:hAnsi="宋体"/>
                <w:szCs w:val="21"/>
              </w:rPr>
              <w:t>支持 MR-ring 协议(自愈时间&lt;20ms)</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10</w:t>
            </w:r>
          </w:p>
        </w:tc>
        <w:tc>
          <w:tcPr>
            <w:tcW w:w="1450" w:type="dxa"/>
            <w:vAlign w:val="center"/>
          </w:tcPr>
          <w:p>
            <w:pPr>
              <w:jc w:val="center"/>
              <w:rPr>
                <w:rFonts w:ascii="宋体" w:hAnsi="宋体"/>
                <w:szCs w:val="21"/>
              </w:rPr>
            </w:pPr>
            <w:r>
              <w:rPr>
                <w:rFonts w:ascii="宋体" w:hAnsi="宋体"/>
                <w:szCs w:val="21"/>
              </w:rPr>
              <w:t>生成树协议</w:t>
            </w:r>
          </w:p>
        </w:tc>
        <w:tc>
          <w:tcPr>
            <w:tcW w:w="3902" w:type="dxa"/>
            <w:vAlign w:val="center"/>
          </w:tcPr>
          <w:p>
            <w:pPr>
              <w:jc w:val="center"/>
              <w:rPr>
                <w:rFonts w:ascii="宋体" w:hAnsi="宋体"/>
                <w:szCs w:val="21"/>
              </w:rPr>
            </w:pPr>
            <w:r>
              <w:rPr>
                <w:rFonts w:ascii="宋体" w:hAnsi="宋体"/>
                <w:szCs w:val="21"/>
              </w:rPr>
              <w:t>支持 STP/RSTP/MSTP 协议 支持 STP Root Guard 支持 BPDU Guard</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11</w:t>
            </w:r>
          </w:p>
        </w:tc>
        <w:tc>
          <w:tcPr>
            <w:tcW w:w="1450" w:type="dxa"/>
            <w:vAlign w:val="center"/>
          </w:tcPr>
          <w:p>
            <w:pPr>
              <w:jc w:val="center"/>
              <w:rPr>
                <w:rFonts w:ascii="宋体" w:hAnsi="宋体"/>
                <w:szCs w:val="21"/>
              </w:rPr>
            </w:pPr>
            <w:r>
              <w:rPr>
                <w:rFonts w:ascii="宋体" w:hAnsi="宋体"/>
                <w:szCs w:val="21"/>
              </w:rPr>
              <w:t>VLAN</w:t>
            </w:r>
          </w:p>
        </w:tc>
        <w:tc>
          <w:tcPr>
            <w:tcW w:w="3902" w:type="dxa"/>
            <w:vAlign w:val="center"/>
          </w:tcPr>
          <w:p>
            <w:pPr>
              <w:jc w:val="center"/>
              <w:rPr>
                <w:rFonts w:ascii="宋体" w:hAnsi="宋体"/>
                <w:szCs w:val="21"/>
              </w:rPr>
            </w:pPr>
            <w:r>
              <w:rPr>
                <w:rFonts w:ascii="宋体" w:hAnsi="宋体"/>
                <w:szCs w:val="21"/>
              </w:rPr>
              <w:t>支持基于端口的 VLAN（4094个），802.1Q 的 VLAN 支持 GVRP</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12</w:t>
            </w:r>
          </w:p>
        </w:tc>
        <w:tc>
          <w:tcPr>
            <w:tcW w:w="1450" w:type="dxa"/>
            <w:vAlign w:val="center"/>
          </w:tcPr>
          <w:p>
            <w:pPr>
              <w:jc w:val="center"/>
              <w:rPr>
                <w:rFonts w:ascii="宋体" w:hAnsi="宋体"/>
                <w:szCs w:val="21"/>
              </w:rPr>
            </w:pPr>
            <w:r>
              <w:rPr>
                <w:rFonts w:ascii="宋体" w:hAnsi="宋体"/>
                <w:szCs w:val="21"/>
              </w:rPr>
              <w:t>自愈环组网方式</w:t>
            </w:r>
          </w:p>
        </w:tc>
        <w:tc>
          <w:tcPr>
            <w:tcW w:w="3902" w:type="dxa"/>
            <w:vAlign w:val="center"/>
          </w:tcPr>
          <w:p>
            <w:pPr>
              <w:jc w:val="center"/>
              <w:rPr>
                <w:rFonts w:ascii="宋体" w:hAnsi="宋体"/>
                <w:szCs w:val="21"/>
              </w:rPr>
            </w:pPr>
            <w:r>
              <w:rPr>
                <w:rFonts w:ascii="宋体" w:hAnsi="宋体"/>
                <w:szCs w:val="21"/>
              </w:rPr>
              <w:t>支持静态聚合</w:t>
            </w:r>
            <w:r>
              <w:rPr>
                <w:rFonts w:hint="eastAsia" w:ascii="宋体" w:hAnsi="宋体"/>
                <w:szCs w:val="21"/>
              </w:rPr>
              <w:t>、</w:t>
            </w:r>
            <w:r>
              <w:rPr>
                <w:rFonts w:ascii="宋体" w:hAnsi="宋体"/>
                <w:szCs w:val="21"/>
              </w:rPr>
              <w:t>动态聚合</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13</w:t>
            </w:r>
          </w:p>
        </w:tc>
        <w:tc>
          <w:tcPr>
            <w:tcW w:w="1450" w:type="dxa"/>
            <w:vAlign w:val="center"/>
          </w:tcPr>
          <w:p>
            <w:pPr>
              <w:jc w:val="center"/>
              <w:rPr>
                <w:rFonts w:ascii="宋体" w:hAnsi="宋体"/>
                <w:szCs w:val="21"/>
              </w:rPr>
            </w:pPr>
            <w:r>
              <w:rPr>
                <w:rFonts w:ascii="宋体" w:hAnsi="宋体"/>
                <w:szCs w:val="21"/>
              </w:rPr>
              <w:t>DHCP</w:t>
            </w:r>
          </w:p>
        </w:tc>
        <w:tc>
          <w:tcPr>
            <w:tcW w:w="3902" w:type="dxa"/>
            <w:vAlign w:val="center"/>
          </w:tcPr>
          <w:p>
            <w:pPr>
              <w:jc w:val="center"/>
              <w:rPr>
                <w:rFonts w:ascii="宋体" w:hAnsi="宋体"/>
                <w:szCs w:val="21"/>
              </w:rPr>
            </w:pPr>
            <w:r>
              <w:rPr>
                <w:rFonts w:ascii="宋体" w:hAnsi="宋体"/>
                <w:szCs w:val="21"/>
              </w:rPr>
              <w:t>支持DHCP Client</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14</w:t>
            </w:r>
          </w:p>
        </w:tc>
        <w:tc>
          <w:tcPr>
            <w:tcW w:w="1450" w:type="dxa"/>
            <w:vAlign w:val="center"/>
          </w:tcPr>
          <w:p>
            <w:pPr>
              <w:jc w:val="center"/>
              <w:rPr>
                <w:rFonts w:ascii="宋体" w:hAnsi="宋体"/>
                <w:szCs w:val="21"/>
              </w:rPr>
            </w:pPr>
            <w:r>
              <w:rPr>
                <w:rFonts w:ascii="宋体" w:hAnsi="宋体"/>
                <w:szCs w:val="21"/>
              </w:rPr>
              <w:t>广播/组播/单播风暴抑制</w:t>
            </w:r>
          </w:p>
        </w:tc>
        <w:tc>
          <w:tcPr>
            <w:tcW w:w="3902" w:type="dxa"/>
            <w:vAlign w:val="center"/>
          </w:tcPr>
          <w:p>
            <w:pPr>
              <w:jc w:val="center"/>
              <w:rPr>
                <w:rFonts w:ascii="宋体" w:hAnsi="宋体"/>
                <w:szCs w:val="21"/>
              </w:rPr>
            </w:pPr>
            <w:r>
              <w:rPr>
                <w:rFonts w:ascii="宋体" w:hAnsi="宋体"/>
                <w:szCs w:val="21"/>
              </w:rPr>
              <w:t>支持基于端口速率百分比的风暴抑制</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15</w:t>
            </w:r>
          </w:p>
        </w:tc>
        <w:tc>
          <w:tcPr>
            <w:tcW w:w="1450" w:type="dxa"/>
            <w:vAlign w:val="center"/>
          </w:tcPr>
          <w:p>
            <w:pPr>
              <w:jc w:val="center"/>
              <w:rPr>
                <w:rFonts w:ascii="宋体" w:hAnsi="宋体"/>
                <w:szCs w:val="21"/>
              </w:rPr>
            </w:pPr>
            <w:r>
              <w:rPr>
                <w:rFonts w:ascii="宋体" w:hAnsi="宋体"/>
                <w:szCs w:val="21"/>
              </w:rPr>
              <w:t>组播</w:t>
            </w:r>
          </w:p>
        </w:tc>
        <w:tc>
          <w:tcPr>
            <w:tcW w:w="3902" w:type="dxa"/>
            <w:vAlign w:val="center"/>
          </w:tcPr>
          <w:p>
            <w:pPr>
              <w:jc w:val="center"/>
              <w:rPr>
                <w:rFonts w:ascii="宋体" w:hAnsi="宋体"/>
                <w:szCs w:val="21"/>
              </w:rPr>
            </w:pPr>
            <w:r>
              <w:rPr>
                <w:rFonts w:ascii="宋体" w:hAnsi="宋体"/>
                <w:szCs w:val="21"/>
              </w:rPr>
              <w:t>支持 IGMP Snooping</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16</w:t>
            </w:r>
          </w:p>
        </w:tc>
        <w:tc>
          <w:tcPr>
            <w:tcW w:w="1450" w:type="dxa"/>
            <w:vAlign w:val="center"/>
          </w:tcPr>
          <w:p>
            <w:pPr>
              <w:jc w:val="center"/>
              <w:rPr>
                <w:rFonts w:ascii="宋体" w:hAnsi="宋体"/>
                <w:szCs w:val="21"/>
              </w:rPr>
            </w:pPr>
            <w:r>
              <w:rPr>
                <w:rFonts w:ascii="宋体" w:hAnsi="宋体"/>
                <w:szCs w:val="21"/>
              </w:rPr>
              <w:t>QoS</w:t>
            </w:r>
          </w:p>
        </w:tc>
        <w:tc>
          <w:tcPr>
            <w:tcW w:w="3902" w:type="dxa"/>
            <w:vAlign w:val="center"/>
          </w:tcPr>
          <w:p>
            <w:pPr>
              <w:jc w:val="center"/>
              <w:rPr>
                <w:rFonts w:ascii="宋体" w:hAnsi="宋体"/>
                <w:szCs w:val="21"/>
              </w:rPr>
            </w:pPr>
            <w:r>
              <w:rPr>
                <w:rFonts w:ascii="宋体" w:hAnsi="宋体"/>
                <w:szCs w:val="21"/>
              </w:rPr>
              <w:t>支持对端口接收报文的速率和发送报文的速率进行限制，粒度为：8Kbit/s 每个端口支持8个输出队列 支持灵活的队列调度算法，可以同时基于端口和队列进行设置，支持 SP、WRR、SP+WRR</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17</w:t>
            </w:r>
          </w:p>
        </w:tc>
        <w:tc>
          <w:tcPr>
            <w:tcW w:w="1450" w:type="dxa"/>
            <w:vAlign w:val="center"/>
          </w:tcPr>
          <w:p>
            <w:pPr>
              <w:jc w:val="center"/>
              <w:rPr>
                <w:rFonts w:ascii="宋体" w:hAnsi="宋体"/>
                <w:szCs w:val="21"/>
              </w:rPr>
            </w:pPr>
            <w:r>
              <w:rPr>
                <w:rFonts w:ascii="宋体" w:hAnsi="宋体"/>
                <w:szCs w:val="21"/>
              </w:rPr>
              <w:t>ACL</w:t>
            </w:r>
          </w:p>
        </w:tc>
        <w:tc>
          <w:tcPr>
            <w:tcW w:w="3902" w:type="dxa"/>
            <w:vAlign w:val="center"/>
          </w:tcPr>
          <w:p>
            <w:pPr>
              <w:jc w:val="center"/>
              <w:rPr>
                <w:rFonts w:ascii="宋体" w:hAnsi="宋体"/>
                <w:szCs w:val="21"/>
              </w:rPr>
            </w:pPr>
            <w:r>
              <w:rPr>
                <w:rFonts w:ascii="宋体" w:hAnsi="宋体"/>
                <w:szCs w:val="21"/>
              </w:rPr>
              <w:t>提供基于源 MAC 地址、目的 MAC 地址、源 IP(IPv4) 地址、目的 IP(IPv4)地址、 TCP/UDP 端口号的访问控制策略 支持入方向 ACL 策略</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18</w:t>
            </w:r>
          </w:p>
        </w:tc>
        <w:tc>
          <w:tcPr>
            <w:tcW w:w="1450" w:type="dxa"/>
            <w:vAlign w:val="center"/>
          </w:tcPr>
          <w:p>
            <w:pPr>
              <w:jc w:val="center"/>
              <w:rPr>
                <w:rFonts w:ascii="宋体" w:hAnsi="宋体"/>
                <w:szCs w:val="21"/>
              </w:rPr>
            </w:pPr>
            <w:r>
              <w:rPr>
                <w:rFonts w:ascii="宋体" w:hAnsi="宋体"/>
                <w:szCs w:val="21"/>
              </w:rPr>
              <w:t>端口镜像</w:t>
            </w:r>
          </w:p>
        </w:tc>
        <w:tc>
          <w:tcPr>
            <w:tcW w:w="3902" w:type="dxa"/>
            <w:vAlign w:val="center"/>
          </w:tcPr>
          <w:p>
            <w:pPr>
              <w:jc w:val="center"/>
              <w:rPr>
                <w:rFonts w:ascii="宋体" w:hAnsi="宋体"/>
                <w:szCs w:val="21"/>
              </w:rPr>
            </w:pPr>
            <w:r>
              <w:rPr>
                <w:rFonts w:ascii="宋体" w:hAnsi="宋体"/>
                <w:szCs w:val="21"/>
              </w:rPr>
              <w:t>支持端口镜像</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19</w:t>
            </w:r>
          </w:p>
        </w:tc>
        <w:tc>
          <w:tcPr>
            <w:tcW w:w="1450" w:type="dxa"/>
            <w:vAlign w:val="center"/>
          </w:tcPr>
          <w:p>
            <w:pPr>
              <w:jc w:val="center"/>
              <w:rPr>
                <w:rFonts w:ascii="宋体" w:hAnsi="宋体"/>
                <w:szCs w:val="21"/>
              </w:rPr>
            </w:pPr>
            <w:r>
              <w:rPr>
                <w:rFonts w:ascii="宋体" w:hAnsi="宋体"/>
                <w:szCs w:val="21"/>
              </w:rPr>
              <w:t>网络安全</w:t>
            </w:r>
          </w:p>
        </w:tc>
        <w:tc>
          <w:tcPr>
            <w:tcW w:w="3902" w:type="dxa"/>
            <w:vAlign w:val="center"/>
          </w:tcPr>
          <w:p>
            <w:pPr>
              <w:jc w:val="center"/>
              <w:rPr>
                <w:rFonts w:ascii="宋体" w:hAnsi="宋体"/>
                <w:szCs w:val="21"/>
              </w:rPr>
            </w:pPr>
            <w:r>
              <w:rPr>
                <w:rFonts w:ascii="宋体" w:hAnsi="宋体"/>
                <w:szCs w:val="21"/>
              </w:rPr>
              <w:t>支持用户分级管理和口令保护 支持 AAA 认证 支持 RADIUS 认证 支持端口隔离</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20</w:t>
            </w:r>
          </w:p>
        </w:tc>
        <w:tc>
          <w:tcPr>
            <w:tcW w:w="1450" w:type="dxa"/>
            <w:vAlign w:val="center"/>
          </w:tcPr>
          <w:p>
            <w:pPr>
              <w:jc w:val="center"/>
              <w:rPr>
                <w:rFonts w:ascii="宋体" w:hAnsi="宋体"/>
                <w:szCs w:val="21"/>
              </w:rPr>
            </w:pPr>
            <w:r>
              <w:rPr>
                <w:rFonts w:ascii="宋体" w:hAnsi="宋体"/>
                <w:szCs w:val="21"/>
              </w:rPr>
              <w:t>802.1X</w:t>
            </w:r>
          </w:p>
        </w:tc>
        <w:tc>
          <w:tcPr>
            <w:tcW w:w="3902" w:type="dxa"/>
            <w:vAlign w:val="center"/>
          </w:tcPr>
          <w:p>
            <w:pPr>
              <w:jc w:val="center"/>
              <w:rPr>
                <w:rFonts w:ascii="宋体" w:hAnsi="宋体"/>
                <w:szCs w:val="21"/>
              </w:rPr>
            </w:pPr>
            <w:r>
              <w:rPr>
                <w:rFonts w:ascii="宋体" w:hAnsi="宋体"/>
                <w:szCs w:val="21"/>
              </w:rPr>
              <w:t>支持基于端口的认证和基于 MAC 的认证</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21</w:t>
            </w:r>
          </w:p>
        </w:tc>
        <w:tc>
          <w:tcPr>
            <w:tcW w:w="1450" w:type="dxa"/>
            <w:vAlign w:val="center"/>
          </w:tcPr>
          <w:p>
            <w:pPr>
              <w:jc w:val="center"/>
              <w:rPr>
                <w:rFonts w:ascii="宋体" w:hAnsi="宋体"/>
                <w:szCs w:val="21"/>
              </w:rPr>
            </w:pPr>
            <w:r>
              <w:rPr>
                <w:rFonts w:ascii="宋体" w:hAnsi="宋体"/>
                <w:szCs w:val="21"/>
              </w:rPr>
              <w:t>升级和配置</w:t>
            </w:r>
          </w:p>
        </w:tc>
        <w:tc>
          <w:tcPr>
            <w:tcW w:w="3902" w:type="dxa"/>
            <w:vAlign w:val="center"/>
          </w:tcPr>
          <w:p>
            <w:pPr>
              <w:jc w:val="center"/>
              <w:rPr>
                <w:rFonts w:ascii="宋体" w:hAnsi="宋体"/>
                <w:szCs w:val="21"/>
              </w:rPr>
            </w:pPr>
            <w:r>
              <w:rPr>
                <w:rFonts w:ascii="宋体" w:hAnsi="宋体"/>
                <w:szCs w:val="21"/>
              </w:rPr>
              <w:t>支持 FTP/TFTP/WEB 升级,日志记录, 配置文件下载与上传</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22</w:t>
            </w:r>
          </w:p>
        </w:tc>
        <w:tc>
          <w:tcPr>
            <w:tcW w:w="1450" w:type="dxa"/>
            <w:vAlign w:val="center"/>
          </w:tcPr>
          <w:p>
            <w:pPr>
              <w:jc w:val="center"/>
              <w:rPr>
                <w:rFonts w:ascii="宋体" w:hAnsi="宋体"/>
                <w:szCs w:val="21"/>
              </w:rPr>
            </w:pPr>
            <w:r>
              <w:rPr>
                <w:rFonts w:ascii="宋体" w:hAnsi="宋体"/>
                <w:szCs w:val="21"/>
              </w:rPr>
              <w:t>告警输出</w:t>
            </w:r>
          </w:p>
        </w:tc>
        <w:tc>
          <w:tcPr>
            <w:tcW w:w="3902" w:type="dxa"/>
            <w:vAlign w:val="center"/>
          </w:tcPr>
          <w:p>
            <w:pPr>
              <w:jc w:val="center"/>
              <w:rPr>
                <w:rFonts w:ascii="宋体" w:hAnsi="宋体"/>
                <w:szCs w:val="21"/>
              </w:rPr>
            </w:pPr>
            <w:r>
              <w:rPr>
                <w:rFonts w:ascii="宋体" w:hAnsi="宋体"/>
                <w:szCs w:val="21"/>
              </w:rPr>
              <w:t>支持电源告警</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23</w:t>
            </w:r>
          </w:p>
        </w:tc>
        <w:tc>
          <w:tcPr>
            <w:tcW w:w="1450" w:type="dxa"/>
            <w:vAlign w:val="center"/>
          </w:tcPr>
          <w:p>
            <w:pPr>
              <w:jc w:val="center"/>
              <w:rPr>
                <w:rFonts w:ascii="宋体" w:hAnsi="宋体"/>
                <w:szCs w:val="21"/>
              </w:rPr>
            </w:pPr>
            <w:r>
              <w:rPr>
                <w:rFonts w:ascii="宋体" w:hAnsi="宋体"/>
                <w:szCs w:val="21"/>
              </w:rPr>
              <w:t>管理</w:t>
            </w:r>
          </w:p>
        </w:tc>
        <w:tc>
          <w:tcPr>
            <w:tcW w:w="3902" w:type="dxa"/>
            <w:vAlign w:val="center"/>
          </w:tcPr>
          <w:p>
            <w:pPr>
              <w:jc w:val="center"/>
              <w:rPr>
                <w:rFonts w:ascii="宋体" w:hAnsi="宋体"/>
                <w:szCs w:val="21"/>
              </w:rPr>
            </w:pPr>
            <w:r>
              <w:rPr>
                <w:rFonts w:ascii="宋体" w:hAnsi="宋体"/>
                <w:szCs w:val="21"/>
              </w:rPr>
              <w:t>支持命令行接口（CLI）配置 支持 Telnet 远程配置 支持通过 Console 口配置 支持 SNMP</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24</w:t>
            </w:r>
          </w:p>
        </w:tc>
        <w:tc>
          <w:tcPr>
            <w:tcW w:w="1450" w:type="dxa"/>
            <w:vAlign w:val="center"/>
          </w:tcPr>
          <w:p>
            <w:pPr>
              <w:jc w:val="center"/>
              <w:rPr>
                <w:rFonts w:ascii="宋体" w:hAnsi="宋体"/>
                <w:szCs w:val="21"/>
              </w:rPr>
            </w:pPr>
            <w:r>
              <w:rPr>
                <w:rFonts w:ascii="宋体" w:hAnsi="宋体"/>
                <w:szCs w:val="21"/>
              </w:rPr>
              <w:t>维护</w:t>
            </w:r>
          </w:p>
        </w:tc>
        <w:tc>
          <w:tcPr>
            <w:tcW w:w="3902" w:type="dxa"/>
            <w:vAlign w:val="center"/>
          </w:tcPr>
          <w:p>
            <w:pPr>
              <w:jc w:val="center"/>
              <w:rPr>
                <w:rFonts w:ascii="宋体" w:hAnsi="宋体"/>
                <w:szCs w:val="21"/>
              </w:rPr>
            </w:pPr>
            <w:r>
              <w:rPr>
                <w:rFonts w:ascii="宋体" w:hAnsi="宋体"/>
                <w:szCs w:val="21"/>
              </w:rPr>
              <w:t>支持 Ping 支持 Telnet 远程维护</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25</w:t>
            </w:r>
          </w:p>
        </w:tc>
        <w:tc>
          <w:tcPr>
            <w:tcW w:w="1450" w:type="dxa"/>
            <w:vAlign w:val="center"/>
          </w:tcPr>
          <w:p>
            <w:pPr>
              <w:jc w:val="center"/>
              <w:rPr>
                <w:rFonts w:ascii="宋体" w:hAnsi="宋体"/>
                <w:szCs w:val="21"/>
              </w:rPr>
            </w:pPr>
            <w:r>
              <w:rPr>
                <w:rFonts w:ascii="宋体" w:hAnsi="宋体"/>
                <w:szCs w:val="21"/>
              </w:rPr>
              <w:t>指示灯</w:t>
            </w:r>
          </w:p>
        </w:tc>
        <w:tc>
          <w:tcPr>
            <w:tcW w:w="3902" w:type="dxa"/>
            <w:vAlign w:val="center"/>
          </w:tcPr>
          <w:p>
            <w:pPr>
              <w:jc w:val="center"/>
              <w:rPr>
                <w:rFonts w:ascii="宋体" w:hAnsi="宋体"/>
                <w:szCs w:val="21"/>
              </w:rPr>
            </w:pPr>
            <w:r>
              <w:rPr>
                <w:rFonts w:ascii="宋体" w:hAnsi="宋体"/>
                <w:szCs w:val="21"/>
              </w:rPr>
              <w:t>电源指示：P1、P2，接口灯指示：ALarm、RUN、G9、G10、G11、G12</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26</w:t>
            </w:r>
          </w:p>
        </w:tc>
        <w:tc>
          <w:tcPr>
            <w:tcW w:w="1450" w:type="dxa"/>
            <w:vAlign w:val="center"/>
          </w:tcPr>
          <w:p>
            <w:pPr>
              <w:jc w:val="center"/>
              <w:rPr>
                <w:rFonts w:ascii="宋体" w:hAnsi="宋体"/>
                <w:szCs w:val="21"/>
              </w:rPr>
            </w:pPr>
            <w:r>
              <w:rPr>
                <w:rFonts w:ascii="宋体" w:hAnsi="宋体"/>
                <w:szCs w:val="21"/>
              </w:rPr>
              <w:t>电源</w:t>
            </w:r>
          </w:p>
        </w:tc>
        <w:tc>
          <w:tcPr>
            <w:tcW w:w="3902" w:type="dxa"/>
            <w:vAlign w:val="center"/>
          </w:tcPr>
          <w:p>
            <w:pPr>
              <w:jc w:val="center"/>
              <w:rPr>
                <w:rFonts w:ascii="宋体" w:hAnsi="宋体"/>
                <w:szCs w:val="21"/>
              </w:rPr>
            </w:pPr>
            <w:r>
              <w:rPr>
                <w:rFonts w:ascii="宋体" w:hAnsi="宋体"/>
                <w:szCs w:val="21"/>
              </w:rPr>
              <w:t>输入电压：DC12/24V，AC/DC85～265V 可选 支持失电告警功能（DC12V/DC24V） 支持电源防反接保护 工业凤凰端子接线</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27</w:t>
            </w:r>
          </w:p>
        </w:tc>
        <w:tc>
          <w:tcPr>
            <w:tcW w:w="1450" w:type="dxa"/>
            <w:vAlign w:val="center"/>
          </w:tcPr>
          <w:p>
            <w:pPr>
              <w:jc w:val="center"/>
              <w:rPr>
                <w:rFonts w:ascii="宋体" w:hAnsi="宋体"/>
                <w:szCs w:val="21"/>
                <w:highlight w:val="none"/>
              </w:rPr>
            </w:pPr>
            <w:r>
              <w:rPr>
                <w:rFonts w:ascii="宋体" w:hAnsi="宋体"/>
                <w:szCs w:val="21"/>
                <w:highlight w:val="none"/>
              </w:rPr>
              <w:t>工作环境</w:t>
            </w:r>
          </w:p>
        </w:tc>
        <w:tc>
          <w:tcPr>
            <w:tcW w:w="3902" w:type="dxa"/>
            <w:vAlign w:val="center"/>
          </w:tcPr>
          <w:p>
            <w:pPr>
              <w:jc w:val="center"/>
              <w:rPr>
                <w:rFonts w:ascii="宋体" w:hAnsi="宋体"/>
                <w:szCs w:val="21"/>
                <w:highlight w:val="none"/>
              </w:rPr>
            </w:pPr>
            <w:r>
              <w:rPr>
                <w:rFonts w:hint="eastAsia" w:ascii="宋体" w:hAnsi="宋体" w:cs="宋体"/>
                <w:color w:val="000000"/>
                <w:kern w:val="0"/>
                <w:sz w:val="21"/>
                <w:szCs w:val="21"/>
                <w:highlight w:val="none"/>
              </w:rPr>
              <w:t>工作环境温度</w:t>
            </w:r>
            <w:r>
              <w:rPr>
                <w:rFonts w:hint="eastAsia" w:ascii="宋体" w:hAnsi="宋体" w:cs="宋体"/>
                <w:color w:val="000000"/>
                <w:kern w:val="0"/>
                <w:sz w:val="21"/>
                <w:szCs w:val="21"/>
                <w:highlight w:val="none"/>
                <w:lang w:val="en-US" w:eastAsia="zh-CN"/>
              </w:rPr>
              <w:t>-</w:t>
            </w:r>
            <w:r>
              <w:rPr>
                <w:rFonts w:hint="eastAsia" w:ascii="宋体" w:hAnsi="宋体" w:cs="宋体"/>
                <w:color w:val="000000"/>
                <w:kern w:val="0"/>
                <w:sz w:val="21"/>
                <w:szCs w:val="21"/>
                <w:highlight w:val="none"/>
              </w:rPr>
              <w:t>40℃～+70℃，湿度改为5％～100％（既不应凝露，也不应结冰）</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28</w:t>
            </w:r>
          </w:p>
        </w:tc>
        <w:tc>
          <w:tcPr>
            <w:tcW w:w="1450" w:type="dxa"/>
            <w:vAlign w:val="center"/>
          </w:tcPr>
          <w:p>
            <w:pPr>
              <w:jc w:val="center"/>
              <w:rPr>
                <w:rFonts w:ascii="宋体" w:hAnsi="宋体"/>
                <w:szCs w:val="21"/>
              </w:rPr>
            </w:pPr>
            <w:r>
              <w:rPr>
                <w:rFonts w:ascii="宋体" w:hAnsi="宋体"/>
                <w:szCs w:val="21"/>
              </w:rPr>
              <w:t>安装方式</w:t>
            </w:r>
          </w:p>
        </w:tc>
        <w:tc>
          <w:tcPr>
            <w:tcW w:w="3902" w:type="dxa"/>
            <w:vAlign w:val="center"/>
          </w:tcPr>
          <w:p>
            <w:pPr>
              <w:jc w:val="center"/>
              <w:rPr>
                <w:rFonts w:ascii="宋体" w:hAnsi="宋体"/>
                <w:szCs w:val="21"/>
              </w:rPr>
            </w:pPr>
            <w:r>
              <w:rPr>
                <w:rFonts w:ascii="宋体" w:hAnsi="宋体"/>
                <w:szCs w:val="21"/>
              </w:rPr>
              <w:t>DIN 卡轨式或壁挂式</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29</w:t>
            </w:r>
          </w:p>
        </w:tc>
        <w:tc>
          <w:tcPr>
            <w:tcW w:w="1450" w:type="dxa"/>
            <w:vAlign w:val="center"/>
          </w:tcPr>
          <w:p>
            <w:pPr>
              <w:jc w:val="center"/>
              <w:rPr>
                <w:rFonts w:ascii="宋体" w:hAnsi="宋体"/>
                <w:szCs w:val="21"/>
              </w:rPr>
            </w:pPr>
            <w:r>
              <w:rPr>
                <w:rFonts w:ascii="宋体" w:hAnsi="宋体"/>
                <w:szCs w:val="21"/>
              </w:rPr>
              <w:t>MTBF</w:t>
            </w:r>
          </w:p>
        </w:tc>
        <w:tc>
          <w:tcPr>
            <w:tcW w:w="3902" w:type="dxa"/>
            <w:vAlign w:val="center"/>
          </w:tcPr>
          <w:p>
            <w:pPr>
              <w:jc w:val="center"/>
              <w:rPr>
                <w:rFonts w:ascii="宋体" w:hAnsi="宋体"/>
                <w:szCs w:val="21"/>
              </w:rPr>
            </w:pPr>
            <w:r>
              <w:rPr>
                <w:rFonts w:ascii="宋体" w:hAnsi="宋体"/>
                <w:szCs w:val="21"/>
              </w:rPr>
              <w:t>350000h</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30</w:t>
            </w:r>
          </w:p>
        </w:tc>
        <w:tc>
          <w:tcPr>
            <w:tcW w:w="1450" w:type="dxa"/>
            <w:vAlign w:val="center"/>
          </w:tcPr>
          <w:p>
            <w:pPr>
              <w:jc w:val="center"/>
              <w:rPr>
                <w:rFonts w:ascii="宋体" w:hAnsi="宋体"/>
                <w:szCs w:val="21"/>
              </w:rPr>
            </w:pPr>
            <w:r>
              <w:rPr>
                <w:rFonts w:ascii="宋体" w:hAnsi="宋体"/>
                <w:szCs w:val="21"/>
              </w:rPr>
              <w:t>符合标准</w:t>
            </w:r>
          </w:p>
        </w:tc>
        <w:tc>
          <w:tcPr>
            <w:tcW w:w="3902" w:type="dxa"/>
            <w:vAlign w:val="center"/>
          </w:tcPr>
          <w:p>
            <w:pPr>
              <w:jc w:val="center"/>
              <w:rPr>
                <w:rFonts w:ascii="宋体" w:hAnsi="宋体"/>
                <w:szCs w:val="21"/>
              </w:rPr>
            </w:pPr>
            <w:r>
              <w:rPr>
                <w:rFonts w:ascii="宋体" w:hAnsi="宋体"/>
                <w:szCs w:val="21"/>
              </w:rPr>
              <w:t>IEEE802.3：CSMA/CD</w:t>
            </w:r>
          </w:p>
          <w:p>
            <w:pPr>
              <w:jc w:val="center"/>
              <w:rPr>
                <w:rFonts w:ascii="宋体" w:hAnsi="宋体"/>
                <w:szCs w:val="21"/>
              </w:rPr>
            </w:pPr>
            <w:r>
              <w:rPr>
                <w:rFonts w:ascii="宋体" w:hAnsi="宋体"/>
                <w:szCs w:val="21"/>
              </w:rPr>
              <w:t>IEEE802.3i：10Base-T</w:t>
            </w:r>
          </w:p>
          <w:p>
            <w:pPr>
              <w:jc w:val="center"/>
              <w:rPr>
                <w:rFonts w:ascii="宋体" w:hAnsi="宋体"/>
                <w:szCs w:val="21"/>
              </w:rPr>
            </w:pPr>
            <w:r>
              <w:rPr>
                <w:rFonts w:ascii="宋体" w:hAnsi="宋体"/>
                <w:szCs w:val="21"/>
              </w:rPr>
              <w:t>IEEE802.3u：100Base-T</w:t>
            </w:r>
          </w:p>
          <w:p>
            <w:pPr>
              <w:jc w:val="center"/>
              <w:rPr>
                <w:rFonts w:ascii="宋体" w:hAnsi="宋体"/>
                <w:szCs w:val="21"/>
              </w:rPr>
            </w:pPr>
            <w:r>
              <w:rPr>
                <w:rFonts w:ascii="宋体" w:hAnsi="宋体"/>
                <w:szCs w:val="21"/>
              </w:rPr>
              <w:t>IEEE 802.3ad：链路聚合</w:t>
            </w:r>
          </w:p>
          <w:p>
            <w:pPr>
              <w:jc w:val="center"/>
              <w:rPr>
                <w:rFonts w:ascii="宋体" w:hAnsi="宋体"/>
                <w:szCs w:val="21"/>
              </w:rPr>
            </w:pPr>
            <w:r>
              <w:rPr>
                <w:rFonts w:ascii="宋体" w:hAnsi="宋体"/>
                <w:szCs w:val="21"/>
              </w:rPr>
              <w:t>IEEE 802.3x：全双工以太网数据链路层流控</w:t>
            </w:r>
          </w:p>
          <w:p>
            <w:pPr>
              <w:jc w:val="center"/>
              <w:rPr>
                <w:rFonts w:ascii="宋体" w:hAnsi="宋体"/>
                <w:szCs w:val="21"/>
              </w:rPr>
            </w:pPr>
            <w:r>
              <w:rPr>
                <w:rFonts w:ascii="宋体" w:hAnsi="宋体"/>
                <w:szCs w:val="21"/>
              </w:rPr>
              <w:t>IEEE 802.1p：流量优先级 IEEE 802.1Q：VLAN</w:t>
            </w:r>
          </w:p>
          <w:p>
            <w:pPr>
              <w:jc w:val="center"/>
              <w:rPr>
                <w:rFonts w:ascii="宋体" w:hAnsi="宋体"/>
                <w:szCs w:val="21"/>
              </w:rPr>
            </w:pPr>
            <w:r>
              <w:rPr>
                <w:rFonts w:ascii="宋体" w:hAnsi="宋体"/>
                <w:szCs w:val="21"/>
              </w:rPr>
              <w:t>IEEE 802.1w：快速生成树 IEEE 802.1X：基于端口的网络访问控制</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31</w:t>
            </w:r>
          </w:p>
        </w:tc>
        <w:tc>
          <w:tcPr>
            <w:tcW w:w="1450" w:type="dxa"/>
            <w:vAlign w:val="center"/>
          </w:tcPr>
          <w:p>
            <w:pPr>
              <w:jc w:val="center"/>
              <w:rPr>
                <w:rFonts w:ascii="宋体" w:hAnsi="宋体"/>
                <w:szCs w:val="21"/>
              </w:rPr>
            </w:pPr>
            <w:r>
              <w:rPr>
                <w:rFonts w:ascii="宋体" w:hAnsi="宋体"/>
                <w:szCs w:val="21"/>
              </w:rPr>
              <w:t>EMI</w:t>
            </w:r>
          </w:p>
        </w:tc>
        <w:tc>
          <w:tcPr>
            <w:tcW w:w="3902" w:type="dxa"/>
            <w:vAlign w:val="center"/>
          </w:tcPr>
          <w:p>
            <w:pPr>
              <w:jc w:val="center"/>
              <w:rPr>
                <w:rFonts w:ascii="宋体" w:hAnsi="宋体"/>
                <w:szCs w:val="21"/>
              </w:rPr>
            </w:pPr>
            <w:r>
              <w:rPr>
                <w:rFonts w:ascii="宋体" w:hAnsi="宋体"/>
                <w:szCs w:val="21"/>
              </w:rPr>
              <w:t>电磁干扰度测试</w:t>
            </w:r>
          </w:p>
        </w:tc>
        <w:tc>
          <w:tcPr>
            <w:tcW w:w="1989"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32</w:t>
            </w:r>
          </w:p>
        </w:tc>
        <w:tc>
          <w:tcPr>
            <w:tcW w:w="1450" w:type="dxa"/>
            <w:vAlign w:val="center"/>
          </w:tcPr>
          <w:p>
            <w:pPr>
              <w:jc w:val="center"/>
              <w:rPr>
                <w:rFonts w:ascii="宋体" w:hAnsi="宋体"/>
                <w:szCs w:val="21"/>
              </w:rPr>
            </w:pPr>
            <w:r>
              <w:rPr>
                <w:rFonts w:ascii="宋体" w:hAnsi="宋体"/>
                <w:szCs w:val="21"/>
              </w:rPr>
              <w:t>EMC</w:t>
            </w:r>
          </w:p>
        </w:tc>
        <w:tc>
          <w:tcPr>
            <w:tcW w:w="3902" w:type="dxa"/>
            <w:vAlign w:val="center"/>
          </w:tcPr>
          <w:p>
            <w:pPr>
              <w:jc w:val="center"/>
              <w:rPr>
                <w:rFonts w:ascii="宋体" w:hAnsi="宋体"/>
                <w:szCs w:val="21"/>
              </w:rPr>
            </w:pPr>
            <w:r>
              <w:rPr>
                <w:rFonts w:ascii="宋体" w:hAnsi="宋体"/>
                <w:szCs w:val="21"/>
              </w:rPr>
              <w:t>IEC61000-4-2(ESD) ±8kV(contact),±15kV(air)</w:t>
            </w:r>
          </w:p>
          <w:p>
            <w:pPr>
              <w:jc w:val="center"/>
              <w:rPr>
                <w:rFonts w:ascii="宋体" w:hAnsi="宋体"/>
                <w:szCs w:val="21"/>
              </w:rPr>
            </w:pPr>
            <w:r>
              <w:rPr>
                <w:rFonts w:ascii="宋体" w:hAnsi="宋体"/>
                <w:szCs w:val="21"/>
              </w:rPr>
              <w:t>IEC61000-4-3(RS) 10V/m(80MHz～2GHz)</w:t>
            </w:r>
          </w:p>
          <w:p>
            <w:pPr>
              <w:jc w:val="center"/>
              <w:rPr>
                <w:rFonts w:ascii="宋体" w:hAnsi="宋体"/>
                <w:szCs w:val="21"/>
              </w:rPr>
            </w:pPr>
            <w:r>
              <w:rPr>
                <w:rFonts w:ascii="宋体" w:hAnsi="宋体"/>
                <w:szCs w:val="21"/>
              </w:rPr>
              <w:t>IEC61000-4-4(EFT) Power Port:±4kV;Data Port:±2kV</w:t>
            </w:r>
          </w:p>
          <w:p>
            <w:pPr>
              <w:jc w:val="center"/>
              <w:rPr>
                <w:rFonts w:ascii="宋体" w:hAnsi="宋体"/>
                <w:szCs w:val="21"/>
              </w:rPr>
            </w:pPr>
            <w:r>
              <w:rPr>
                <w:rFonts w:ascii="宋体" w:hAnsi="宋体"/>
                <w:szCs w:val="21"/>
              </w:rPr>
              <w:t>IEC61000-4-5(Surge) Power Port:±2kV/DM,±4kV/CM;Data Port:±2kV IEC61000-4-6(CS) 3V(10kHz～150kHz);10V(150kHz～80MHz) IEC61000-4-16(共模传导) 30V(cont.),300V(1s)</w:t>
            </w:r>
          </w:p>
        </w:tc>
        <w:tc>
          <w:tcPr>
            <w:tcW w:w="1989" w:type="dxa"/>
          </w:tcPr>
          <w:p>
            <w:pPr>
              <w:rPr>
                <w:rFonts w:ascii="宋体" w:hAnsi="宋体"/>
                <w:szCs w:val="21"/>
              </w:rPr>
            </w:pPr>
          </w:p>
        </w:tc>
      </w:tr>
    </w:tbl>
    <w:p>
      <w:pPr>
        <w:pStyle w:val="5"/>
        <w:rPr>
          <w:rFonts w:hint="eastAsia"/>
          <w:lang w:val="en-US" w:eastAsia="zh-CN"/>
        </w:rPr>
      </w:pPr>
    </w:p>
    <w:p>
      <w:pPr>
        <w:pStyle w:val="3"/>
        <w:numPr>
          <w:ilvl w:val="0"/>
          <w:numId w:val="0"/>
        </w:numPr>
        <w:rPr>
          <w:rFonts w:eastAsia="黑体"/>
          <w:b/>
          <w:color w:val="auto"/>
          <w:sz w:val="21"/>
          <w:szCs w:val="21"/>
          <w:highlight w:val="none"/>
        </w:rPr>
      </w:pPr>
      <w:bookmarkStart w:id="59" w:name="_Toc4577"/>
      <w:bookmarkStart w:id="60" w:name="_Toc126594090"/>
      <w:bookmarkStart w:id="61" w:name="_Toc21821"/>
      <w:bookmarkStart w:id="62" w:name="_Toc18064"/>
      <w:r>
        <w:rPr>
          <w:rFonts w:hint="eastAsia"/>
          <w:b/>
          <w:color w:val="auto"/>
          <w:highlight w:val="none"/>
          <w:lang w:val="en-US" w:eastAsia="zh-CN"/>
        </w:rPr>
        <w:t>5</w:t>
      </w:r>
      <w:r>
        <w:rPr>
          <w:b/>
          <w:color w:val="auto"/>
          <w:highlight w:val="none"/>
        </w:rPr>
        <w:t xml:space="preserve"> </w:t>
      </w:r>
      <w:bookmarkStart w:id="63" w:name="_Toc384341008"/>
      <w:bookmarkEnd w:id="63"/>
      <w:bookmarkStart w:id="64" w:name="_Toc384341007"/>
      <w:bookmarkEnd w:id="64"/>
      <w:bookmarkStart w:id="65" w:name="_Toc384340989"/>
      <w:bookmarkEnd w:id="65"/>
      <w:bookmarkStart w:id="66" w:name="_Toc384341005"/>
      <w:bookmarkEnd w:id="66"/>
      <w:bookmarkStart w:id="67" w:name="_Toc384340914"/>
      <w:bookmarkEnd w:id="67"/>
      <w:bookmarkStart w:id="68" w:name="_Toc384340998"/>
      <w:bookmarkEnd w:id="68"/>
      <w:bookmarkStart w:id="69" w:name="_Toc384340932"/>
      <w:bookmarkEnd w:id="69"/>
      <w:bookmarkStart w:id="70" w:name="_Toc384340921"/>
      <w:bookmarkEnd w:id="70"/>
      <w:bookmarkStart w:id="71" w:name="_Toc384340991"/>
      <w:bookmarkEnd w:id="71"/>
      <w:bookmarkStart w:id="72" w:name="_Toc384340994"/>
      <w:bookmarkEnd w:id="72"/>
      <w:bookmarkStart w:id="73" w:name="_Toc384340995"/>
      <w:bookmarkEnd w:id="73"/>
      <w:bookmarkStart w:id="74" w:name="_Toc384341015"/>
      <w:bookmarkEnd w:id="74"/>
      <w:bookmarkStart w:id="75" w:name="_Toc384341003"/>
      <w:bookmarkEnd w:id="75"/>
      <w:bookmarkStart w:id="76" w:name="_Toc384340927"/>
      <w:bookmarkEnd w:id="76"/>
      <w:bookmarkStart w:id="77" w:name="_Toc384340911"/>
      <w:bookmarkEnd w:id="77"/>
      <w:bookmarkStart w:id="78" w:name="_Toc384340918"/>
      <w:bookmarkEnd w:id="78"/>
      <w:bookmarkStart w:id="79" w:name="_Toc384340938"/>
      <w:bookmarkEnd w:id="79"/>
      <w:bookmarkStart w:id="80" w:name="_Toc384341004"/>
      <w:bookmarkEnd w:id="80"/>
      <w:bookmarkStart w:id="81" w:name="_Toc384340912"/>
      <w:bookmarkEnd w:id="81"/>
      <w:bookmarkStart w:id="82" w:name="_Toc384341000"/>
      <w:bookmarkEnd w:id="82"/>
      <w:bookmarkStart w:id="83" w:name="_Toc384340997"/>
      <w:bookmarkEnd w:id="83"/>
      <w:bookmarkStart w:id="84" w:name="_Toc384341011"/>
      <w:bookmarkEnd w:id="84"/>
      <w:bookmarkStart w:id="85" w:name="_Toc384340922"/>
      <w:bookmarkEnd w:id="85"/>
      <w:bookmarkStart w:id="86" w:name="_Toc384340990"/>
      <w:bookmarkEnd w:id="86"/>
      <w:bookmarkStart w:id="87" w:name="_Toc384340926"/>
      <w:bookmarkEnd w:id="87"/>
      <w:bookmarkStart w:id="88" w:name="_Toc384341014"/>
      <w:bookmarkEnd w:id="88"/>
      <w:bookmarkStart w:id="89" w:name="_Toc384341002"/>
      <w:bookmarkEnd w:id="89"/>
      <w:bookmarkStart w:id="90" w:name="_Toc384341010"/>
      <w:bookmarkEnd w:id="90"/>
      <w:bookmarkStart w:id="91" w:name="_Toc384340923"/>
      <w:bookmarkEnd w:id="91"/>
      <w:bookmarkStart w:id="92" w:name="_Toc384340917"/>
      <w:bookmarkEnd w:id="92"/>
      <w:bookmarkStart w:id="93" w:name="_Toc384340920"/>
      <w:bookmarkEnd w:id="93"/>
      <w:bookmarkStart w:id="94" w:name="_Toc384340939"/>
      <w:bookmarkEnd w:id="94"/>
      <w:bookmarkStart w:id="95" w:name="_Toc384340988"/>
      <w:bookmarkEnd w:id="95"/>
      <w:bookmarkStart w:id="96" w:name="_Toc384340928"/>
      <w:bookmarkEnd w:id="96"/>
      <w:bookmarkStart w:id="97" w:name="_Toc384340936"/>
      <w:bookmarkEnd w:id="97"/>
      <w:bookmarkStart w:id="98" w:name="_Toc384340929"/>
      <w:bookmarkEnd w:id="98"/>
      <w:bookmarkStart w:id="99" w:name="_Toc384340993"/>
      <w:bookmarkEnd w:id="99"/>
      <w:bookmarkStart w:id="100" w:name="_Toc384340999"/>
      <w:bookmarkEnd w:id="100"/>
      <w:bookmarkStart w:id="101" w:name="_Toc384340987"/>
      <w:bookmarkEnd w:id="101"/>
      <w:bookmarkStart w:id="102" w:name="_Toc384340937"/>
      <w:bookmarkEnd w:id="102"/>
      <w:bookmarkStart w:id="103" w:name="_Toc384341006"/>
      <w:bookmarkEnd w:id="103"/>
      <w:bookmarkStart w:id="104" w:name="_Toc384340924"/>
      <w:bookmarkEnd w:id="104"/>
      <w:bookmarkStart w:id="105" w:name="_Toc384341013"/>
      <w:bookmarkEnd w:id="105"/>
      <w:bookmarkStart w:id="106" w:name="_Toc384340913"/>
      <w:bookmarkEnd w:id="106"/>
      <w:bookmarkStart w:id="107" w:name="_Toc384340996"/>
      <w:bookmarkEnd w:id="107"/>
      <w:bookmarkStart w:id="108" w:name="_Toc384341001"/>
      <w:bookmarkEnd w:id="108"/>
      <w:bookmarkStart w:id="109" w:name="_Toc384340915"/>
      <w:bookmarkEnd w:id="109"/>
      <w:bookmarkStart w:id="110" w:name="_Toc384340934"/>
      <w:bookmarkEnd w:id="110"/>
      <w:bookmarkStart w:id="111" w:name="_Toc384341012"/>
      <w:bookmarkEnd w:id="111"/>
      <w:bookmarkStart w:id="112" w:name="_Toc384340935"/>
      <w:bookmarkEnd w:id="112"/>
      <w:bookmarkStart w:id="113" w:name="_Toc384340930"/>
      <w:bookmarkEnd w:id="113"/>
      <w:bookmarkStart w:id="114" w:name="_Toc384340925"/>
      <w:bookmarkEnd w:id="114"/>
      <w:bookmarkStart w:id="115" w:name="_Toc384340919"/>
      <w:bookmarkEnd w:id="115"/>
      <w:bookmarkStart w:id="116" w:name="_Toc384340931"/>
      <w:bookmarkEnd w:id="116"/>
      <w:bookmarkStart w:id="117" w:name="_Toc384341009"/>
      <w:bookmarkEnd w:id="117"/>
      <w:bookmarkStart w:id="118" w:name="_Toc384340933"/>
      <w:bookmarkEnd w:id="118"/>
      <w:bookmarkStart w:id="119" w:name="_Toc282993301"/>
      <w:bookmarkStart w:id="120" w:name="_Toc388022579"/>
      <w:bookmarkStart w:id="121" w:name="_Toc279695721"/>
      <w:bookmarkStart w:id="122" w:name="_Toc384341016"/>
      <w:r>
        <w:rPr>
          <w:rFonts w:eastAsia="黑体"/>
          <w:b/>
          <w:color w:val="auto"/>
          <w:sz w:val="21"/>
          <w:szCs w:val="21"/>
          <w:highlight w:val="none"/>
        </w:rPr>
        <w:t>试验</w:t>
      </w:r>
      <w:bookmarkEnd w:id="59"/>
      <w:bookmarkEnd w:id="60"/>
      <w:bookmarkEnd w:id="61"/>
      <w:bookmarkEnd w:id="62"/>
      <w:bookmarkEnd w:id="119"/>
      <w:bookmarkEnd w:id="120"/>
      <w:bookmarkEnd w:id="121"/>
      <w:bookmarkEnd w:id="122"/>
    </w:p>
    <w:p>
      <w:pPr>
        <w:adjustRightInd w:val="0"/>
        <w:snapToGrid w:val="0"/>
        <w:spacing w:line="360" w:lineRule="auto"/>
        <w:ind w:firstLine="420" w:firstLineChars="200"/>
        <w:rPr>
          <w:color w:val="auto"/>
          <w:highlight w:val="none"/>
        </w:rPr>
      </w:pP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hint="eastAsia" w:ascii="宋体" w:hAnsi="宋体" w:eastAsia="宋体"/>
          <w:color w:val="000000"/>
          <w:lang w:val="en-US" w:eastAsia="zh-CN"/>
        </w:rPr>
        <w:t>设备</w:t>
      </w:r>
      <w:r>
        <w:rPr>
          <w:color w:val="auto"/>
          <w:highlight w:val="none"/>
        </w:rPr>
        <w:t>试验应按照本标准和相关标准有关条款进行，并符合下列要求：试验应出具详细记载测试数据的正式试验报告。</w:t>
      </w:r>
    </w:p>
    <w:p>
      <w:pPr>
        <w:adjustRightInd w:val="0"/>
        <w:snapToGrid w:val="0"/>
        <w:spacing w:line="360" w:lineRule="auto"/>
        <w:ind w:firstLine="420" w:firstLineChars="200"/>
        <w:rPr>
          <w:color w:val="auto"/>
          <w:highlight w:val="none"/>
        </w:rPr>
      </w:pPr>
      <w:r>
        <w:rPr>
          <w:color w:val="auto"/>
          <w:highlight w:val="none"/>
        </w:rPr>
        <w:t>运行单位代表有权见证所有试验和要求提供所有试验报告。</w:t>
      </w:r>
    </w:p>
    <w:p>
      <w:pPr>
        <w:pStyle w:val="4"/>
        <w:numPr>
          <w:ilvl w:val="0"/>
          <w:numId w:val="0"/>
        </w:numPr>
        <w:adjustRightInd w:val="0"/>
        <w:snapToGrid w:val="0"/>
        <w:spacing w:line="360" w:lineRule="auto"/>
        <w:rPr>
          <w:color w:val="auto"/>
          <w:highlight w:val="none"/>
        </w:rPr>
      </w:pPr>
      <w:bookmarkStart w:id="123" w:name="_Toc384341017"/>
      <w:bookmarkStart w:id="124" w:name="_Toc16717"/>
      <w:bookmarkStart w:id="125" w:name="_Toc279494181"/>
      <w:bookmarkStart w:id="126" w:name="_Toc282993302"/>
      <w:bookmarkStart w:id="127" w:name="_Toc29156"/>
      <w:bookmarkStart w:id="128" w:name="_Toc17690"/>
      <w:bookmarkStart w:id="129" w:name="_Toc126594091"/>
      <w:bookmarkStart w:id="130" w:name="_Toc279695722"/>
      <w:r>
        <w:rPr>
          <w:rFonts w:hint="eastAsia"/>
          <w:color w:val="auto"/>
          <w:highlight w:val="none"/>
          <w:lang w:val="en-US" w:eastAsia="zh-CN"/>
        </w:rPr>
        <w:t>5</w:t>
      </w:r>
      <w:r>
        <w:rPr>
          <w:color w:val="auto"/>
          <w:highlight w:val="none"/>
        </w:rPr>
        <w:t>.1试验分类</w:t>
      </w:r>
      <w:bookmarkEnd w:id="123"/>
      <w:bookmarkEnd w:id="124"/>
      <w:bookmarkEnd w:id="125"/>
      <w:bookmarkEnd w:id="126"/>
      <w:bookmarkEnd w:id="127"/>
      <w:bookmarkEnd w:id="128"/>
      <w:bookmarkEnd w:id="129"/>
      <w:bookmarkEnd w:id="130"/>
    </w:p>
    <w:p>
      <w:pPr>
        <w:adjustRightInd w:val="0"/>
        <w:snapToGrid w:val="0"/>
        <w:spacing w:line="360" w:lineRule="auto"/>
        <w:ind w:firstLine="420" w:firstLineChars="200"/>
        <w:rPr>
          <w:color w:val="auto"/>
          <w:highlight w:val="none"/>
        </w:rPr>
      </w:pPr>
      <w:r>
        <w:rPr>
          <w:color w:val="auto"/>
          <w:highlight w:val="none"/>
        </w:rPr>
        <w:t>试验类型包括</w:t>
      </w:r>
      <w:r>
        <w:rPr>
          <w:rFonts w:hint="eastAsia"/>
          <w:color w:val="auto"/>
          <w:highlight w:val="none"/>
        </w:rPr>
        <w:t>型式试验、出厂试验、送样试验、</w:t>
      </w:r>
      <w:r>
        <w:rPr>
          <w:rFonts w:hint="eastAsia"/>
          <w:color w:val="auto"/>
          <w:highlight w:val="none"/>
          <w:lang w:val="en-US" w:eastAsia="zh-CN"/>
        </w:rPr>
        <w:t>抽样检验、</w:t>
      </w:r>
      <w:r>
        <w:rPr>
          <w:rFonts w:hint="eastAsia"/>
          <w:color w:val="auto"/>
          <w:highlight w:val="none"/>
        </w:rPr>
        <w:t>交接试验和</w:t>
      </w:r>
      <w:r>
        <w:rPr>
          <w:rFonts w:hint="eastAsia"/>
          <w:color w:val="auto"/>
          <w:highlight w:val="none"/>
          <w:lang w:val="en-US" w:eastAsia="zh-CN"/>
        </w:rPr>
        <w:t>现场试验</w:t>
      </w:r>
      <w:r>
        <w:rPr>
          <w:color w:val="auto"/>
          <w:highlight w:val="none"/>
        </w:rPr>
        <w:t>。</w:t>
      </w:r>
      <w:r>
        <w:rPr>
          <w:rFonts w:hint="eastAsia"/>
          <w:color w:val="auto"/>
          <w:highlight w:val="none"/>
          <w:lang w:val="en-US" w:eastAsia="zh-CN"/>
        </w:rPr>
        <w:t>其中，型式</w:t>
      </w:r>
      <w:r>
        <w:rPr>
          <w:color w:val="auto"/>
          <w:highlight w:val="none"/>
        </w:rPr>
        <w:t>试验是在一套有代表性的</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hint="eastAsia" w:ascii="宋体" w:hAnsi="宋体" w:eastAsia="宋体"/>
          <w:color w:val="000000"/>
          <w:lang w:val="en-US" w:eastAsia="zh-CN"/>
        </w:rPr>
        <w:t>设备</w:t>
      </w:r>
      <w:r>
        <w:rPr>
          <w:color w:val="auto"/>
          <w:highlight w:val="none"/>
        </w:rPr>
        <w:t>上所进行的试验，以证明被代表的</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hint="eastAsia" w:ascii="宋体" w:hAnsi="宋体" w:eastAsia="宋体"/>
          <w:color w:val="000000"/>
          <w:lang w:val="en-US" w:eastAsia="zh-CN"/>
        </w:rPr>
        <w:t>设备</w:t>
      </w:r>
      <w:r>
        <w:rPr>
          <w:color w:val="auto"/>
          <w:highlight w:val="none"/>
        </w:rPr>
        <w:t>符合规定要求。如果</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hint="eastAsia" w:ascii="宋体" w:hAnsi="宋体" w:eastAsia="宋体"/>
          <w:color w:val="000000"/>
          <w:lang w:val="en-US" w:eastAsia="zh-CN"/>
        </w:rPr>
        <w:t>设备</w:t>
      </w:r>
      <w:r>
        <w:rPr>
          <w:color w:val="auto"/>
          <w:highlight w:val="none"/>
        </w:rPr>
        <w:t>在额定值和结构方面完全相同，则认为其中一套可以代表。若一套</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hint="eastAsia" w:ascii="宋体" w:hAnsi="宋体" w:eastAsia="宋体"/>
          <w:color w:val="000000"/>
          <w:lang w:val="en-US" w:eastAsia="zh-CN"/>
        </w:rPr>
        <w:t>设备</w:t>
      </w:r>
      <w:r>
        <w:rPr>
          <w:color w:val="auto"/>
          <w:highlight w:val="none"/>
        </w:rPr>
        <w:t>在额定值或其他特性与其余</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hint="eastAsia" w:ascii="宋体" w:hAnsi="宋体" w:eastAsia="宋体"/>
          <w:color w:val="000000"/>
          <w:lang w:val="en-US" w:eastAsia="zh-CN"/>
        </w:rPr>
        <w:t>设备</w:t>
      </w:r>
      <w:r>
        <w:rPr>
          <w:color w:val="auto"/>
          <w:highlight w:val="none"/>
        </w:rPr>
        <w:t>的差异不大时，对其所做的型式试验也可认为有效，其差异应由制造厂和用户协商确定。制造厂提供的型式试验报告应在有效期内。</w:t>
      </w:r>
    </w:p>
    <w:p>
      <w:pPr>
        <w:pStyle w:val="4"/>
        <w:numPr>
          <w:ilvl w:val="0"/>
          <w:numId w:val="0"/>
        </w:numPr>
        <w:adjustRightInd w:val="0"/>
        <w:snapToGrid w:val="0"/>
        <w:spacing w:line="360" w:lineRule="auto"/>
        <w:rPr>
          <w:color w:val="auto"/>
          <w:highlight w:val="none"/>
        </w:rPr>
      </w:pPr>
      <w:bookmarkStart w:id="131" w:name="_Toc278728930"/>
      <w:bookmarkEnd w:id="131"/>
      <w:bookmarkStart w:id="132" w:name="_Toc279695723"/>
      <w:bookmarkEnd w:id="132"/>
      <w:bookmarkStart w:id="133" w:name="_Toc279695899"/>
      <w:bookmarkEnd w:id="133"/>
      <w:bookmarkStart w:id="134" w:name="_Toc17755"/>
      <w:bookmarkStart w:id="135" w:name="_Toc2375"/>
      <w:bookmarkStart w:id="136" w:name="_Toc470860745"/>
      <w:bookmarkStart w:id="137" w:name="_Toc26649"/>
      <w:bookmarkStart w:id="138" w:name="_Toc126594092"/>
      <w:bookmarkStart w:id="139" w:name="_Toc470595435"/>
      <w:bookmarkStart w:id="140" w:name="_Toc5848"/>
      <w:bookmarkStart w:id="141" w:name="_Toc470522348"/>
      <w:r>
        <w:rPr>
          <w:rFonts w:hint="eastAsia"/>
          <w:color w:val="auto"/>
          <w:highlight w:val="none"/>
          <w:lang w:val="en-US" w:eastAsia="zh-CN"/>
        </w:rPr>
        <w:t>5</w:t>
      </w:r>
      <w:r>
        <w:rPr>
          <w:rFonts w:hint="eastAsia"/>
          <w:color w:val="auto"/>
          <w:highlight w:val="none"/>
        </w:rPr>
        <w:t>.2试验条件</w:t>
      </w:r>
      <w:bookmarkEnd w:id="134"/>
      <w:bookmarkEnd w:id="135"/>
      <w:bookmarkEnd w:id="136"/>
      <w:bookmarkEnd w:id="137"/>
      <w:bookmarkEnd w:id="138"/>
      <w:bookmarkEnd w:id="139"/>
      <w:bookmarkEnd w:id="140"/>
      <w:bookmarkEnd w:id="141"/>
    </w:p>
    <w:p>
      <w:pPr>
        <w:adjustRightInd w:val="0"/>
        <w:snapToGrid w:val="0"/>
        <w:spacing w:line="360" w:lineRule="auto"/>
        <w:ind w:firstLine="420" w:firstLineChars="200"/>
        <w:rPr>
          <w:color w:val="auto"/>
          <w:highlight w:val="none"/>
        </w:rPr>
      </w:pPr>
      <w:r>
        <w:rPr>
          <w:rFonts w:hint="eastAsia"/>
          <w:color w:val="auto"/>
          <w:highlight w:val="none"/>
        </w:rPr>
        <w:t>除另有规定外，各项检验应在如下试验条件下进行：</w:t>
      </w:r>
    </w:p>
    <w:p>
      <w:pPr>
        <w:adjustRightInd w:val="0"/>
        <w:snapToGrid w:val="0"/>
        <w:spacing w:line="360" w:lineRule="auto"/>
        <w:ind w:firstLine="420" w:firstLineChars="200"/>
        <w:rPr>
          <w:color w:val="auto"/>
          <w:highlight w:val="none"/>
        </w:rPr>
      </w:pPr>
      <w:r>
        <w:rPr>
          <w:rFonts w:hint="eastAsia"/>
          <w:color w:val="auto"/>
          <w:highlight w:val="none"/>
        </w:rPr>
        <w:t>1）环境温度：</w:t>
      </w:r>
      <w:r>
        <w:rPr>
          <w:color w:val="auto"/>
          <w:highlight w:val="none"/>
        </w:rPr>
        <w:t>+15</w:t>
      </w:r>
      <w:r>
        <w:rPr>
          <w:rFonts w:hint="eastAsia"/>
          <w:color w:val="auto"/>
          <w:highlight w:val="none"/>
        </w:rPr>
        <w:t>℃～</w:t>
      </w:r>
      <w:r>
        <w:rPr>
          <w:color w:val="auto"/>
          <w:highlight w:val="none"/>
        </w:rPr>
        <w:t>+35</w:t>
      </w:r>
      <w:r>
        <w:rPr>
          <w:rFonts w:hint="eastAsia"/>
          <w:color w:val="auto"/>
          <w:highlight w:val="none"/>
        </w:rPr>
        <w:t>℃；</w:t>
      </w:r>
    </w:p>
    <w:p>
      <w:pPr>
        <w:adjustRightInd w:val="0"/>
        <w:snapToGrid w:val="0"/>
        <w:spacing w:line="360" w:lineRule="auto"/>
        <w:ind w:firstLine="420" w:firstLineChars="200"/>
        <w:rPr>
          <w:color w:val="auto"/>
          <w:highlight w:val="none"/>
        </w:rPr>
      </w:pPr>
      <w:r>
        <w:rPr>
          <w:rFonts w:hint="eastAsia"/>
          <w:color w:val="auto"/>
          <w:highlight w:val="none"/>
        </w:rPr>
        <w:t>2）相对湿度：</w:t>
      </w:r>
      <w:r>
        <w:rPr>
          <w:color w:val="auto"/>
          <w:highlight w:val="none"/>
        </w:rPr>
        <w:t>25%RH</w:t>
      </w:r>
      <w:r>
        <w:rPr>
          <w:rFonts w:hint="eastAsia"/>
          <w:color w:val="auto"/>
          <w:highlight w:val="none"/>
        </w:rPr>
        <w:t>～</w:t>
      </w:r>
      <w:r>
        <w:rPr>
          <w:color w:val="auto"/>
          <w:highlight w:val="none"/>
        </w:rPr>
        <w:t>75%RH</w:t>
      </w:r>
      <w:r>
        <w:rPr>
          <w:rFonts w:hint="eastAsia"/>
          <w:color w:val="auto"/>
          <w:highlight w:val="none"/>
        </w:rPr>
        <w:t>；</w:t>
      </w:r>
    </w:p>
    <w:p>
      <w:pPr>
        <w:adjustRightInd w:val="0"/>
        <w:snapToGrid w:val="0"/>
        <w:spacing w:line="360" w:lineRule="auto"/>
        <w:ind w:firstLine="420" w:firstLineChars="200"/>
        <w:rPr>
          <w:rFonts w:hint="eastAsia"/>
          <w:color w:val="auto"/>
          <w:highlight w:val="none"/>
        </w:rPr>
      </w:pPr>
      <w:r>
        <w:rPr>
          <w:rFonts w:hint="eastAsia"/>
          <w:color w:val="auto"/>
          <w:highlight w:val="none"/>
        </w:rPr>
        <w:t>3）大气压力：</w:t>
      </w:r>
      <w:r>
        <w:rPr>
          <w:color w:val="auto"/>
          <w:highlight w:val="none"/>
        </w:rPr>
        <w:t>550hPa</w:t>
      </w:r>
      <w:r>
        <w:rPr>
          <w:rFonts w:hint="eastAsia"/>
          <w:color w:val="auto"/>
          <w:highlight w:val="none"/>
        </w:rPr>
        <w:t>～</w:t>
      </w:r>
      <w:r>
        <w:rPr>
          <w:color w:val="auto"/>
          <w:highlight w:val="none"/>
        </w:rPr>
        <w:t>1060hPa</w:t>
      </w:r>
      <w:r>
        <w:rPr>
          <w:rFonts w:hint="eastAsia"/>
          <w:color w:val="auto"/>
          <w:highlight w:val="none"/>
        </w:rPr>
        <w:t>。</w:t>
      </w:r>
    </w:p>
    <w:p>
      <w:pPr>
        <w:pStyle w:val="4"/>
        <w:numPr>
          <w:ilvl w:val="0"/>
          <w:numId w:val="0"/>
        </w:numPr>
        <w:adjustRightInd w:val="0"/>
        <w:snapToGrid w:val="0"/>
        <w:spacing w:line="360" w:lineRule="auto"/>
        <w:rPr>
          <w:rFonts w:hint="eastAsia"/>
          <w:color w:val="auto"/>
          <w:highlight w:val="none"/>
        </w:rPr>
      </w:pPr>
      <w:bookmarkStart w:id="142" w:name="_Toc29427"/>
      <w:bookmarkStart w:id="143" w:name="_Toc6013"/>
      <w:bookmarkStart w:id="144" w:name="_Toc126594093"/>
      <w:bookmarkStart w:id="145" w:name="_Toc470595436"/>
      <w:bookmarkStart w:id="146" w:name="_Toc470522349"/>
      <w:bookmarkStart w:id="147" w:name="_Toc13895"/>
      <w:bookmarkStart w:id="148" w:name="_Toc15988"/>
      <w:bookmarkStart w:id="149" w:name="_Toc470860746"/>
      <w:r>
        <w:rPr>
          <w:rFonts w:hint="eastAsia"/>
          <w:color w:val="auto"/>
          <w:highlight w:val="none"/>
          <w:lang w:val="en-US" w:eastAsia="zh-CN"/>
        </w:rPr>
        <w:t>5</w:t>
      </w:r>
      <w:r>
        <w:rPr>
          <w:rFonts w:hint="eastAsia"/>
          <w:color w:val="auto"/>
          <w:highlight w:val="none"/>
        </w:rPr>
        <w:t>.3功能检验</w:t>
      </w:r>
      <w:bookmarkEnd w:id="142"/>
      <w:bookmarkEnd w:id="143"/>
      <w:bookmarkEnd w:id="144"/>
      <w:bookmarkEnd w:id="145"/>
      <w:bookmarkEnd w:id="146"/>
      <w:bookmarkEnd w:id="147"/>
      <w:bookmarkEnd w:id="148"/>
      <w:bookmarkEnd w:id="149"/>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.3.1试验方法</w:t>
      </w:r>
    </w:p>
    <w:p>
      <w:pPr>
        <w:adjustRightInd w:val="0"/>
        <w:snapToGrid w:val="0"/>
        <w:spacing w:line="360" w:lineRule="auto"/>
        <w:ind w:firstLine="420" w:firstLineChars="200"/>
        <w:rPr>
          <w:color w:val="auto"/>
          <w:highlight w:val="none"/>
        </w:rPr>
      </w:pPr>
      <w:r>
        <w:rPr>
          <w:rFonts w:hint="eastAsia"/>
          <w:color w:val="auto"/>
          <w:highlight w:val="none"/>
        </w:rPr>
        <w:t>按照现场配置方式组成</w:t>
      </w:r>
      <w:r>
        <w:rPr>
          <w:rFonts w:hint="eastAsia" w:ascii="宋体" w:hAnsi="宋体"/>
          <w:szCs w:val="21"/>
        </w:rPr>
        <w:t>电缆隧道</w:t>
      </w:r>
      <w:r>
        <w:rPr>
          <w:rFonts w:hint="eastAsia" w:ascii="宋体" w:hAnsi="宋体"/>
          <w:szCs w:val="21"/>
          <w:lang w:val="en-US" w:eastAsia="zh-CN"/>
        </w:rPr>
        <w:t>智能专网</w:t>
      </w:r>
      <w:r>
        <w:rPr>
          <w:rFonts w:hint="eastAsia" w:ascii="宋体" w:hAnsi="宋体"/>
          <w:szCs w:val="21"/>
        </w:rPr>
        <w:t>系统</w:t>
      </w:r>
      <w:r>
        <w:rPr>
          <w:rFonts w:hint="eastAsia"/>
          <w:color w:val="auto"/>
          <w:highlight w:val="none"/>
        </w:rPr>
        <w:t>，给</w:t>
      </w:r>
      <w:r>
        <w:rPr>
          <w:rFonts w:hint="eastAsia"/>
          <w:color w:val="auto"/>
          <w:highlight w:val="none"/>
          <w:lang w:val="en-US" w:eastAsia="zh-CN"/>
        </w:rPr>
        <w:t>系统设备</w:t>
      </w:r>
      <w:r>
        <w:rPr>
          <w:rFonts w:hint="eastAsia"/>
          <w:color w:val="auto"/>
          <w:highlight w:val="none"/>
        </w:rPr>
        <w:t>通电，施加相应信号，分项检测</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是否具备本标准要求的各项功能，应进行以下接口测试：</w:t>
      </w:r>
    </w:p>
    <w:p>
      <w:pPr>
        <w:adjustRightInd w:val="0"/>
        <w:snapToGrid w:val="0"/>
        <w:spacing w:line="360" w:lineRule="auto"/>
        <w:ind w:firstLine="420" w:firstLineChars="200"/>
        <w:rPr>
          <w:color w:val="auto"/>
          <w:highlight w:val="none"/>
        </w:rPr>
      </w:pPr>
      <w:r>
        <w:rPr>
          <w:rFonts w:hint="eastAsia"/>
          <w:color w:val="auto"/>
          <w:highlight w:val="none"/>
        </w:rPr>
        <w:t>1）测试</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的数据输出接口及一致性；</w:t>
      </w:r>
    </w:p>
    <w:p>
      <w:pPr>
        <w:adjustRightInd w:val="0"/>
        <w:snapToGrid w:val="0"/>
        <w:spacing w:line="360" w:lineRule="auto"/>
        <w:ind w:firstLine="420" w:firstLineChars="200"/>
        <w:rPr>
          <w:color w:val="auto"/>
          <w:highlight w:val="none"/>
        </w:rPr>
      </w:pPr>
      <w:r>
        <w:rPr>
          <w:rFonts w:hint="eastAsia"/>
          <w:color w:val="auto"/>
          <w:highlight w:val="none"/>
        </w:rPr>
        <w:t>2）测试</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的查询功能、配置功能及一致性；</w:t>
      </w:r>
    </w:p>
    <w:p>
      <w:pPr>
        <w:adjustRightInd w:val="0"/>
        <w:snapToGrid w:val="0"/>
        <w:spacing w:line="360" w:lineRule="auto"/>
        <w:ind w:firstLine="420" w:firstLineChars="200"/>
        <w:rPr>
          <w:color w:val="auto"/>
          <w:highlight w:val="none"/>
        </w:rPr>
      </w:pPr>
      <w:r>
        <w:rPr>
          <w:rFonts w:hint="eastAsia"/>
          <w:color w:val="auto"/>
          <w:highlight w:val="none"/>
        </w:rPr>
        <w:t>3）测试</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的运行状态</w:t>
      </w:r>
      <w:r>
        <w:rPr>
          <w:rFonts w:hint="eastAsia"/>
          <w:color w:val="auto"/>
          <w:highlight w:val="none"/>
          <w:lang w:eastAsia="zh-CN"/>
        </w:rPr>
        <w:t>专网</w:t>
      </w:r>
      <w:r>
        <w:rPr>
          <w:rFonts w:hint="eastAsia"/>
          <w:color w:val="auto"/>
          <w:highlight w:val="none"/>
        </w:rPr>
        <w:t xml:space="preserve">功能、报警功能及远程升级功能等。 </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.3.2判定准则</w:t>
      </w:r>
    </w:p>
    <w:p>
      <w:pPr>
        <w:adjustRightInd w:val="0"/>
        <w:snapToGrid w:val="0"/>
        <w:spacing w:line="360" w:lineRule="auto"/>
        <w:ind w:firstLine="420" w:firstLineChars="200"/>
        <w:rPr>
          <w:color w:val="auto"/>
          <w:highlight w:val="none"/>
        </w:rPr>
      </w:pPr>
      <w:r>
        <w:rPr>
          <w:rFonts w:hint="eastAsia"/>
          <w:color w:val="auto"/>
          <w:highlight w:val="none"/>
        </w:rPr>
        <w:t>1）</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应具备本标准</w:t>
      </w:r>
      <w:r>
        <w:rPr>
          <w:color w:val="auto"/>
          <w:highlight w:val="none"/>
        </w:rPr>
        <w:t>5</w:t>
      </w:r>
      <w:r>
        <w:rPr>
          <w:rFonts w:hint="eastAsia"/>
          <w:color w:val="auto"/>
          <w:highlight w:val="none"/>
        </w:rPr>
        <w:t>中规定的功能；</w:t>
      </w:r>
    </w:p>
    <w:p>
      <w:pPr>
        <w:adjustRightInd w:val="0"/>
        <w:snapToGrid w:val="0"/>
        <w:spacing w:line="360" w:lineRule="auto"/>
        <w:ind w:firstLine="420" w:firstLineChars="200"/>
        <w:rPr>
          <w:color w:val="auto"/>
          <w:highlight w:val="none"/>
        </w:rPr>
      </w:pPr>
      <w:r>
        <w:rPr>
          <w:rFonts w:hint="eastAsia"/>
          <w:color w:val="auto"/>
          <w:highlight w:val="none"/>
        </w:rPr>
        <w:t>2）应用层数据传输规约应符合《</w:t>
      </w:r>
      <w:r>
        <w:rPr>
          <w:color w:val="auto"/>
          <w:szCs w:val="21"/>
          <w:highlight w:val="none"/>
        </w:rPr>
        <w:t>输电线路在线监测信息交互规范</w:t>
      </w:r>
      <w:r>
        <w:rPr>
          <w:rFonts w:hint="eastAsia"/>
          <w:color w:val="auto"/>
          <w:highlight w:val="none"/>
        </w:rPr>
        <w:t>》要求。</w:t>
      </w:r>
    </w:p>
    <w:p>
      <w:pPr>
        <w:pStyle w:val="4"/>
        <w:numPr>
          <w:ilvl w:val="0"/>
          <w:numId w:val="0"/>
        </w:numPr>
        <w:adjustRightInd w:val="0"/>
        <w:snapToGrid w:val="0"/>
        <w:spacing w:line="360" w:lineRule="auto"/>
        <w:rPr>
          <w:color w:val="auto"/>
          <w:highlight w:val="none"/>
        </w:rPr>
      </w:pPr>
      <w:bookmarkStart w:id="150" w:name="_Toc126594095"/>
      <w:bookmarkStart w:id="151" w:name="_Toc14821"/>
      <w:bookmarkStart w:id="152" w:name="_Toc470860748"/>
      <w:bookmarkStart w:id="153" w:name="_Toc2707"/>
      <w:bookmarkStart w:id="154" w:name="_Toc470595438"/>
      <w:bookmarkStart w:id="155" w:name="_Toc28004"/>
      <w:bookmarkStart w:id="156" w:name="_Toc28653"/>
      <w:bookmarkStart w:id="157" w:name="_Toc470522351"/>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4</w:t>
      </w:r>
      <w:r>
        <w:rPr>
          <w:rFonts w:hint="eastAsia"/>
          <w:color w:val="auto"/>
          <w:highlight w:val="none"/>
        </w:rPr>
        <w:t>绝缘性能试验</w:t>
      </w:r>
      <w:bookmarkEnd w:id="150"/>
      <w:bookmarkEnd w:id="151"/>
      <w:bookmarkEnd w:id="152"/>
      <w:bookmarkEnd w:id="153"/>
      <w:bookmarkEnd w:id="154"/>
      <w:bookmarkEnd w:id="155"/>
      <w:bookmarkEnd w:id="156"/>
      <w:bookmarkEnd w:id="157"/>
    </w:p>
    <w:p>
      <w:pPr>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4</w:t>
      </w:r>
      <w:r>
        <w:rPr>
          <w:rFonts w:hint="eastAsia"/>
          <w:color w:val="auto"/>
          <w:highlight w:val="none"/>
        </w:rPr>
        <w:t>.1</w:t>
      </w:r>
      <w:r>
        <w:rPr>
          <w:rFonts w:hint="eastAsia" w:ascii="黑体" w:hAnsi="黑体" w:eastAsia="黑体" w:cs="黑体"/>
          <w:color w:val="auto"/>
          <w:highlight w:val="none"/>
        </w:rPr>
        <w:t>绝缘电阻试验</w:t>
      </w:r>
    </w:p>
    <w:p>
      <w:pPr>
        <w:adjustRightInd w:val="0"/>
        <w:snapToGrid w:val="0"/>
        <w:spacing w:line="360" w:lineRule="auto"/>
        <w:ind w:firstLine="420" w:firstLineChars="200"/>
        <w:rPr>
          <w:rFonts w:hint="eastAsia"/>
          <w:color w:val="auto"/>
          <w:highlight w:val="none"/>
        </w:rPr>
      </w:pPr>
      <w:r>
        <w:rPr>
          <w:rFonts w:hint="eastAsia"/>
          <w:color w:val="auto"/>
          <w:highlight w:val="none"/>
        </w:rPr>
        <w:t>按“GB/T 7261继电保护和安全自动装置基本试验方法”第12章的规定和方法，进行绝缘电阻试验。</w:t>
      </w:r>
    </w:p>
    <w:p>
      <w:pPr>
        <w:adjustRightInd w:val="0"/>
        <w:snapToGrid w:val="0"/>
        <w:spacing w:line="360" w:lineRule="auto"/>
        <w:ind w:firstLine="420" w:firstLineChars="200"/>
        <w:rPr>
          <w:rFonts w:hint="eastAsia"/>
          <w:color w:val="auto"/>
          <w:highlight w:val="none"/>
        </w:rPr>
      </w:pPr>
      <w:r>
        <w:rPr>
          <w:rFonts w:hint="eastAsia"/>
          <w:color w:val="auto"/>
          <w:highlight w:val="none"/>
        </w:rPr>
        <w:t>湿热条件下的绝缘电阻试验同上，但应在完成湿热试验之后5min内进行。</w:t>
      </w:r>
    </w:p>
    <w:p>
      <w:pPr>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4</w:t>
      </w:r>
      <w:r>
        <w:rPr>
          <w:rFonts w:hint="eastAsia"/>
          <w:color w:val="auto"/>
          <w:highlight w:val="none"/>
        </w:rPr>
        <w:t>.2</w:t>
      </w:r>
      <w:r>
        <w:rPr>
          <w:color w:val="auto"/>
          <w:highlight w:val="none"/>
        </w:rPr>
        <w:t xml:space="preserve"> </w:t>
      </w:r>
      <w:r>
        <w:rPr>
          <w:rFonts w:hint="eastAsia" w:ascii="黑体" w:hAnsi="黑体" w:eastAsia="黑体" w:cs="黑体"/>
          <w:color w:val="auto"/>
          <w:highlight w:val="none"/>
        </w:rPr>
        <w:t>介质强度试验</w:t>
      </w:r>
    </w:p>
    <w:p>
      <w:pPr>
        <w:adjustRightInd w:val="0"/>
        <w:snapToGrid w:val="0"/>
        <w:spacing w:line="360" w:lineRule="auto"/>
        <w:ind w:firstLine="420" w:firstLineChars="200"/>
        <w:rPr>
          <w:rFonts w:hint="eastAsia"/>
          <w:color w:val="auto"/>
          <w:highlight w:val="none"/>
        </w:rPr>
      </w:pPr>
      <w:r>
        <w:rPr>
          <w:rFonts w:hint="eastAsia"/>
          <w:color w:val="auto"/>
          <w:highlight w:val="none"/>
        </w:rPr>
        <w:t>按“GB/T 7261继电保护和安全自动装置基本试验方法”第12章的规定和方法，进行介质强度试验。</w:t>
      </w:r>
    </w:p>
    <w:p>
      <w:pPr>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4</w:t>
      </w:r>
      <w:r>
        <w:rPr>
          <w:rFonts w:hint="eastAsia"/>
          <w:color w:val="auto"/>
          <w:highlight w:val="none"/>
        </w:rPr>
        <w:t>.3</w:t>
      </w:r>
      <w:r>
        <w:rPr>
          <w:color w:val="auto"/>
          <w:highlight w:val="none"/>
        </w:rPr>
        <w:t xml:space="preserve"> </w:t>
      </w:r>
      <w:r>
        <w:rPr>
          <w:rFonts w:hint="eastAsia" w:ascii="黑体" w:hAnsi="黑体" w:eastAsia="黑体" w:cs="黑体"/>
          <w:color w:val="auto"/>
          <w:highlight w:val="none"/>
        </w:rPr>
        <w:t>冲击电压试验</w:t>
      </w:r>
    </w:p>
    <w:p>
      <w:pPr>
        <w:adjustRightInd w:val="0"/>
        <w:snapToGrid w:val="0"/>
        <w:spacing w:line="360" w:lineRule="auto"/>
        <w:ind w:firstLine="420" w:firstLineChars="200"/>
        <w:rPr>
          <w:color w:val="auto"/>
          <w:highlight w:val="none"/>
        </w:rPr>
      </w:pPr>
      <w:r>
        <w:rPr>
          <w:rFonts w:hint="eastAsia"/>
          <w:color w:val="auto"/>
          <w:highlight w:val="none"/>
        </w:rPr>
        <w:t>按“GB/T 7261继电保护和安全自动装置基本试验方法”第12章的规定和方法，进行冲击电压试验。</w:t>
      </w:r>
    </w:p>
    <w:p>
      <w:pPr>
        <w:pStyle w:val="4"/>
        <w:numPr>
          <w:ilvl w:val="0"/>
          <w:numId w:val="0"/>
        </w:numPr>
        <w:adjustRightInd w:val="0"/>
        <w:snapToGrid w:val="0"/>
        <w:spacing w:line="360" w:lineRule="auto"/>
        <w:rPr>
          <w:color w:val="auto"/>
          <w:highlight w:val="none"/>
        </w:rPr>
      </w:pPr>
      <w:bookmarkStart w:id="158" w:name="_Toc470522352"/>
      <w:bookmarkStart w:id="159" w:name="_Toc126594096"/>
      <w:bookmarkStart w:id="160" w:name="_Toc32289"/>
      <w:bookmarkStart w:id="161" w:name="_Toc11917"/>
      <w:bookmarkStart w:id="162" w:name="_Toc20475"/>
      <w:bookmarkStart w:id="163" w:name="_Toc17917"/>
      <w:bookmarkStart w:id="164" w:name="_Toc470860749"/>
      <w:bookmarkStart w:id="165" w:name="_Toc470595439"/>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电磁兼容试验</w:t>
      </w:r>
      <w:bookmarkEnd w:id="158"/>
      <w:bookmarkEnd w:id="159"/>
      <w:bookmarkEnd w:id="160"/>
      <w:bookmarkEnd w:id="161"/>
      <w:bookmarkEnd w:id="162"/>
      <w:bookmarkEnd w:id="163"/>
      <w:bookmarkEnd w:id="164"/>
      <w:bookmarkEnd w:id="165"/>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.1</w:t>
      </w:r>
      <w:r>
        <w:rPr>
          <w:color w:val="auto"/>
          <w:highlight w:val="none"/>
        </w:rPr>
        <w:t>静电放电抗扰度试验</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.1.1</w:t>
      </w:r>
      <w:r>
        <w:rPr>
          <w:color w:val="auto"/>
          <w:highlight w:val="none"/>
        </w:rPr>
        <w:t>试验方法</w:t>
      </w:r>
    </w:p>
    <w:p>
      <w:pPr>
        <w:adjustRightInd w:val="0"/>
        <w:snapToGrid w:val="0"/>
        <w:spacing w:line="360" w:lineRule="auto"/>
        <w:ind w:firstLine="420" w:firstLineChars="200"/>
        <w:rPr>
          <w:color w:val="auto"/>
          <w:highlight w:val="none"/>
        </w:rPr>
      </w:pPr>
      <w:r>
        <w:rPr>
          <w:rFonts w:hint="eastAsia"/>
          <w:color w:val="auto"/>
          <w:highlight w:val="none"/>
        </w:rPr>
        <w:t>按照</w:t>
      </w:r>
      <w:r>
        <w:rPr>
          <w:color w:val="auto"/>
          <w:highlight w:val="none"/>
        </w:rPr>
        <w:t>GB/T 17626.2</w:t>
      </w:r>
      <w:r>
        <w:rPr>
          <w:rFonts w:hint="eastAsia"/>
          <w:color w:val="auto"/>
          <w:highlight w:val="none"/>
        </w:rPr>
        <w:t>中规定的试验方法和要求，在下述条件下进行试验：</w:t>
      </w:r>
    </w:p>
    <w:p>
      <w:pPr>
        <w:adjustRightInd w:val="0"/>
        <w:snapToGrid w:val="0"/>
        <w:spacing w:line="360" w:lineRule="auto"/>
        <w:ind w:firstLine="420" w:firstLineChars="200"/>
        <w:rPr>
          <w:color w:val="auto"/>
          <w:highlight w:val="none"/>
        </w:rPr>
      </w:pPr>
      <w:r>
        <w:rPr>
          <w:rFonts w:hint="eastAsia"/>
          <w:color w:val="auto"/>
          <w:highlight w:val="none"/>
        </w:rPr>
        <w:t>1）</w:t>
      </w:r>
      <w:r>
        <w:rPr>
          <w:rFonts w:hint="eastAsia"/>
          <w:color w:val="auto"/>
          <w:highlight w:val="none"/>
          <w:lang w:eastAsia="zh-CN"/>
        </w:rPr>
        <w:t>专网</w:t>
      </w:r>
      <w:r>
        <w:rPr>
          <w:rFonts w:hint="eastAsia"/>
          <w:color w:val="auto"/>
          <w:highlight w:val="none"/>
          <w:lang w:val="en-US" w:eastAsia="zh-CN"/>
        </w:rPr>
        <w:t>设备</w:t>
      </w:r>
      <w:r>
        <w:rPr>
          <w:color w:val="auto"/>
          <w:highlight w:val="none"/>
        </w:rPr>
        <w:t>处于正常工作状态；</w:t>
      </w:r>
    </w:p>
    <w:p>
      <w:pPr>
        <w:adjustRightInd w:val="0"/>
        <w:snapToGrid w:val="0"/>
        <w:spacing w:line="360" w:lineRule="auto"/>
        <w:ind w:firstLine="420" w:firstLineChars="200"/>
        <w:rPr>
          <w:color w:val="auto"/>
          <w:highlight w:val="none"/>
        </w:rPr>
      </w:pPr>
      <w:r>
        <w:rPr>
          <w:rFonts w:hint="eastAsia"/>
          <w:color w:val="auto"/>
          <w:highlight w:val="none"/>
        </w:rPr>
        <w:t>2）</w:t>
      </w:r>
      <w:r>
        <w:rPr>
          <w:color w:val="auto"/>
          <w:highlight w:val="none"/>
        </w:rPr>
        <w:t>接触放电；</w:t>
      </w:r>
    </w:p>
    <w:p>
      <w:pPr>
        <w:adjustRightInd w:val="0"/>
        <w:snapToGrid w:val="0"/>
        <w:spacing w:line="360" w:lineRule="auto"/>
        <w:ind w:firstLine="420" w:firstLineChars="200"/>
        <w:rPr>
          <w:color w:val="auto"/>
          <w:highlight w:val="none"/>
        </w:rPr>
      </w:pPr>
      <w:r>
        <w:rPr>
          <w:rFonts w:hint="eastAsia"/>
          <w:color w:val="auto"/>
          <w:highlight w:val="none"/>
        </w:rPr>
        <w:t>3）</w:t>
      </w:r>
      <w:r>
        <w:rPr>
          <w:color w:val="auto"/>
          <w:highlight w:val="none"/>
        </w:rPr>
        <w:t>在外壳和工作人员经常可能触及的部位；</w:t>
      </w:r>
    </w:p>
    <w:p>
      <w:pPr>
        <w:adjustRightInd w:val="0"/>
        <w:snapToGrid w:val="0"/>
        <w:spacing w:line="360" w:lineRule="auto"/>
        <w:ind w:firstLine="420" w:firstLineChars="200"/>
        <w:rPr>
          <w:color w:val="auto"/>
          <w:highlight w:val="none"/>
        </w:rPr>
      </w:pPr>
      <w:r>
        <w:rPr>
          <w:rFonts w:hint="eastAsia"/>
          <w:color w:val="auto"/>
          <w:highlight w:val="none"/>
        </w:rPr>
        <w:t>4）</w:t>
      </w:r>
      <w:r>
        <w:rPr>
          <w:color w:val="auto"/>
          <w:highlight w:val="none"/>
        </w:rPr>
        <w:t>试验电压：</w:t>
      </w:r>
      <w:r>
        <w:rPr>
          <w:rFonts w:hint="eastAsia"/>
          <w:color w:val="auto"/>
          <w:highlight w:val="none"/>
        </w:rPr>
        <w:t>接触放电</w:t>
      </w:r>
      <w:r>
        <w:rPr>
          <w:color w:val="auto"/>
          <w:highlight w:val="none"/>
        </w:rPr>
        <w:t>8kV</w:t>
      </w:r>
      <w:r>
        <w:rPr>
          <w:rFonts w:hint="eastAsia"/>
          <w:color w:val="auto"/>
          <w:highlight w:val="none"/>
        </w:rPr>
        <w:t>，空气放电1</w:t>
      </w:r>
      <w:r>
        <w:rPr>
          <w:color w:val="auto"/>
          <w:highlight w:val="none"/>
        </w:rPr>
        <w:t>5</w:t>
      </w:r>
      <w:r>
        <w:rPr>
          <w:rFonts w:hint="eastAsia"/>
          <w:color w:val="auto"/>
          <w:highlight w:val="none"/>
        </w:rPr>
        <w:t>kV</w:t>
      </w:r>
      <w:r>
        <w:rPr>
          <w:color w:val="auto"/>
          <w:highlight w:val="none"/>
        </w:rPr>
        <w:t>；</w:t>
      </w:r>
    </w:p>
    <w:p>
      <w:pPr>
        <w:adjustRightInd w:val="0"/>
        <w:snapToGrid w:val="0"/>
        <w:spacing w:line="360" w:lineRule="auto"/>
        <w:ind w:firstLine="420" w:firstLineChars="200"/>
        <w:rPr>
          <w:color w:val="auto"/>
          <w:highlight w:val="none"/>
        </w:rPr>
      </w:pPr>
      <w:r>
        <w:rPr>
          <w:rFonts w:hint="eastAsia"/>
          <w:color w:val="auto"/>
          <w:highlight w:val="none"/>
        </w:rPr>
        <w:t>5）</w:t>
      </w:r>
      <w:r>
        <w:rPr>
          <w:color w:val="auto"/>
          <w:highlight w:val="none"/>
        </w:rPr>
        <w:t>正负极性放电各10次，每次放电间隔至少1s。</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.1.2判定准则</w:t>
      </w:r>
    </w:p>
    <w:p>
      <w:pPr>
        <w:adjustRightInd w:val="0"/>
        <w:snapToGrid w:val="0"/>
        <w:spacing w:line="360" w:lineRule="auto"/>
        <w:ind w:firstLine="420" w:firstLineChars="200"/>
        <w:rPr>
          <w:color w:val="auto"/>
          <w:highlight w:val="none"/>
        </w:rPr>
      </w:pPr>
      <w:r>
        <w:rPr>
          <w:rFonts w:hint="eastAsia"/>
          <w:color w:val="auto"/>
          <w:highlight w:val="none"/>
        </w:rPr>
        <w:t>在试验期间及试验后，</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的功能和性能应达到</w:t>
      </w:r>
      <w:r>
        <w:rPr>
          <w:color w:val="auto"/>
          <w:highlight w:val="none"/>
        </w:rPr>
        <w:t>GB/T 17626.2</w:t>
      </w:r>
      <w:r>
        <w:rPr>
          <w:rFonts w:hint="eastAsia"/>
          <w:color w:val="auto"/>
          <w:highlight w:val="none"/>
        </w:rPr>
        <w:t>中规定的a级要求。</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2</w:t>
      </w:r>
      <w:r>
        <w:rPr>
          <w:rFonts w:hint="eastAsia"/>
          <w:color w:val="auto"/>
          <w:highlight w:val="none"/>
        </w:rPr>
        <w:t>电快速瞬变脉冲群抗扰度试验</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2</w:t>
      </w:r>
      <w:r>
        <w:rPr>
          <w:rFonts w:hint="eastAsia"/>
          <w:color w:val="auto"/>
          <w:highlight w:val="none"/>
        </w:rPr>
        <w:t>.1</w:t>
      </w:r>
      <w:r>
        <w:rPr>
          <w:color w:val="auto"/>
          <w:highlight w:val="none"/>
        </w:rPr>
        <w:t>试验方法</w:t>
      </w:r>
    </w:p>
    <w:p>
      <w:pPr>
        <w:adjustRightInd w:val="0"/>
        <w:snapToGrid w:val="0"/>
        <w:spacing w:line="360" w:lineRule="auto"/>
        <w:ind w:firstLine="420" w:firstLineChars="200"/>
        <w:rPr>
          <w:color w:val="auto"/>
          <w:highlight w:val="none"/>
        </w:rPr>
      </w:pPr>
      <w:r>
        <w:rPr>
          <w:rFonts w:hint="eastAsia"/>
          <w:color w:val="auto"/>
          <w:highlight w:val="none"/>
        </w:rPr>
        <w:t>按照</w:t>
      </w:r>
      <w:r>
        <w:rPr>
          <w:color w:val="auto"/>
          <w:highlight w:val="none"/>
        </w:rPr>
        <w:t>GB/T 17626.4</w:t>
      </w:r>
      <w:r>
        <w:rPr>
          <w:rFonts w:hint="eastAsia"/>
          <w:color w:val="auto"/>
          <w:highlight w:val="none"/>
        </w:rPr>
        <w:t>中规定的试验方法和要求，在下述条件下进行试验：</w:t>
      </w:r>
    </w:p>
    <w:p>
      <w:pPr>
        <w:adjustRightInd w:val="0"/>
        <w:snapToGrid w:val="0"/>
        <w:spacing w:line="360" w:lineRule="auto"/>
        <w:ind w:firstLine="420" w:firstLineChars="200"/>
        <w:rPr>
          <w:color w:val="auto"/>
          <w:highlight w:val="none"/>
        </w:rPr>
      </w:pPr>
      <w:r>
        <w:rPr>
          <w:rFonts w:hint="eastAsia"/>
          <w:color w:val="auto"/>
          <w:highlight w:val="none"/>
        </w:rPr>
        <w:t>1）</w:t>
      </w:r>
      <w:r>
        <w:rPr>
          <w:rFonts w:hint="eastAsia"/>
          <w:color w:val="auto"/>
          <w:highlight w:val="none"/>
          <w:lang w:eastAsia="zh-CN"/>
        </w:rPr>
        <w:t>专网</w:t>
      </w:r>
      <w:r>
        <w:rPr>
          <w:rFonts w:hint="eastAsia"/>
          <w:color w:val="auto"/>
          <w:highlight w:val="none"/>
          <w:lang w:val="en-US" w:eastAsia="zh-CN"/>
        </w:rPr>
        <w:t>设备</w:t>
      </w:r>
      <w:r>
        <w:rPr>
          <w:color w:val="auto"/>
          <w:highlight w:val="none"/>
        </w:rPr>
        <w:t>处于正常工作状态；</w:t>
      </w:r>
    </w:p>
    <w:p>
      <w:pPr>
        <w:adjustRightInd w:val="0"/>
        <w:snapToGrid w:val="0"/>
        <w:spacing w:line="360" w:lineRule="auto"/>
        <w:ind w:firstLine="420" w:firstLineChars="200"/>
        <w:rPr>
          <w:color w:val="auto"/>
          <w:highlight w:val="none"/>
        </w:rPr>
      </w:pPr>
      <w:r>
        <w:rPr>
          <w:rFonts w:hint="eastAsia"/>
          <w:color w:val="auto"/>
          <w:highlight w:val="none"/>
        </w:rPr>
        <w:t>2）</w:t>
      </w:r>
      <w:r>
        <w:rPr>
          <w:color w:val="auto"/>
          <w:highlight w:val="none"/>
        </w:rPr>
        <w:t>对供电电源端口、保护接地，试验电压为4kV；对输入/输出信号、数据和控制端口，试验电压为2kV；</w:t>
      </w:r>
    </w:p>
    <w:p>
      <w:pPr>
        <w:adjustRightInd w:val="0"/>
        <w:snapToGrid w:val="0"/>
        <w:spacing w:line="360" w:lineRule="auto"/>
        <w:ind w:firstLine="420" w:firstLineChars="200"/>
        <w:rPr>
          <w:color w:val="auto"/>
          <w:highlight w:val="none"/>
        </w:rPr>
      </w:pPr>
      <w:r>
        <w:rPr>
          <w:rFonts w:hint="eastAsia"/>
          <w:color w:val="auto"/>
          <w:highlight w:val="none"/>
        </w:rPr>
        <w:t>3）</w:t>
      </w:r>
      <w:r>
        <w:rPr>
          <w:color w:val="auto"/>
          <w:highlight w:val="none"/>
        </w:rPr>
        <w:t>重复频率：</w:t>
      </w:r>
      <w:r>
        <w:rPr>
          <w:rFonts w:hint="eastAsia"/>
          <w:color w:val="auto"/>
          <w:highlight w:val="none"/>
        </w:rPr>
        <w:t>5kH</w:t>
      </w:r>
      <w:r>
        <w:rPr>
          <w:color w:val="auto"/>
          <w:highlight w:val="none"/>
        </w:rPr>
        <w:t>z</w:t>
      </w:r>
      <w:r>
        <w:rPr>
          <w:rFonts w:hint="eastAsia"/>
          <w:color w:val="auto"/>
          <w:highlight w:val="none"/>
        </w:rPr>
        <w:t>，</w:t>
      </w:r>
      <w:r>
        <w:rPr>
          <w:color w:val="auto"/>
          <w:highlight w:val="none"/>
        </w:rPr>
        <w:t>100kHz；</w:t>
      </w:r>
    </w:p>
    <w:p>
      <w:pPr>
        <w:adjustRightInd w:val="0"/>
        <w:snapToGrid w:val="0"/>
        <w:spacing w:line="360" w:lineRule="auto"/>
        <w:ind w:firstLine="420" w:firstLineChars="200"/>
        <w:rPr>
          <w:color w:val="auto"/>
          <w:highlight w:val="none"/>
        </w:rPr>
      </w:pPr>
      <w:r>
        <w:rPr>
          <w:rFonts w:hint="eastAsia"/>
          <w:color w:val="auto"/>
          <w:highlight w:val="none"/>
        </w:rPr>
        <w:t>4）</w:t>
      </w:r>
      <w:r>
        <w:rPr>
          <w:color w:val="auto"/>
          <w:highlight w:val="none"/>
        </w:rPr>
        <w:t>试验时间：1min；</w:t>
      </w:r>
    </w:p>
    <w:p>
      <w:pPr>
        <w:adjustRightInd w:val="0"/>
        <w:snapToGrid w:val="0"/>
        <w:spacing w:line="360" w:lineRule="auto"/>
        <w:ind w:firstLine="420" w:firstLineChars="200"/>
        <w:rPr>
          <w:color w:val="auto"/>
          <w:highlight w:val="none"/>
        </w:rPr>
      </w:pPr>
      <w:r>
        <w:rPr>
          <w:rFonts w:hint="eastAsia"/>
          <w:color w:val="auto"/>
          <w:highlight w:val="none"/>
        </w:rPr>
        <w:t>2）</w:t>
      </w:r>
      <w:r>
        <w:rPr>
          <w:color w:val="auto"/>
          <w:highlight w:val="none"/>
        </w:rPr>
        <w:t>施加试验电压次数：正负极性各3次。</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2</w:t>
      </w:r>
      <w:r>
        <w:rPr>
          <w:rFonts w:hint="eastAsia"/>
          <w:color w:val="auto"/>
          <w:highlight w:val="none"/>
        </w:rPr>
        <w:t>.2判定准则</w:t>
      </w:r>
    </w:p>
    <w:p>
      <w:pPr>
        <w:adjustRightInd w:val="0"/>
        <w:snapToGrid w:val="0"/>
        <w:spacing w:line="360" w:lineRule="auto"/>
        <w:ind w:firstLine="420" w:firstLineChars="200"/>
        <w:rPr>
          <w:color w:val="auto"/>
          <w:highlight w:val="none"/>
        </w:rPr>
      </w:pPr>
      <w:r>
        <w:rPr>
          <w:rFonts w:hint="eastAsia"/>
          <w:color w:val="auto"/>
          <w:highlight w:val="none"/>
        </w:rPr>
        <w:t>在试验期间及试验后，</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的功能和性能应达到</w:t>
      </w:r>
      <w:r>
        <w:rPr>
          <w:color w:val="auto"/>
          <w:highlight w:val="none"/>
        </w:rPr>
        <w:t>GB/T 17626.4</w:t>
      </w:r>
      <w:r>
        <w:rPr>
          <w:rFonts w:hint="eastAsia"/>
          <w:color w:val="auto"/>
          <w:highlight w:val="none"/>
        </w:rPr>
        <w:t>中规定的</w:t>
      </w:r>
      <w:r>
        <w:rPr>
          <w:color w:val="auto"/>
          <w:highlight w:val="none"/>
        </w:rPr>
        <w:t>a</w:t>
      </w:r>
      <w:r>
        <w:rPr>
          <w:rFonts w:hint="eastAsia"/>
          <w:color w:val="auto"/>
          <w:highlight w:val="none"/>
        </w:rPr>
        <w:t>级要求。</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3</w:t>
      </w:r>
      <w:r>
        <w:rPr>
          <w:rFonts w:hint="eastAsia"/>
          <w:color w:val="auto"/>
          <w:highlight w:val="none"/>
        </w:rPr>
        <w:t>浪涌</w:t>
      </w:r>
      <w:r>
        <w:rPr>
          <w:color w:val="auto"/>
          <w:highlight w:val="none"/>
        </w:rPr>
        <w:t>(冲击)抗扰度</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3</w:t>
      </w:r>
      <w:r>
        <w:rPr>
          <w:rFonts w:hint="eastAsia"/>
          <w:color w:val="auto"/>
          <w:highlight w:val="none"/>
        </w:rPr>
        <w:t>.1试验方法</w:t>
      </w:r>
    </w:p>
    <w:p>
      <w:pPr>
        <w:adjustRightInd w:val="0"/>
        <w:snapToGrid w:val="0"/>
        <w:spacing w:line="360" w:lineRule="auto"/>
        <w:ind w:firstLine="420" w:firstLineChars="200"/>
        <w:rPr>
          <w:color w:val="auto"/>
          <w:highlight w:val="none"/>
        </w:rPr>
      </w:pPr>
      <w:r>
        <w:rPr>
          <w:rFonts w:hint="eastAsia"/>
          <w:color w:val="auto"/>
          <w:highlight w:val="none"/>
        </w:rPr>
        <w:t>按照</w:t>
      </w:r>
      <w:r>
        <w:rPr>
          <w:color w:val="auto"/>
          <w:highlight w:val="none"/>
        </w:rPr>
        <w:t>GB/T 17626.5</w:t>
      </w:r>
      <w:r>
        <w:rPr>
          <w:rFonts w:hint="eastAsia"/>
          <w:color w:val="auto"/>
          <w:highlight w:val="none"/>
        </w:rPr>
        <w:t>中规定的试验方法和要求，在下述条件下进行试验：</w:t>
      </w:r>
    </w:p>
    <w:p>
      <w:pPr>
        <w:adjustRightInd w:val="0"/>
        <w:snapToGrid w:val="0"/>
        <w:spacing w:line="360" w:lineRule="auto"/>
        <w:ind w:firstLine="420" w:firstLineChars="200"/>
        <w:rPr>
          <w:color w:val="auto"/>
          <w:highlight w:val="none"/>
        </w:rPr>
      </w:pPr>
      <w:r>
        <w:rPr>
          <w:rFonts w:hint="eastAsia"/>
          <w:color w:val="auto"/>
          <w:highlight w:val="none"/>
        </w:rPr>
        <w:t>1）</w:t>
      </w:r>
      <w:r>
        <w:rPr>
          <w:rFonts w:hint="eastAsia"/>
          <w:color w:val="auto"/>
          <w:highlight w:val="none"/>
          <w:lang w:eastAsia="zh-CN"/>
        </w:rPr>
        <w:t>专网</w:t>
      </w:r>
      <w:r>
        <w:rPr>
          <w:rFonts w:hint="eastAsia"/>
          <w:color w:val="auto"/>
          <w:highlight w:val="none"/>
          <w:lang w:val="en-US" w:eastAsia="zh-CN"/>
        </w:rPr>
        <w:t>设备</w:t>
      </w:r>
      <w:r>
        <w:rPr>
          <w:color w:val="auto"/>
          <w:highlight w:val="none"/>
        </w:rPr>
        <w:t>处于正常工作状态；</w:t>
      </w:r>
    </w:p>
    <w:p>
      <w:pPr>
        <w:adjustRightInd w:val="0"/>
        <w:snapToGrid w:val="0"/>
        <w:spacing w:line="360" w:lineRule="auto"/>
        <w:ind w:firstLine="420" w:firstLineChars="200"/>
        <w:rPr>
          <w:color w:val="auto"/>
          <w:highlight w:val="none"/>
        </w:rPr>
      </w:pPr>
      <w:r>
        <w:rPr>
          <w:rFonts w:hint="eastAsia"/>
          <w:color w:val="auto"/>
          <w:highlight w:val="none"/>
        </w:rPr>
        <w:t>2）</w:t>
      </w:r>
      <w:r>
        <w:rPr>
          <w:color w:val="auto"/>
          <w:highlight w:val="none"/>
        </w:rPr>
        <w:t>试验电压：4kV</w:t>
      </w:r>
      <w:r>
        <w:rPr>
          <w:rFonts w:hint="eastAsia"/>
          <w:color w:val="auto"/>
          <w:highlight w:val="none"/>
        </w:rPr>
        <w:t>，2kV；</w:t>
      </w:r>
    </w:p>
    <w:p>
      <w:pPr>
        <w:adjustRightInd w:val="0"/>
        <w:snapToGrid w:val="0"/>
        <w:spacing w:line="360" w:lineRule="auto"/>
        <w:ind w:firstLine="420" w:firstLineChars="200"/>
        <w:rPr>
          <w:color w:val="auto"/>
          <w:highlight w:val="none"/>
        </w:rPr>
      </w:pPr>
      <w:r>
        <w:rPr>
          <w:color w:val="auto"/>
          <w:highlight w:val="none"/>
        </w:rPr>
        <w:t>3</w:t>
      </w:r>
      <w:r>
        <w:rPr>
          <w:rFonts w:hint="eastAsia"/>
          <w:color w:val="auto"/>
          <w:highlight w:val="none"/>
        </w:rPr>
        <w:t>）试验时间：1min；</w:t>
      </w:r>
    </w:p>
    <w:p>
      <w:pPr>
        <w:adjustRightInd w:val="0"/>
        <w:snapToGrid w:val="0"/>
        <w:spacing w:line="360" w:lineRule="auto"/>
        <w:ind w:firstLine="420" w:firstLineChars="200"/>
        <w:rPr>
          <w:color w:val="auto"/>
          <w:highlight w:val="none"/>
        </w:rPr>
      </w:pPr>
      <w:r>
        <w:rPr>
          <w:rFonts w:hint="eastAsia"/>
          <w:color w:val="auto"/>
          <w:highlight w:val="none"/>
        </w:rPr>
        <w:t>4）施加试验电压次数：正负极性各5次</w:t>
      </w:r>
      <w:r>
        <w:rPr>
          <w:color w:val="auto"/>
          <w:highlight w:val="none"/>
        </w:rPr>
        <w:t>。</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3.</w:t>
      </w:r>
      <w:r>
        <w:rPr>
          <w:rFonts w:hint="eastAsia"/>
          <w:color w:val="auto"/>
          <w:highlight w:val="none"/>
        </w:rPr>
        <w:t>2判定准则</w:t>
      </w:r>
    </w:p>
    <w:p>
      <w:pPr>
        <w:adjustRightInd w:val="0"/>
        <w:snapToGrid w:val="0"/>
        <w:spacing w:line="360" w:lineRule="auto"/>
        <w:ind w:firstLine="420" w:firstLineChars="200"/>
        <w:rPr>
          <w:color w:val="auto"/>
          <w:highlight w:val="none"/>
        </w:rPr>
      </w:pPr>
      <w:r>
        <w:rPr>
          <w:rFonts w:hint="eastAsia"/>
          <w:color w:val="auto"/>
          <w:highlight w:val="none"/>
        </w:rPr>
        <w:t>在试验期间及试验后，</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的功能和性能应达到</w:t>
      </w:r>
      <w:r>
        <w:rPr>
          <w:color w:val="auto"/>
          <w:highlight w:val="none"/>
        </w:rPr>
        <w:t>GB/T 17626.5</w:t>
      </w:r>
      <w:r>
        <w:rPr>
          <w:rFonts w:hint="eastAsia"/>
          <w:color w:val="auto"/>
          <w:highlight w:val="none"/>
        </w:rPr>
        <w:t>中规定的</w:t>
      </w:r>
      <w:r>
        <w:rPr>
          <w:color w:val="auto"/>
          <w:highlight w:val="none"/>
        </w:rPr>
        <w:t>a</w:t>
      </w:r>
      <w:r>
        <w:rPr>
          <w:rFonts w:hint="eastAsia"/>
          <w:color w:val="auto"/>
          <w:highlight w:val="none"/>
        </w:rPr>
        <w:t>级要求。</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4</w:t>
      </w:r>
      <w:r>
        <w:rPr>
          <w:color w:val="auto"/>
          <w:highlight w:val="none"/>
        </w:rPr>
        <w:t>工频磁场抗扰度试验</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4</w:t>
      </w:r>
      <w:r>
        <w:rPr>
          <w:rFonts w:hint="eastAsia"/>
          <w:color w:val="auto"/>
          <w:highlight w:val="none"/>
        </w:rPr>
        <w:t>.1试验方法</w:t>
      </w:r>
    </w:p>
    <w:p>
      <w:pPr>
        <w:adjustRightInd w:val="0"/>
        <w:snapToGrid w:val="0"/>
        <w:spacing w:line="360" w:lineRule="auto"/>
        <w:ind w:firstLine="420" w:firstLineChars="200"/>
        <w:rPr>
          <w:color w:val="auto"/>
          <w:highlight w:val="none"/>
        </w:rPr>
      </w:pPr>
      <w:r>
        <w:rPr>
          <w:rFonts w:hint="eastAsia"/>
          <w:color w:val="auto"/>
          <w:highlight w:val="none"/>
        </w:rPr>
        <w:t>按照</w:t>
      </w:r>
      <w:r>
        <w:rPr>
          <w:color w:val="auto"/>
          <w:highlight w:val="none"/>
        </w:rPr>
        <w:t>GB/T 17626.8</w:t>
      </w:r>
      <w:r>
        <w:rPr>
          <w:rFonts w:hint="eastAsia"/>
          <w:color w:val="auto"/>
          <w:highlight w:val="none"/>
        </w:rPr>
        <w:t>中规定的试验方法和要求，在下述条件下进行试验：</w:t>
      </w:r>
    </w:p>
    <w:p>
      <w:pPr>
        <w:adjustRightInd w:val="0"/>
        <w:snapToGrid w:val="0"/>
        <w:spacing w:line="360" w:lineRule="auto"/>
        <w:ind w:firstLine="420" w:firstLineChars="200"/>
        <w:rPr>
          <w:color w:val="auto"/>
          <w:highlight w:val="none"/>
        </w:rPr>
      </w:pPr>
      <w:r>
        <w:rPr>
          <w:rFonts w:hint="eastAsia"/>
          <w:color w:val="auto"/>
          <w:highlight w:val="none"/>
        </w:rPr>
        <w:t>1）</w:t>
      </w:r>
      <w:r>
        <w:rPr>
          <w:rFonts w:hint="eastAsia"/>
          <w:color w:val="auto"/>
          <w:highlight w:val="none"/>
          <w:lang w:eastAsia="zh-CN"/>
        </w:rPr>
        <w:t>专网</w:t>
      </w:r>
      <w:r>
        <w:rPr>
          <w:rFonts w:hint="eastAsia"/>
          <w:color w:val="auto"/>
          <w:highlight w:val="none"/>
          <w:lang w:val="en-US" w:eastAsia="zh-CN"/>
        </w:rPr>
        <w:t>设备</w:t>
      </w:r>
      <w:r>
        <w:rPr>
          <w:color w:val="auto"/>
          <w:highlight w:val="none"/>
        </w:rPr>
        <w:t>处于正常工作状态；</w:t>
      </w:r>
    </w:p>
    <w:p>
      <w:pPr>
        <w:adjustRightInd w:val="0"/>
        <w:snapToGrid w:val="0"/>
        <w:spacing w:line="360" w:lineRule="auto"/>
        <w:ind w:firstLine="420" w:firstLineChars="200"/>
        <w:rPr>
          <w:color w:val="auto"/>
          <w:highlight w:val="none"/>
        </w:rPr>
      </w:pPr>
      <w:r>
        <w:rPr>
          <w:rFonts w:hint="eastAsia"/>
          <w:color w:val="auto"/>
          <w:highlight w:val="none"/>
        </w:rPr>
        <w:t>2）</w:t>
      </w:r>
      <w:r>
        <w:rPr>
          <w:color w:val="auto"/>
          <w:highlight w:val="none"/>
        </w:rPr>
        <w:t>稳定持续的磁场强度：100A/m；</w:t>
      </w:r>
    </w:p>
    <w:p>
      <w:pPr>
        <w:adjustRightInd w:val="0"/>
        <w:snapToGrid w:val="0"/>
        <w:spacing w:line="360" w:lineRule="auto"/>
        <w:ind w:firstLine="420" w:firstLineChars="200"/>
        <w:rPr>
          <w:color w:val="auto"/>
          <w:highlight w:val="none"/>
        </w:rPr>
      </w:pPr>
      <w:r>
        <w:rPr>
          <w:rFonts w:hint="eastAsia"/>
          <w:color w:val="auto"/>
          <w:highlight w:val="none"/>
        </w:rPr>
        <w:t>3）</w:t>
      </w:r>
      <w:r>
        <w:rPr>
          <w:color w:val="auto"/>
          <w:highlight w:val="none"/>
        </w:rPr>
        <w:t>1s</w:t>
      </w:r>
      <w:r>
        <w:rPr>
          <w:rFonts w:hint="eastAsia"/>
          <w:color w:val="auto"/>
          <w:highlight w:val="none"/>
        </w:rPr>
        <w:t>～</w:t>
      </w:r>
      <w:r>
        <w:rPr>
          <w:color w:val="auto"/>
          <w:highlight w:val="none"/>
        </w:rPr>
        <w:t>3s短时作用的磁场强度：1000A/m。</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4</w:t>
      </w:r>
      <w:r>
        <w:rPr>
          <w:rFonts w:hint="eastAsia"/>
          <w:color w:val="auto"/>
          <w:highlight w:val="none"/>
        </w:rPr>
        <w:t>.2判定准则</w:t>
      </w:r>
    </w:p>
    <w:p>
      <w:pPr>
        <w:adjustRightInd w:val="0"/>
        <w:snapToGrid w:val="0"/>
        <w:spacing w:line="360" w:lineRule="auto"/>
        <w:ind w:firstLine="420" w:firstLineChars="200"/>
        <w:rPr>
          <w:color w:val="auto"/>
          <w:highlight w:val="none"/>
        </w:rPr>
      </w:pPr>
      <w:r>
        <w:rPr>
          <w:rFonts w:hint="eastAsia"/>
          <w:color w:val="auto"/>
          <w:highlight w:val="none"/>
        </w:rPr>
        <w:t>在试验期间及试验后，</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的功能和性能应达到</w:t>
      </w:r>
      <w:r>
        <w:rPr>
          <w:color w:val="auto"/>
          <w:highlight w:val="none"/>
        </w:rPr>
        <w:t>GB/T 17626.8</w:t>
      </w:r>
      <w:r>
        <w:rPr>
          <w:rFonts w:hint="eastAsia"/>
          <w:color w:val="auto"/>
          <w:highlight w:val="none"/>
        </w:rPr>
        <w:t>中规定的</w:t>
      </w:r>
      <w:r>
        <w:rPr>
          <w:color w:val="auto"/>
          <w:highlight w:val="none"/>
        </w:rPr>
        <w:t>a</w:t>
      </w:r>
      <w:r>
        <w:rPr>
          <w:rFonts w:hint="eastAsia"/>
          <w:color w:val="auto"/>
          <w:highlight w:val="none"/>
        </w:rPr>
        <w:t>级要求。</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color w:val="auto"/>
          <w:highlight w:val="none"/>
        </w:rPr>
        <w:t>脉冲磁场抗扰度试验</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.1试验方法</w:t>
      </w:r>
    </w:p>
    <w:p>
      <w:pPr>
        <w:adjustRightInd w:val="0"/>
        <w:snapToGrid w:val="0"/>
        <w:spacing w:line="360" w:lineRule="auto"/>
        <w:ind w:firstLine="420" w:firstLineChars="200"/>
        <w:rPr>
          <w:color w:val="auto"/>
          <w:highlight w:val="none"/>
        </w:rPr>
      </w:pPr>
      <w:r>
        <w:rPr>
          <w:rFonts w:hint="eastAsia"/>
          <w:color w:val="auto"/>
          <w:highlight w:val="none"/>
        </w:rPr>
        <w:t>按照</w:t>
      </w:r>
      <w:r>
        <w:rPr>
          <w:color w:val="auto"/>
          <w:highlight w:val="none"/>
        </w:rPr>
        <w:t>GB/T 17626.9</w:t>
      </w:r>
      <w:r>
        <w:rPr>
          <w:rFonts w:hint="eastAsia"/>
          <w:color w:val="auto"/>
          <w:highlight w:val="none"/>
        </w:rPr>
        <w:t>中规定的试验方法和要求，在下述条件下进行试验：</w:t>
      </w:r>
    </w:p>
    <w:p>
      <w:pPr>
        <w:adjustRightInd w:val="0"/>
        <w:snapToGrid w:val="0"/>
        <w:spacing w:line="360" w:lineRule="auto"/>
        <w:ind w:firstLine="420" w:firstLineChars="200"/>
        <w:rPr>
          <w:color w:val="auto"/>
          <w:highlight w:val="none"/>
        </w:rPr>
      </w:pPr>
      <w:r>
        <w:rPr>
          <w:rFonts w:hint="eastAsia"/>
          <w:color w:val="auto"/>
          <w:highlight w:val="none"/>
        </w:rPr>
        <w:t>1）</w:t>
      </w:r>
      <w:r>
        <w:rPr>
          <w:rFonts w:hint="eastAsia"/>
          <w:color w:val="auto"/>
          <w:highlight w:val="none"/>
          <w:lang w:eastAsia="zh-CN"/>
        </w:rPr>
        <w:t>专网</w:t>
      </w:r>
      <w:r>
        <w:rPr>
          <w:rFonts w:hint="eastAsia"/>
          <w:color w:val="auto"/>
          <w:highlight w:val="none"/>
          <w:lang w:val="en-US" w:eastAsia="zh-CN"/>
        </w:rPr>
        <w:t>设备</w:t>
      </w:r>
      <w:r>
        <w:rPr>
          <w:color w:val="auto"/>
          <w:highlight w:val="none"/>
        </w:rPr>
        <w:t>在正常工作状态；</w:t>
      </w:r>
    </w:p>
    <w:p>
      <w:pPr>
        <w:adjustRightInd w:val="0"/>
        <w:snapToGrid w:val="0"/>
        <w:spacing w:line="360" w:lineRule="auto"/>
        <w:ind w:firstLine="420" w:firstLineChars="200"/>
        <w:rPr>
          <w:color w:val="auto"/>
          <w:highlight w:val="none"/>
        </w:rPr>
      </w:pPr>
      <w:r>
        <w:rPr>
          <w:rFonts w:hint="eastAsia"/>
          <w:color w:val="auto"/>
          <w:highlight w:val="none"/>
        </w:rPr>
        <w:t>2）</w:t>
      </w:r>
      <w:r>
        <w:rPr>
          <w:color w:val="auto"/>
          <w:highlight w:val="none"/>
        </w:rPr>
        <w:t>脉冲磁场强度：1000A/m</w:t>
      </w:r>
      <w:r>
        <w:rPr>
          <w:rFonts w:hint="eastAsia"/>
          <w:color w:val="auto"/>
          <w:highlight w:val="none"/>
        </w:rPr>
        <w:t>；</w:t>
      </w:r>
    </w:p>
    <w:p>
      <w:pPr>
        <w:adjustRightInd w:val="0"/>
        <w:snapToGrid w:val="0"/>
        <w:spacing w:line="360" w:lineRule="auto"/>
        <w:ind w:firstLine="420" w:firstLineChars="200"/>
        <w:rPr>
          <w:color w:val="auto"/>
          <w:highlight w:val="none"/>
        </w:rPr>
      </w:pPr>
      <w:r>
        <w:rPr>
          <w:rFonts w:hint="eastAsia"/>
          <w:color w:val="auto"/>
          <w:highlight w:val="none"/>
        </w:rPr>
        <w:t>3）试验时间：1</w:t>
      </w:r>
      <w:r>
        <w:rPr>
          <w:color w:val="auto"/>
          <w:highlight w:val="none"/>
        </w:rPr>
        <w:t>0</w:t>
      </w:r>
      <w:r>
        <w:rPr>
          <w:rFonts w:hint="eastAsia"/>
          <w:color w:val="auto"/>
          <w:highlight w:val="none"/>
        </w:rPr>
        <w:t>s；</w:t>
      </w:r>
    </w:p>
    <w:p>
      <w:pPr>
        <w:adjustRightInd w:val="0"/>
        <w:snapToGrid w:val="0"/>
        <w:spacing w:line="360" w:lineRule="auto"/>
        <w:ind w:firstLine="420" w:firstLineChars="200"/>
        <w:rPr>
          <w:color w:val="auto"/>
          <w:highlight w:val="none"/>
        </w:rPr>
      </w:pPr>
      <w:r>
        <w:rPr>
          <w:rFonts w:hint="eastAsia"/>
          <w:color w:val="auto"/>
          <w:highlight w:val="none"/>
        </w:rPr>
        <w:t>4）施加试验电压次数：正负极性各5次</w:t>
      </w:r>
      <w:r>
        <w:rPr>
          <w:color w:val="auto"/>
          <w:highlight w:val="none"/>
        </w:rPr>
        <w:t>。</w:t>
      </w:r>
    </w:p>
    <w:p>
      <w:pPr>
        <w:tabs>
          <w:tab w:val="left" w:pos="839"/>
        </w:tabs>
        <w:adjustRightInd w:val="0"/>
        <w:snapToGrid w:val="0"/>
        <w:spacing w:line="360" w:lineRule="auto"/>
        <w:rPr>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5</w:t>
      </w:r>
      <w:r>
        <w:rPr>
          <w:rFonts w:hint="eastAsia"/>
          <w:color w:val="auto"/>
          <w:highlight w:val="none"/>
        </w:rPr>
        <w:t>.2判定准则</w:t>
      </w:r>
    </w:p>
    <w:p>
      <w:pPr>
        <w:adjustRightInd w:val="0"/>
        <w:snapToGrid w:val="0"/>
        <w:spacing w:line="360" w:lineRule="auto"/>
        <w:ind w:firstLine="420" w:firstLineChars="200"/>
        <w:rPr>
          <w:color w:val="auto"/>
          <w:highlight w:val="none"/>
        </w:rPr>
      </w:pPr>
      <w:r>
        <w:rPr>
          <w:rFonts w:hint="eastAsia"/>
          <w:color w:val="auto"/>
          <w:highlight w:val="none"/>
        </w:rPr>
        <w:t>在试验期间及试验后，</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的功能和性能应达到</w:t>
      </w:r>
      <w:r>
        <w:rPr>
          <w:color w:val="auto"/>
          <w:highlight w:val="none"/>
        </w:rPr>
        <w:t>GB/T 17626.9中规定的a</w:t>
      </w:r>
      <w:r>
        <w:rPr>
          <w:rFonts w:hint="eastAsia"/>
          <w:color w:val="auto"/>
          <w:highlight w:val="none"/>
        </w:rPr>
        <w:t>级要求。</w:t>
      </w:r>
    </w:p>
    <w:p>
      <w:pPr>
        <w:pStyle w:val="4"/>
        <w:numPr>
          <w:ilvl w:val="0"/>
          <w:numId w:val="0"/>
        </w:numPr>
        <w:adjustRightInd w:val="0"/>
        <w:snapToGrid w:val="0"/>
        <w:spacing w:line="360" w:lineRule="auto"/>
        <w:rPr>
          <w:rFonts w:hint="eastAsia"/>
          <w:color w:val="auto"/>
          <w:highlight w:val="none"/>
        </w:rPr>
      </w:pPr>
      <w:bookmarkStart w:id="166" w:name="_Toc7658"/>
      <w:bookmarkStart w:id="167" w:name="_Toc6157"/>
      <w:bookmarkStart w:id="168" w:name="_Toc126594097"/>
      <w:bookmarkStart w:id="169" w:name="_Toc470595440"/>
      <w:bookmarkStart w:id="170" w:name="_Toc14085"/>
      <w:bookmarkStart w:id="171" w:name="_Toc470860750"/>
      <w:bookmarkStart w:id="172" w:name="_Toc21942"/>
      <w:bookmarkStart w:id="173" w:name="_Toc470522353"/>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6</w:t>
      </w:r>
      <w:r>
        <w:rPr>
          <w:rFonts w:hint="eastAsia"/>
          <w:color w:val="auto"/>
          <w:highlight w:val="none"/>
        </w:rPr>
        <w:t>环境适应性能试验</w:t>
      </w:r>
      <w:bookmarkEnd w:id="166"/>
      <w:bookmarkEnd w:id="167"/>
      <w:bookmarkEnd w:id="168"/>
      <w:bookmarkEnd w:id="169"/>
      <w:bookmarkEnd w:id="170"/>
      <w:bookmarkEnd w:id="171"/>
      <w:bookmarkEnd w:id="172"/>
      <w:bookmarkEnd w:id="173"/>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6</w:t>
      </w:r>
      <w:r>
        <w:rPr>
          <w:rFonts w:hint="eastAsia"/>
          <w:color w:val="auto"/>
          <w:highlight w:val="none"/>
        </w:rPr>
        <w:t>.1低温试验</w:t>
      </w:r>
    </w:p>
    <w:p>
      <w:pPr>
        <w:adjustRightInd w:val="0"/>
        <w:snapToGrid w:val="0"/>
        <w:spacing w:line="360" w:lineRule="auto"/>
        <w:ind w:firstLine="420" w:firstLineChars="200"/>
        <w:rPr>
          <w:rFonts w:hint="eastAsia" w:eastAsia="宋体"/>
          <w:color w:val="auto"/>
          <w:highlight w:val="none"/>
          <w:lang w:eastAsia="zh-CN"/>
        </w:rPr>
      </w:pPr>
      <w:r>
        <w:rPr>
          <w:rFonts w:hint="eastAsia"/>
          <w:color w:val="auto"/>
          <w:highlight w:val="none"/>
        </w:rPr>
        <w:t>将整套</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放入恒温恒湿箱，确认电量充足、各功能部件运行正常，且</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采集时间间隔为默认采集间隔；按GB/T 2423.1中规定的试验方法和要求，在本标准规定的严酷等级下进行试验</w:t>
      </w:r>
      <w:bookmarkStart w:id="174" w:name="_Hlk126588274"/>
      <w:r>
        <w:rPr>
          <w:rFonts w:hint="eastAsia"/>
          <w:color w:val="auto"/>
          <w:highlight w:val="none"/>
        </w:rPr>
        <w:t>。试验期间</w:t>
      </w:r>
      <w:r>
        <w:rPr>
          <w:rFonts w:hint="eastAsia"/>
          <w:color w:val="auto"/>
          <w:highlight w:val="none"/>
          <w:lang w:val="en-US" w:eastAsia="zh-CN"/>
        </w:rPr>
        <w:t>设备</w:t>
      </w:r>
      <w:r>
        <w:rPr>
          <w:rFonts w:hint="eastAsia"/>
          <w:color w:val="auto"/>
          <w:highlight w:val="none"/>
        </w:rPr>
        <w:t>性能应满足技术规范书要求</w:t>
      </w:r>
      <w:bookmarkEnd w:id="174"/>
      <w:r>
        <w:rPr>
          <w:rFonts w:hint="eastAsia"/>
          <w:color w:val="auto"/>
          <w:highlight w:val="none"/>
          <w:lang w:eastAsia="zh-CN"/>
        </w:rPr>
        <w:t>。</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6</w:t>
      </w:r>
      <w:r>
        <w:rPr>
          <w:rFonts w:hint="eastAsia"/>
          <w:color w:val="auto"/>
          <w:highlight w:val="none"/>
        </w:rPr>
        <w:t>.2高温试验</w:t>
      </w:r>
    </w:p>
    <w:p>
      <w:pPr>
        <w:adjustRightInd w:val="0"/>
        <w:snapToGrid w:val="0"/>
        <w:spacing w:line="360" w:lineRule="auto"/>
        <w:ind w:firstLine="420" w:firstLineChars="200"/>
        <w:rPr>
          <w:rFonts w:hint="eastAsia" w:eastAsia="宋体"/>
          <w:color w:val="auto"/>
          <w:highlight w:val="none"/>
          <w:lang w:eastAsia="zh-CN"/>
        </w:rPr>
      </w:pPr>
      <w:r>
        <w:rPr>
          <w:rFonts w:hint="eastAsia"/>
          <w:color w:val="auto"/>
          <w:highlight w:val="none"/>
        </w:rPr>
        <w:t>将整套</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放入恒温恒湿箱，确认电量充足、各功能部件运行正常，且</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采集时间间隔为默认采集间隔；按照GB/T 2423.2中规定的试验方法和，并在本标准规定的严酷等级下进行试验。试验期间</w:t>
      </w:r>
      <w:r>
        <w:rPr>
          <w:rFonts w:hint="eastAsia"/>
          <w:color w:val="auto"/>
          <w:highlight w:val="none"/>
          <w:lang w:val="en-US" w:eastAsia="zh-CN"/>
        </w:rPr>
        <w:t>设备</w:t>
      </w:r>
      <w:r>
        <w:rPr>
          <w:rFonts w:hint="eastAsia"/>
          <w:color w:val="auto"/>
          <w:highlight w:val="none"/>
        </w:rPr>
        <w:t>性能应满足技术规范书要求</w:t>
      </w:r>
      <w:r>
        <w:rPr>
          <w:rFonts w:hint="eastAsia"/>
          <w:color w:val="auto"/>
          <w:highlight w:val="none"/>
          <w:lang w:eastAsia="zh-CN"/>
        </w:rPr>
        <w:t>。</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6</w:t>
      </w:r>
      <w:r>
        <w:rPr>
          <w:rFonts w:hint="eastAsia"/>
          <w:color w:val="auto"/>
          <w:highlight w:val="none"/>
        </w:rPr>
        <w:t>.3恒定湿热试验</w:t>
      </w:r>
    </w:p>
    <w:p>
      <w:pPr>
        <w:adjustRightInd w:val="0"/>
        <w:snapToGrid w:val="0"/>
        <w:spacing w:line="360" w:lineRule="auto"/>
        <w:ind w:firstLine="420" w:firstLineChars="200"/>
        <w:rPr>
          <w:rFonts w:hint="eastAsia" w:eastAsia="宋体"/>
          <w:color w:val="auto"/>
          <w:highlight w:val="none"/>
          <w:lang w:eastAsia="zh-CN"/>
        </w:rPr>
      </w:pPr>
      <w:r>
        <w:rPr>
          <w:rFonts w:hint="eastAsia"/>
          <w:color w:val="auto"/>
          <w:highlight w:val="none"/>
        </w:rPr>
        <w:t>将整</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放入恒温恒湿箱，确认电量充足、各功能部件运行正常，且</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采集时间间隔为默认采集间隔；按照GB/T 2423.</w:t>
      </w:r>
      <w:r>
        <w:rPr>
          <w:color w:val="auto"/>
          <w:highlight w:val="none"/>
        </w:rPr>
        <w:t>3</w:t>
      </w:r>
      <w:r>
        <w:rPr>
          <w:rFonts w:hint="eastAsia"/>
          <w:color w:val="auto"/>
          <w:highlight w:val="none"/>
        </w:rPr>
        <w:t>中规定的试验方法和要求，</w:t>
      </w:r>
      <w:bookmarkStart w:id="175" w:name="_Hlk126588138"/>
      <w:r>
        <w:rPr>
          <w:rFonts w:hint="eastAsia"/>
          <w:color w:val="auto"/>
          <w:highlight w:val="none"/>
        </w:rPr>
        <w:t>在本标准规定的严酷等级下进行试验。试验期间</w:t>
      </w:r>
      <w:r>
        <w:rPr>
          <w:rFonts w:hint="eastAsia"/>
          <w:color w:val="auto"/>
          <w:highlight w:val="none"/>
          <w:lang w:val="en-US" w:eastAsia="zh-CN"/>
        </w:rPr>
        <w:t>设备</w:t>
      </w:r>
      <w:r>
        <w:rPr>
          <w:rFonts w:hint="eastAsia"/>
          <w:color w:val="auto"/>
          <w:highlight w:val="none"/>
        </w:rPr>
        <w:t>性能应满足技术规范书要求</w:t>
      </w:r>
      <w:bookmarkEnd w:id="175"/>
      <w:r>
        <w:rPr>
          <w:rFonts w:hint="eastAsia"/>
          <w:color w:val="auto"/>
          <w:highlight w:val="none"/>
          <w:lang w:eastAsia="zh-CN"/>
        </w:rPr>
        <w:t>。</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6</w:t>
      </w:r>
      <w:r>
        <w:rPr>
          <w:rFonts w:hint="eastAsia"/>
          <w:color w:val="auto"/>
          <w:highlight w:val="none"/>
        </w:rPr>
        <w:t>.4温度变化试验</w:t>
      </w:r>
    </w:p>
    <w:p>
      <w:pPr>
        <w:adjustRightInd w:val="0"/>
        <w:snapToGrid w:val="0"/>
        <w:spacing w:line="360" w:lineRule="auto"/>
        <w:ind w:firstLine="420" w:firstLineChars="200"/>
        <w:rPr>
          <w:rFonts w:hint="eastAsia" w:eastAsia="宋体"/>
          <w:color w:val="auto"/>
          <w:highlight w:val="none"/>
          <w:lang w:eastAsia="zh-CN"/>
        </w:rPr>
      </w:pPr>
      <w:r>
        <w:rPr>
          <w:rFonts w:hint="eastAsia"/>
          <w:color w:val="auto"/>
          <w:highlight w:val="none"/>
        </w:rPr>
        <w:t>将整套</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放入恒温恒湿箱，确认电量充足、各功能部件运行正常，且</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采集时间间隔为默认采集间隔；按照GB</w:t>
      </w:r>
      <w:r>
        <w:rPr>
          <w:color w:val="auto"/>
          <w:highlight w:val="none"/>
        </w:rPr>
        <w:t>/T 2423.22</w:t>
      </w:r>
      <w:r>
        <w:rPr>
          <w:rFonts w:hint="eastAsia"/>
          <w:color w:val="auto"/>
          <w:highlight w:val="none"/>
        </w:rPr>
        <w:t>规定的试验方法和要求，在本标准规定的严酷等级下进行试验。试验期间</w:t>
      </w:r>
      <w:r>
        <w:rPr>
          <w:rFonts w:hint="eastAsia"/>
          <w:color w:val="auto"/>
          <w:highlight w:val="none"/>
          <w:lang w:val="en-US" w:eastAsia="zh-CN"/>
        </w:rPr>
        <w:t>设备</w:t>
      </w:r>
      <w:r>
        <w:rPr>
          <w:rFonts w:hint="eastAsia"/>
          <w:color w:val="auto"/>
          <w:highlight w:val="none"/>
        </w:rPr>
        <w:t>性能应满足技术规范书要求</w:t>
      </w:r>
      <w:r>
        <w:rPr>
          <w:rFonts w:hint="eastAsia"/>
          <w:color w:val="auto"/>
          <w:highlight w:val="none"/>
          <w:lang w:eastAsia="zh-CN"/>
        </w:rPr>
        <w:t>。</w:t>
      </w:r>
    </w:p>
    <w:p>
      <w:pPr>
        <w:pStyle w:val="4"/>
        <w:numPr>
          <w:ilvl w:val="0"/>
          <w:numId w:val="0"/>
        </w:numPr>
        <w:adjustRightInd w:val="0"/>
        <w:snapToGrid w:val="0"/>
        <w:spacing w:line="360" w:lineRule="auto"/>
        <w:rPr>
          <w:rFonts w:hint="eastAsia"/>
          <w:color w:val="auto"/>
          <w:highlight w:val="none"/>
        </w:rPr>
      </w:pPr>
      <w:bookmarkStart w:id="176" w:name="_Toc470522354"/>
      <w:bookmarkStart w:id="177" w:name="_Toc126594098"/>
      <w:bookmarkStart w:id="178" w:name="_Toc470860751"/>
      <w:bookmarkStart w:id="179" w:name="_Toc20098"/>
      <w:bookmarkStart w:id="180" w:name="_Toc16616"/>
      <w:bookmarkStart w:id="181" w:name="_Toc470595441"/>
      <w:bookmarkStart w:id="182" w:name="_Toc8212"/>
      <w:bookmarkStart w:id="183" w:name="_Toc27665"/>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7</w:t>
      </w:r>
      <w:r>
        <w:rPr>
          <w:rFonts w:hint="eastAsia"/>
          <w:color w:val="auto"/>
          <w:highlight w:val="none"/>
        </w:rPr>
        <w:t>机械性能试验</w:t>
      </w:r>
      <w:bookmarkEnd w:id="176"/>
      <w:bookmarkEnd w:id="177"/>
      <w:bookmarkEnd w:id="178"/>
      <w:bookmarkEnd w:id="179"/>
      <w:bookmarkEnd w:id="180"/>
      <w:bookmarkEnd w:id="181"/>
      <w:bookmarkEnd w:id="182"/>
      <w:bookmarkEnd w:id="183"/>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7</w:t>
      </w:r>
      <w:r>
        <w:rPr>
          <w:rFonts w:hint="eastAsia"/>
          <w:color w:val="auto"/>
          <w:highlight w:val="none"/>
        </w:rPr>
        <w:t>.1振动（正弦）试验</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7</w:t>
      </w:r>
      <w:r>
        <w:rPr>
          <w:rFonts w:hint="eastAsia"/>
          <w:color w:val="auto"/>
          <w:highlight w:val="none"/>
        </w:rPr>
        <w:t>.1.1振动响应试验</w:t>
      </w:r>
    </w:p>
    <w:p>
      <w:pPr>
        <w:adjustRightInd w:val="0"/>
        <w:snapToGrid w:val="0"/>
        <w:spacing w:line="360" w:lineRule="auto"/>
        <w:ind w:firstLine="420" w:firstLineChars="200"/>
        <w:rPr>
          <w:rFonts w:hint="eastAsia"/>
          <w:color w:val="auto"/>
          <w:highlight w:val="none"/>
        </w:rPr>
      </w:pPr>
      <w:r>
        <w:rPr>
          <w:rFonts w:hint="eastAsia"/>
          <w:color w:val="auto"/>
          <w:highlight w:val="none"/>
        </w:rPr>
        <w:t>按GB/T 11287中规定，对</w:t>
      </w:r>
      <w:r>
        <w:rPr>
          <w:rFonts w:hint="eastAsia"/>
          <w:color w:val="auto"/>
          <w:highlight w:val="none"/>
          <w:lang w:val="en-US" w:eastAsia="zh-CN"/>
        </w:rPr>
        <w:t>设备</w:t>
      </w:r>
      <w:r>
        <w:rPr>
          <w:rFonts w:hint="eastAsia"/>
          <w:color w:val="auto"/>
          <w:highlight w:val="none"/>
        </w:rPr>
        <w:t>进行严酷等级1级的振动响应试验。</w:t>
      </w:r>
      <w:r>
        <w:rPr>
          <w:rFonts w:hint="eastAsia"/>
          <w:color w:val="auto"/>
          <w:highlight w:val="none"/>
          <w:lang w:val="en-US" w:eastAsia="zh-CN"/>
        </w:rPr>
        <w:t>设备</w:t>
      </w:r>
      <w:r>
        <w:rPr>
          <w:rFonts w:hint="eastAsia"/>
          <w:color w:val="auto"/>
          <w:highlight w:val="none"/>
        </w:rPr>
        <w:t>不工作，将其固定在扫频范围为10Hz～150Hz，60Hz以下振幅为0.035mm、60Hz以上峰值加速度为5m/s2的振动试验台上，在每个轴线方向上进行一次扫频循环约8分钟。试验后，</w:t>
      </w:r>
      <w:r>
        <w:rPr>
          <w:rFonts w:hint="eastAsia"/>
          <w:color w:val="auto"/>
          <w:highlight w:val="none"/>
          <w:lang w:val="en-US" w:eastAsia="zh-CN"/>
        </w:rPr>
        <w:t>设备</w:t>
      </w:r>
      <w:r>
        <w:rPr>
          <w:rFonts w:hint="eastAsia"/>
          <w:color w:val="auto"/>
          <w:highlight w:val="none"/>
        </w:rPr>
        <w:t>不应发生紧固件松动、机械损坏等现象。</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7</w:t>
      </w:r>
      <w:r>
        <w:rPr>
          <w:rFonts w:hint="eastAsia"/>
          <w:color w:val="auto"/>
          <w:highlight w:val="none"/>
        </w:rPr>
        <w:t>.1.2振动耐久试验</w:t>
      </w:r>
    </w:p>
    <w:p>
      <w:pPr>
        <w:adjustRightInd w:val="0"/>
        <w:snapToGrid w:val="0"/>
        <w:spacing w:line="360" w:lineRule="auto"/>
        <w:ind w:firstLine="420" w:firstLineChars="200"/>
        <w:rPr>
          <w:rFonts w:hint="eastAsia"/>
          <w:color w:val="auto"/>
          <w:highlight w:val="none"/>
        </w:rPr>
      </w:pPr>
      <w:r>
        <w:rPr>
          <w:rFonts w:hint="eastAsia"/>
          <w:color w:val="auto"/>
          <w:highlight w:val="none"/>
        </w:rPr>
        <w:t>按GB/T 11287中规定，对</w:t>
      </w:r>
      <w:r>
        <w:rPr>
          <w:rFonts w:hint="eastAsia"/>
          <w:color w:val="auto"/>
          <w:highlight w:val="none"/>
          <w:lang w:val="en-US" w:eastAsia="zh-CN"/>
        </w:rPr>
        <w:t>设备</w:t>
      </w:r>
      <w:r>
        <w:rPr>
          <w:rFonts w:hint="eastAsia"/>
          <w:color w:val="auto"/>
          <w:highlight w:val="none"/>
        </w:rPr>
        <w:t>进行严酷等级1级的振动耐久试验。</w:t>
      </w:r>
      <w:r>
        <w:rPr>
          <w:rFonts w:hint="eastAsia"/>
          <w:color w:val="auto"/>
          <w:highlight w:val="none"/>
          <w:lang w:val="en-US" w:eastAsia="zh-CN"/>
        </w:rPr>
        <w:t>设备</w:t>
      </w:r>
      <w:r>
        <w:rPr>
          <w:rFonts w:hint="eastAsia"/>
          <w:color w:val="auto"/>
          <w:highlight w:val="none"/>
        </w:rPr>
        <w:t>不工作，将其固定在扫频范围为10Hz～150Hz、峰值加速度为10m/s2的振动试验台上，在每个轴线方向上进行20次扫频循环，每次扫频循环约8分钟。试验后，</w:t>
      </w:r>
      <w:r>
        <w:rPr>
          <w:rFonts w:hint="eastAsia"/>
          <w:color w:val="auto"/>
          <w:highlight w:val="none"/>
          <w:lang w:val="en-US" w:eastAsia="zh-CN"/>
        </w:rPr>
        <w:t>设备</w:t>
      </w:r>
      <w:r>
        <w:rPr>
          <w:rFonts w:hint="eastAsia"/>
          <w:color w:val="auto"/>
          <w:highlight w:val="none"/>
        </w:rPr>
        <w:t>不应发生紧固件松动、机械损坏等现象。</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7</w:t>
      </w:r>
      <w:r>
        <w:rPr>
          <w:rFonts w:hint="eastAsia"/>
          <w:color w:val="auto"/>
          <w:highlight w:val="none"/>
        </w:rPr>
        <w:t>.2冲击试验</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7</w:t>
      </w:r>
      <w:r>
        <w:rPr>
          <w:rFonts w:hint="eastAsia"/>
          <w:color w:val="auto"/>
          <w:highlight w:val="none"/>
        </w:rPr>
        <w:t>.2.1冲击响应试验</w:t>
      </w:r>
    </w:p>
    <w:p>
      <w:pPr>
        <w:adjustRightInd w:val="0"/>
        <w:snapToGrid w:val="0"/>
        <w:spacing w:line="360" w:lineRule="auto"/>
        <w:ind w:firstLine="420" w:firstLineChars="200"/>
        <w:rPr>
          <w:rFonts w:hint="eastAsia"/>
          <w:color w:val="auto"/>
          <w:highlight w:val="none"/>
        </w:rPr>
      </w:pPr>
      <w:r>
        <w:rPr>
          <w:rFonts w:hint="eastAsia"/>
          <w:color w:val="auto"/>
          <w:highlight w:val="none"/>
        </w:rPr>
        <w:t>按GB/T 14537中规定，</w:t>
      </w:r>
      <w:r>
        <w:rPr>
          <w:rFonts w:hint="eastAsia"/>
          <w:color w:val="auto"/>
          <w:highlight w:val="none"/>
          <w:lang w:val="en-US" w:eastAsia="zh-CN"/>
        </w:rPr>
        <w:t>设备</w:t>
      </w:r>
      <w:r>
        <w:rPr>
          <w:rFonts w:hint="eastAsia"/>
          <w:color w:val="auto"/>
          <w:highlight w:val="none"/>
        </w:rPr>
        <w:t>不工作，进行严酷等级1级的冲击响应试验。加速度峰值为49m/s2，脉冲持续时间为11ms，在三个相互垂直的轴线的每个方向上各施加脉冲数为3个。试验后，</w:t>
      </w:r>
      <w:r>
        <w:rPr>
          <w:rFonts w:hint="eastAsia"/>
          <w:color w:val="auto"/>
          <w:highlight w:val="none"/>
          <w:lang w:val="en-US" w:eastAsia="zh-CN"/>
        </w:rPr>
        <w:t>设备</w:t>
      </w:r>
      <w:r>
        <w:rPr>
          <w:rFonts w:hint="eastAsia"/>
          <w:color w:val="auto"/>
          <w:highlight w:val="none"/>
        </w:rPr>
        <w:t>不应发生紧固件松动、机械损坏等现象。</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7</w:t>
      </w:r>
      <w:r>
        <w:rPr>
          <w:rFonts w:hint="eastAsia"/>
          <w:color w:val="auto"/>
          <w:highlight w:val="none"/>
        </w:rPr>
        <w:t>.2.2冲击耐久试验</w:t>
      </w:r>
    </w:p>
    <w:p>
      <w:pPr>
        <w:adjustRightInd w:val="0"/>
        <w:snapToGrid w:val="0"/>
        <w:spacing w:line="360" w:lineRule="auto"/>
        <w:ind w:firstLine="420" w:firstLineChars="200"/>
        <w:rPr>
          <w:rFonts w:hint="eastAsia"/>
          <w:color w:val="auto"/>
          <w:highlight w:val="none"/>
        </w:rPr>
      </w:pPr>
      <w:r>
        <w:rPr>
          <w:rFonts w:hint="eastAsia"/>
          <w:color w:val="auto"/>
          <w:highlight w:val="none"/>
        </w:rPr>
        <w:t>按GB/T 14537中规定，</w:t>
      </w:r>
      <w:r>
        <w:rPr>
          <w:rFonts w:hint="eastAsia"/>
          <w:color w:val="auto"/>
          <w:highlight w:val="none"/>
          <w:lang w:val="en-US" w:eastAsia="zh-CN"/>
        </w:rPr>
        <w:t>设备</w:t>
      </w:r>
      <w:r>
        <w:rPr>
          <w:rFonts w:hint="eastAsia"/>
          <w:color w:val="auto"/>
          <w:highlight w:val="none"/>
        </w:rPr>
        <w:t>不工作，进行严酷等级1级的冲击耐久试验，加速度峰值为147m/s2，脉冲持续时间为11ms，在三个相互垂直的轴线的每个方向上各施加脉冲数为3个。试验后，</w:t>
      </w:r>
      <w:r>
        <w:rPr>
          <w:rFonts w:hint="eastAsia"/>
          <w:color w:val="auto"/>
          <w:highlight w:val="none"/>
          <w:lang w:val="en-US" w:eastAsia="zh-CN"/>
        </w:rPr>
        <w:t>设备</w:t>
      </w:r>
      <w:r>
        <w:rPr>
          <w:rFonts w:hint="eastAsia"/>
          <w:color w:val="auto"/>
          <w:highlight w:val="none"/>
        </w:rPr>
        <w:t>不应发生紧固件松动、机械损坏等现象。</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7</w:t>
      </w:r>
      <w:r>
        <w:rPr>
          <w:rFonts w:hint="eastAsia"/>
          <w:color w:val="auto"/>
          <w:highlight w:val="none"/>
        </w:rPr>
        <w:t>.3碰撞试验</w:t>
      </w:r>
    </w:p>
    <w:p>
      <w:pPr>
        <w:adjustRightInd w:val="0"/>
        <w:snapToGrid w:val="0"/>
        <w:spacing w:line="360" w:lineRule="auto"/>
        <w:ind w:firstLine="420" w:firstLineChars="200"/>
        <w:rPr>
          <w:rFonts w:hint="eastAsia"/>
          <w:color w:val="auto"/>
          <w:highlight w:val="none"/>
        </w:rPr>
      </w:pPr>
      <w:r>
        <w:rPr>
          <w:rFonts w:hint="eastAsia"/>
          <w:color w:val="auto"/>
          <w:highlight w:val="none"/>
        </w:rPr>
        <w:t>按GB/T 14537中规定，</w:t>
      </w:r>
      <w:r>
        <w:rPr>
          <w:rFonts w:hint="eastAsia"/>
          <w:color w:val="auto"/>
          <w:highlight w:val="none"/>
          <w:lang w:val="en-US" w:eastAsia="zh-CN"/>
        </w:rPr>
        <w:t>设备</w:t>
      </w:r>
      <w:r>
        <w:rPr>
          <w:rFonts w:hint="eastAsia"/>
          <w:color w:val="auto"/>
          <w:highlight w:val="none"/>
        </w:rPr>
        <w:t>不工作，进行严酷等级1级的碰撞试验，加速度峰值为98m/s</w:t>
      </w:r>
      <w:r>
        <w:rPr>
          <w:rFonts w:hint="eastAsia"/>
          <w:color w:val="auto"/>
          <w:highlight w:val="none"/>
          <w:vertAlign w:val="superscript"/>
        </w:rPr>
        <w:t>2</w:t>
      </w:r>
      <w:r>
        <w:rPr>
          <w:rFonts w:hint="eastAsia"/>
          <w:color w:val="auto"/>
          <w:highlight w:val="none"/>
        </w:rPr>
        <w:t>，脉冲持续时间为16ms，在三个相互垂直的轴线的每个方向上各施加脉冲数为1000个。试验后，</w:t>
      </w:r>
      <w:r>
        <w:rPr>
          <w:rFonts w:hint="eastAsia"/>
          <w:color w:val="auto"/>
          <w:highlight w:val="none"/>
          <w:lang w:val="en-US" w:eastAsia="zh-CN"/>
        </w:rPr>
        <w:t>设备</w:t>
      </w:r>
      <w:r>
        <w:rPr>
          <w:rFonts w:hint="eastAsia"/>
          <w:color w:val="auto"/>
          <w:highlight w:val="none"/>
        </w:rPr>
        <w:t>不应发生紧固件松动、机械损坏等现象。</w:t>
      </w:r>
    </w:p>
    <w:p>
      <w:pPr>
        <w:pStyle w:val="4"/>
        <w:numPr>
          <w:ilvl w:val="0"/>
          <w:numId w:val="0"/>
        </w:numPr>
        <w:rPr>
          <w:rFonts w:hint="eastAsia" w:ascii="Times New Roman" w:hAnsi="Times New Roman" w:cs="Times New Roman"/>
          <w:color w:val="auto"/>
          <w:highlight w:val="none"/>
        </w:rPr>
      </w:pPr>
      <w:bookmarkStart w:id="184" w:name="_Toc9899"/>
      <w:bookmarkStart w:id="185" w:name="_Toc29859"/>
      <w:r>
        <w:rPr>
          <w:rFonts w:hint="eastAsia" w:cs="Times New Roman"/>
          <w:color w:val="auto"/>
          <w:highlight w:val="none"/>
          <w:lang w:val="en-US" w:eastAsia="zh-CN"/>
        </w:rPr>
        <w:t>5</w:t>
      </w:r>
      <w:r>
        <w:rPr>
          <w:rFonts w:hint="eastAsia" w:ascii="Times New Roman" w:hAnsi="Times New Roman" w:cs="Times New Roman"/>
          <w:color w:val="auto"/>
          <w:highlight w:val="none"/>
        </w:rPr>
        <w:t>.</w:t>
      </w:r>
      <w:r>
        <w:rPr>
          <w:rFonts w:hint="eastAsia" w:cs="Times New Roman"/>
          <w:color w:val="auto"/>
          <w:highlight w:val="none"/>
          <w:lang w:val="en-US" w:eastAsia="zh-CN"/>
        </w:rPr>
        <w:t>8</w:t>
      </w:r>
      <w:r>
        <w:rPr>
          <w:rFonts w:hint="eastAsia" w:ascii="Times New Roman" w:hAnsi="Times New Roman" w:cs="Times New Roman"/>
          <w:color w:val="auto"/>
          <w:highlight w:val="none"/>
        </w:rPr>
        <w:t>功耗试验</w:t>
      </w:r>
      <w:bookmarkEnd w:id="184"/>
      <w:bookmarkEnd w:id="185"/>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8</w:t>
      </w:r>
      <w:r>
        <w:rPr>
          <w:rFonts w:hint="eastAsia"/>
          <w:color w:val="auto"/>
          <w:highlight w:val="none"/>
        </w:rPr>
        <w:t>.1试验方法</w:t>
      </w:r>
    </w:p>
    <w:p>
      <w:pPr>
        <w:adjustRightInd w:val="0"/>
        <w:snapToGrid w:val="0"/>
        <w:spacing w:line="360" w:lineRule="auto"/>
        <w:ind w:firstLine="420" w:firstLineChars="200"/>
        <w:rPr>
          <w:rFonts w:hint="eastAsia"/>
          <w:color w:val="auto"/>
          <w:highlight w:val="none"/>
        </w:rPr>
      </w:pPr>
      <w:r>
        <w:rPr>
          <w:rFonts w:hint="eastAsia"/>
          <w:color w:val="auto"/>
          <w:highlight w:val="none"/>
        </w:rPr>
        <w:t>1）将</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放入恒温恒湿箱，确认各功能部件运行正常；</w:t>
      </w:r>
    </w:p>
    <w:p>
      <w:pPr>
        <w:adjustRightInd w:val="0"/>
        <w:snapToGrid w:val="0"/>
        <w:spacing w:line="360" w:lineRule="auto"/>
        <w:ind w:firstLine="420" w:firstLineChars="200"/>
        <w:rPr>
          <w:rFonts w:hint="eastAsia"/>
          <w:color w:val="auto"/>
          <w:highlight w:val="none"/>
        </w:rPr>
      </w:pPr>
      <w:r>
        <w:rPr>
          <w:rFonts w:hint="eastAsia"/>
          <w:color w:val="auto"/>
          <w:highlight w:val="none"/>
        </w:rPr>
        <w:t>2）箱内温度25℃条件下，装置持续运行1h，用0.1级万用表分别测量</w:t>
      </w:r>
      <w:r>
        <w:rPr>
          <w:rFonts w:hint="eastAsia"/>
          <w:color w:val="auto"/>
          <w:highlight w:val="none"/>
          <w:lang w:eastAsia="zh-CN"/>
        </w:rPr>
        <w:t>专网</w:t>
      </w:r>
      <w:r>
        <w:rPr>
          <w:rFonts w:hint="eastAsia"/>
          <w:color w:val="auto"/>
          <w:highlight w:val="none"/>
          <w:lang w:val="en-US" w:eastAsia="zh-CN"/>
        </w:rPr>
        <w:t>设备</w:t>
      </w:r>
      <w:r>
        <w:rPr>
          <w:rFonts w:hint="eastAsia"/>
          <w:color w:val="auto"/>
          <w:highlight w:val="none"/>
        </w:rPr>
        <w:t>不同运行状态下供电回路的电流和电压，计算峰值功耗、在线状态下采集功耗、在线状态下静态功耗、休眠状态功耗。</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8</w:t>
      </w:r>
      <w:r>
        <w:rPr>
          <w:rFonts w:hint="eastAsia"/>
          <w:color w:val="auto"/>
          <w:highlight w:val="none"/>
        </w:rPr>
        <w:t>.2判定准则</w:t>
      </w:r>
    </w:p>
    <w:p>
      <w:pPr>
        <w:adjustRightInd w:val="0"/>
        <w:snapToGrid w:val="0"/>
        <w:spacing w:line="360" w:lineRule="auto"/>
        <w:ind w:firstLine="420" w:firstLineChars="200"/>
        <w:rPr>
          <w:rFonts w:hint="eastAsia"/>
          <w:color w:val="auto"/>
          <w:highlight w:val="none"/>
        </w:rPr>
      </w:pPr>
      <w:r>
        <w:rPr>
          <w:rFonts w:hint="eastAsia"/>
          <w:color w:val="auto"/>
          <w:highlight w:val="none"/>
        </w:rPr>
        <w:t>应满足本标准规定的相关技术要求。</w:t>
      </w:r>
    </w:p>
    <w:p>
      <w:pPr>
        <w:pStyle w:val="4"/>
        <w:numPr>
          <w:ilvl w:val="0"/>
          <w:numId w:val="0"/>
        </w:numPr>
        <w:adjustRightInd w:val="0"/>
        <w:snapToGrid w:val="0"/>
        <w:spacing w:line="360" w:lineRule="auto"/>
        <w:rPr>
          <w:rFonts w:hint="eastAsia"/>
          <w:color w:val="auto"/>
          <w:highlight w:val="none"/>
        </w:rPr>
      </w:pPr>
      <w:bookmarkStart w:id="186" w:name="_Toc27263"/>
      <w:bookmarkStart w:id="187" w:name="_Toc1214"/>
      <w:bookmarkStart w:id="188" w:name="_Toc23112"/>
      <w:bookmarkStart w:id="189" w:name="_Toc470860755"/>
      <w:bookmarkStart w:id="190" w:name="_Toc470595445"/>
      <w:bookmarkStart w:id="191" w:name="_Toc29269"/>
      <w:bookmarkStart w:id="192" w:name="_Toc126594100"/>
      <w:bookmarkStart w:id="193" w:name="_Toc470522358"/>
      <w:bookmarkStart w:id="194" w:name="_Toc23935"/>
      <w:bookmarkStart w:id="195" w:name="_Toc470860754"/>
      <w:bookmarkStart w:id="196" w:name="_Toc470522357"/>
      <w:bookmarkStart w:id="197" w:name="_Toc470595444"/>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9</w:t>
      </w:r>
      <w:r>
        <w:rPr>
          <w:rFonts w:hint="eastAsia"/>
          <w:color w:val="auto"/>
          <w:highlight w:val="none"/>
        </w:rPr>
        <w:t>外观和结构检查</w:t>
      </w:r>
      <w:bookmarkEnd w:id="186"/>
      <w:bookmarkEnd w:id="187"/>
      <w:bookmarkEnd w:id="188"/>
      <w:bookmarkEnd w:id="189"/>
      <w:bookmarkEnd w:id="190"/>
      <w:bookmarkEnd w:id="191"/>
      <w:bookmarkEnd w:id="192"/>
      <w:bookmarkEnd w:id="193"/>
    </w:p>
    <w:p>
      <w:pPr>
        <w:adjustRightInd w:val="0"/>
        <w:snapToGrid w:val="0"/>
        <w:spacing w:line="360" w:lineRule="auto"/>
        <w:ind w:firstLine="420" w:firstLineChars="200"/>
        <w:rPr>
          <w:rFonts w:hint="eastAsia"/>
          <w:color w:val="auto"/>
          <w:highlight w:val="none"/>
        </w:rPr>
      </w:pPr>
      <w:r>
        <w:rPr>
          <w:rFonts w:hint="eastAsia"/>
          <w:color w:val="auto"/>
          <w:highlight w:val="none"/>
        </w:rPr>
        <w:t>通过目测对</w:t>
      </w:r>
      <w:r>
        <w:rPr>
          <w:rFonts w:hint="eastAsia"/>
          <w:color w:val="auto"/>
          <w:highlight w:val="none"/>
          <w:lang w:eastAsia="zh-CN"/>
        </w:rPr>
        <w:t>专网</w:t>
      </w:r>
      <w:r>
        <w:rPr>
          <w:rFonts w:hint="eastAsia"/>
          <w:color w:val="auto"/>
          <w:highlight w:val="none"/>
        </w:rPr>
        <w:t>装置进行外观和结构方面的检查。</w:t>
      </w:r>
    </w:p>
    <w:p>
      <w:pPr>
        <w:tabs>
          <w:tab w:val="left" w:pos="839"/>
        </w:tabs>
        <w:adjustRightInd w:val="0"/>
        <w:snapToGrid w:val="0"/>
        <w:spacing w:line="360" w:lineRule="auto"/>
        <w:rPr>
          <w:rFonts w:hint="eastAsia"/>
          <w:color w:val="auto"/>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9</w:t>
      </w:r>
      <w:r>
        <w:rPr>
          <w:rFonts w:hint="eastAsia"/>
          <w:color w:val="auto"/>
          <w:highlight w:val="none"/>
        </w:rPr>
        <w:t>.2判定准则</w:t>
      </w:r>
    </w:p>
    <w:p>
      <w:pPr>
        <w:adjustRightInd w:val="0"/>
        <w:snapToGrid w:val="0"/>
        <w:spacing w:line="360" w:lineRule="auto"/>
        <w:ind w:firstLine="420" w:firstLineChars="200"/>
        <w:rPr>
          <w:rFonts w:hint="eastAsia"/>
          <w:bCs/>
          <w:color w:val="auto"/>
          <w:highlight w:val="none"/>
        </w:rPr>
      </w:pPr>
      <w:r>
        <w:rPr>
          <w:rFonts w:hint="eastAsia"/>
          <w:color w:val="auto"/>
          <w:highlight w:val="none"/>
        </w:rPr>
        <w:t>应满足本标准规定的相关技术要求。</w:t>
      </w:r>
    </w:p>
    <w:bookmarkEnd w:id="194"/>
    <w:bookmarkEnd w:id="195"/>
    <w:bookmarkEnd w:id="196"/>
    <w:bookmarkEnd w:id="197"/>
    <w:p>
      <w:pPr>
        <w:pStyle w:val="4"/>
        <w:numPr>
          <w:ilvl w:val="0"/>
          <w:numId w:val="0"/>
        </w:numPr>
        <w:adjustRightInd w:val="0"/>
        <w:snapToGrid w:val="0"/>
        <w:spacing w:line="360" w:lineRule="auto"/>
        <w:rPr>
          <w:rFonts w:hint="eastAsia"/>
          <w:color w:val="auto"/>
          <w:highlight w:val="none"/>
        </w:rPr>
      </w:pPr>
      <w:bookmarkStart w:id="198" w:name="_Toc470860753"/>
      <w:bookmarkStart w:id="199" w:name="_Toc126594101"/>
      <w:bookmarkStart w:id="200" w:name="_Toc26906"/>
      <w:bookmarkStart w:id="201" w:name="_Toc16159"/>
      <w:bookmarkStart w:id="202" w:name="_Toc16973"/>
      <w:bookmarkStart w:id="203" w:name="_Toc470522356"/>
      <w:bookmarkStart w:id="204" w:name="_Toc470595443"/>
      <w:bookmarkStart w:id="205" w:name="_Toc16354"/>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10</w:t>
      </w:r>
      <w:r>
        <w:rPr>
          <w:rFonts w:hint="eastAsia"/>
          <w:color w:val="auto"/>
          <w:highlight w:val="none"/>
        </w:rPr>
        <w:t>防护等级试验</w:t>
      </w:r>
      <w:bookmarkEnd w:id="198"/>
      <w:bookmarkEnd w:id="199"/>
      <w:bookmarkEnd w:id="200"/>
      <w:bookmarkEnd w:id="201"/>
      <w:bookmarkEnd w:id="202"/>
      <w:bookmarkEnd w:id="203"/>
      <w:bookmarkEnd w:id="204"/>
      <w:bookmarkEnd w:id="205"/>
    </w:p>
    <w:p>
      <w:pPr>
        <w:adjustRightInd w:val="0"/>
        <w:snapToGrid w:val="0"/>
        <w:spacing w:line="360" w:lineRule="auto"/>
        <w:ind w:firstLine="420" w:firstLineChars="200"/>
        <w:rPr>
          <w:rFonts w:hint="eastAsia"/>
          <w:color w:val="auto"/>
          <w:highlight w:val="none"/>
        </w:rPr>
      </w:pPr>
      <w:r>
        <w:rPr>
          <w:rFonts w:hint="eastAsia"/>
          <w:color w:val="auto"/>
          <w:highlight w:val="none"/>
        </w:rPr>
        <w:t>依据GB 4208中规定的试验要求和方法进行检验。</w:t>
      </w:r>
    </w:p>
    <w:p>
      <w:pPr>
        <w:pStyle w:val="4"/>
        <w:numPr>
          <w:ilvl w:val="0"/>
          <w:numId w:val="0"/>
        </w:numPr>
        <w:adjustRightInd w:val="0"/>
        <w:snapToGrid w:val="0"/>
        <w:spacing w:line="360" w:lineRule="auto"/>
        <w:rPr>
          <w:color w:val="auto"/>
          <w:highlight w:val="none"/>
        </w:rPr>
      </w:pPr>
      <w:bookmarkStart w:id="206" w:name="_Toc19895"/>
      <w:bookmarkStart w:id="207" w:name="_Toc27176"/>
      <w:r>
        <w:rPr>
          <w:rFonts w:hint="eastAsia"/>
          <w:highlight w:val="none"/>
          <w:lang w:val="en-US" w:eastAsia="zh-CN"/>
        </w:rPr>
        <w:t xml:space="preserve">5.11 </w:t>
      </w:r>
      <w:r>
        <w:rPr>
          <w:rFonts w:hint="default"/>
          <w:highlight w:val="none"/>
        </w:rPr>
        <w:t>连续</w:t>
      </w:r>
      <w:r>
        <w:rPr>
          <w:rFonts w:hint="eastAsia"/>
          <w:color w:val="auto"/>
          <w:highlight w:val="none"/>
        </w:rPr>
        <w:t>通电</w:t>
      </w:r>
      <w:r>
        <w:rPr>
          <w:color w:val="auto"/>
          <w:highlight w:val="none"/>
        </w:rPr>
        <w:t>试验</w:t>
      </w:r>
      <w:bookmarkEnd w:id="206"/>
      <w:bookmarkEnd w:id="207"/>
    </w:p>
    <w:p>
      <w:pPr>
        <w:numPr>
          <w:ilvl w:val="0"/>
          <w:numId w:val="3"/>
        </w:numPr>
        <w:adjustRightInd/>
        <w:snapToGrid/>
        <w:spacing w:beforeLines="0" w:afterLines="0" w:line="360" w:lineRule="auto"/>
        <w:ind w:firstLine="420" w:firstLineChars="200"/>
        <w:outlineLvl w:val="9"/>
        <w:rPr>
          <w:rFonts w:hint="eastAsia"/>
          <w:color w:val="auto"/>
          <w:highlight w:val="none"/>
        </w:rPr>
      </w:pPr>
      <w:r>
        <w:rPr>
          <w:rFonts w:hint="eastAsia"/>
          <w:color w:val="auto"/>
          <w:highlight w:val="none"/>
        </w:rPr>
        <w:t>按照现场配置方案组成在线</w:t>
      </w:r>
      <w:r>
        <w:rPr>
          <w:rFonts w:hint="eastAsia"/>
          <w:color w:val="auto"/>
          <w:highlight w:val="none"/>
          <w:lang w:eastAsia="zh-CN"/>
        </w:rPr>
        <w:t>专网</w:t>
      </w:r>
      <w:r>
        <w:rPr>
          <w:rFonts w:hint="eastAsia"/>
          <w:color w:val="auto"/>
          <w:highlight w:val="none"/>
        </w:rPr>
        <w:t>系统，施加相应信号使</w:t>
      </w:r>
      <w:r>
        <w:rPr>
          <w:rFonts w:hint="eastAsia"/>
          <w:color w:val="auto"/>
          <w:highlight w:val="none"/>
          <w:lang w:val="en-US" w:eastAsia="zh-CN"/>
        </w:rPr>
        <w:t>设备</w:t>
      </w:r>
      <w:r>
        <w:rPr>
          <w:rFonts w:hint="eastAsia"/>
          <w:color w:val="auto"/>
          <w:highlight w:val="none"/>
        </w:rPr>
        <w:t>工作在有效测量范围，进行</w:t>
      </w:r>
      <w:r>
        <w:rPr>
          <w:rFonts w:hint="eastAsia"/>
          <w:color w:val="auto"/>
          <w:highlight w:val="none"/>
          <w:lang w:val="en-US" w:eastAsia="zh-CN"/>
        </w:rPr>
        <w:t>168</w:t>
      </w:r>
      <w:r>
        <w:rPr>
          <w:rFonts w:hint="eastAsia"/>
          <w:color w:val="auto"/>
          <w:highlight w:val="none"/>
        </w:rPr>
        <w:t>小时连续通电试验（常温）。</w:t>
      </w:r>
      <w:r>
        <w:rPr>
          <w:rFonts w:hint="eastAsia"/>
          <w:color w:val="auto"/>
          <w:highlight w:val="none"/>
          <w:lang w:val="en-US" w:eastAsia="zh-CN"/>
        </w:rPr>
        <w:t>168</w:t>
      </w:r>
      <w:r>
        <w:rPr>
          <w:rFonts w:hint="eastAsia"/>
          <w:color w:val="auto"/>
          <w:highlight w:val="none"/>
        </w:rPr>
        <w:t>小时期间装置各项功能正常。</w:t>
      </w:r>
    </w:p>
    <w:p>
      <w:pPr>
        <w:pStyle w:val="3"/>
        <w:keepNext/>
        <w:keepLines/>
        <w:numPr>
          <w:ilvl w:val="0"/>
          <w:numId w:val="0"/>
        </w:numPr>
        <w:topLinePunct/>
        <w:adjustRightInd/>
        <w:snapToGrid/>
        <w:spacing w:line="360" w:lineRule="auto"/>
        <w:textAlignment w:val="baseline"/>
        <w:rPr>
          <w:rFonts w:hint="eastAsia" w:ascii="黑体" w:hAnsi="黑体" w:eastAsia="黑体"/>
          <w:b/>
          <w:color w:val="auto"/>
          <w:sz w:val="21"/>
          <w:szCs w:val="21"/>
          <w:highlight w:val="none"/>
          <w:lang w:val="en-US" w:eastAsia="zh-CN"/>
        </w:rPr>
      </w:pPr>
      <w:bookmarkStart w:id="208" w:name="_Toc26753"/>
      <w:r>
        <w:rPr>
          <w:rFonts w:hint="eastAsia" w:ascii="黑体" w:hAnsi="黑体" w:eastAsia="黑体"/>
          <w:b/>
          <w:sz w:val="21"/>
          <w:szCs w:val="21"/>
          <w:lang w:val="en-US" w:eastAsia="zh-CN"/>
        </w:rPr>
        <w:t xml:space="preserve">6 </w:t>
      </w:r>
      <w:r>
        <w:rPr>
          <w:rFonts w:hint="eastAsia" w:ascii="黑体" w:hAnsi="黑体" w:eastAsia="黑体"/>
          <w:b/>
          <w:color w:val="auto"/>
          <w:sz w:val="21"/>
          <w:szCs w:val="21"/>
          <w:highlight w:val="none"/>
          <w:lang w:val="en-US" w:eastAsia="zh-CN"/>
        </w:rPr>
        <w:t>检验规则</w:t>
      </w:r>
      <w:bookmarkEnd w:id="208"/>
    </w:p>
    <w:p>
      <w:pPr>
        <w:pStyle w:val="4"/>
        <w:numPr>
          <w:ilvl w:val="0"/>
          <w:numId w:val="0"/>
        </w:numPr>
        <w:tabs>
          <w:tab w:val="left" w:pos="425"/>
        </w:tabs>
        <w:adjustRightInd w:val="0"/>
        <w:snapToGrid w:val="0"/>
        <w:spacing w:line="360" w:lineRule="auto"/>
        <w:rPr>
          <w:rFonts w:ascii="黑体" w:hAnsi="黑体"/>
        </w:rPr>
      </w:pPr>
      <w:bookmarkStart w:id="209" w:name="_Toc52268920"/>
      <w:bookmarkStart w:id="210" w:name="_Toc572"/>
      <w:bookmarkStart w:id="211" w:name="_Toc32691"/>
      <w:bookmarkStart w:id="212" w:name="_Toc27334"/>
      <w:bookmarkStart w:id="213" w:name="_Toc2742"/>
      <w:bookmarkStart w:id="214" w:name="_Toc16814"/>
      <w:bookmarkStart w:id="215" w:name="_Toc31749"/>
      <w:bookmarkStart w:id="216" w:name="_Toc493712346"/>
      <w:bookmarkStart w:id="217" w:name="_Toc4809"/>
      <w:r>
        <w:rPr>
          <w:rFonts w:hint="eastAsia" w:ascii="黑体" w:hAnsi="黑体"/>
          <w:lang w:val="en-US" w:eastAsia="zh-CN"/>
        </w:rPr>
        <w:t>6.1</w:t>
      </w:r>
      <w:r>
        <w:rPr>
          <w:rFonts w:hint="eastAsia" w:ascii="黑体" w:hAnsi="黑体"/>
        </w:rPr>
        <w:t>型式试验项目</w:t>
      </w:r>
      <w:bookmarkEnd w:id="209"/>
      <w:bookmarkEnd w:id="210"/>
      <w:bookmarkEnd w:id="211"/>
      <w:bookmarkEnd w:id="212"/>
      <w:bookmarkEnd w:id="213"/>
      <w:bookmarkEnd w:id="214"/>
      <w:bookmarkEnd w:id="215"/>
      <w:bookmarkEnd w:id="216"/>
      <w:bookmarkEnd w:id="217"/>
    </w:p>
    <w:p>
      <w:pPr>
        <w:pStyle w:val="20"/>
        <w:spacing w:line="360" w:lineRule="auto"/>
        <w:rPr>
          <w:szCs w:val="21"/>
          <w:lang w:val="zh-CN"/>
        </w:rPr>
      </w:pPr>
      <w:bookmarkStart w:id="218" w:name="_Toc12739"/>
      <w:r>
        <w:rPr>
          <w:rFonts w:hint="eastAsia"/>
          <w:szCs w:val="21"/>
          <w:lang w:val="zh-CN"/>
        </w:rPr>
        <w:t>（</w:t>
      </w:r>
      <w:r>
        <w:rPr>
          <w:rFonts w:hint="eastAsia"/>
          <w:szCs w:val="21"/>
          <w:lang w:val="en-US" w:eastAsia="zh-CN"/>
        </w:rPr>
        <w:t>1</w:t>
      </w:r>
      <w:r>
        <w:rPr>
          <w:rFonts w:hint="eastAsia"/>
          <w:szCs w:val="21"/>
          <w:lang w:val="zh-CN"/>
        </w:rPr>
        <w:t>）</w:t>
      </w:r>
      <w:r>
        <w:rPr>
          <w:rFonts w:hint="eastAsia" w:ascii="Times New Roman" w:eastAsia="宋体"/>
          <w:color w:val="auto"/>
          <w:highlight w:val="none"/>
          <w:lang w:val="en-US" w:eastAsia="zh-CN"/>
        </w:rPr>
        <w:t>型式试验应该是制造厂家将装置送交具有资质的检测单位，由检测单位依据试验条目完成检验，并出具型式试验报告，试验报告应具有试验方法、试验过程数据和试验结论。制造厂提供的型式试验报告应在有效期内</w:t>
      </w:r>
      <w:r>
        <w:rPr>
          <w:rFonts w:hint="eastAsia"/>
          <w:szCs w:val="21"/>
          <w:lang w:val="zh-CN"/>
        </w:rPr>
        <w:t>。</w:t>
      </w:r>
      <w:bookmarkEnd w:id="218"/>
      <w:r>
        <w:rPr>
          <w:rFonts w:hint="eastAsia"/>
          <w:szCs w:val="21"/>
          <w:lang w:val="zh-CN"/>
        </w:rPr>
        <w:t xml:space="preserve"> </w:t>
      </w:r>
    </w:p>
    <w:p>
      <w:pPr>
        <w:pStyle w:val="20"/>
        <w:spacing w:line="360" w:lineRule="auto"/>
        <w:rPr>
          <w:szCs w:val="21"/>
          <w:lang w:val="zh-CN"/>
        </w:rPr>
      </w:pPr>
      <w:bookmarkStart w:id="219" w:name="_Toc32484"/>
      <w:r>
        <w:rPr>
          <w:rFonts w:hint="eastAsia"/>
          <w:szCs w:val="21"/>
          <w:lang w:val="zh-CN"/>
        </w:rPr>
        <w:t>（</w:t>
      </w:r>
      <w:r>
        <w:rPr>
          <w:rFonts w:hint="eastAsia"/>
          <w:szCs w:val="21"/>
          <w:lang w:val="en-US" w:eastAsia="zh-CN"/>
        </w:rPr>
        <w:t>2</w:t>
      </w:r>
      <w:r>
        <w:rPr>
          <w:rFonts w:hint="eastAsia"/>
          <w:szCs w:val="21"/>
          <w:lang w:val="zh-CN"/>
        </w:rPr>
        <w:t>）在招投标过程中，投标人应对型式试验报告的真实性负责。对型式试验报告造假的投标人，给予相应处罚和直接取消中标资格。</w:t>
      </w:r>
      <w:bookmarkEnd w:id="219"/>
    </w:p>
    <w:p>
      <w:pPr>
        <w:adjustRightInd w:val="0"/>
        <w:snapToGrid w:val="0"/>
        <w:spacing w:line="360" w:lineRule="auto"/>
        <w:ind w:firstLine="420" w:firstLineChars="200"/>
        <w:outlineLvl w:val="9"/>
      </w:pPr>
      <w:bookmarkStart w:id="220" w:name="_Toc848"/>
      <w:r>
        <w:rPr>
          <w:rFonts w:hint="eastAsia"/>
          <w:szCs w:val="21"/>
          <w:lang w:val="zh-CN"/>
        </w:rPr>
        <w:t>（</w:t>
      </w:r>
      <w:r>
        <w:rPr>
          <w:rFonts w:hint="eastAsia"/>
          <w:szCs w:val="21"/>
          <w:lang w:val="en-US" w:eastAsia="zh-CN"/>
        </w:rPr>
        <w:t>3</w:t>
      </w:r>
      <w:r>
        <w:rPr>
          <w:rFonts w:hint="eastAsia"/>
          <w:szCs w:val="21"/>
          <w:lang w:val="zh-CN"/>
        </w:rPr>
        <w:t>）</w:t>
      </w:r>
      <w:r>
        <w:rPr>
          <w:rFonts w:hint="eastAsia"/>
          <w:lang w:val="zh-CN"/>
        </w:rPr>
        <w:t>具体试验项目至少应包括技术要求中所提到的内容。</w:t>
      </w:r>
      <w:bookmarkEnd w:id="220"/>
    </w:p>
    <w:p>
      <w:pPr>
        <w:pStyle w:val="4"/>
        <w:numPr>
          <w:ilvl w:val="0"/>
          <w:numId w:val="0"/>
        </w:numPr>
        <w:tabs>
          <w:tab w:val="left" w:pos="425"/>
        </w:tabs>
        <w:adjustRightInd w:val="0"/>
        <w:snapToGrid w:val="0"/>
        <w:spacing w:line="360" w:lineRule="auto"/>
        <w:rPr>
          <w:rFonts w:ascii="黑体" w:hAnsi="黑体"/>
        </w:rPr>
      </w:pPr>
      <w:bookmarkStart w:id="221" w:name="_Toc52268921"/>
      <w:bookmarkStart w:id="222" w:name="_Toc32174"/>
      <w:bookmarkStart w:id="223" w:name="_Toc493712347"/>
      <w:bookmarkStart w:id="224" w:name="_Toc1969"/>
      <w:bookmarkStart w:id="225" w:name="_Toc19976"/>
      <w:bookmarkStart w:id="226" w:name="_Toc9935"/>
      <w:bookmarkStart w:id="227" w:name="_Toc24207"/>
      <w:bookmarkStart w:id="228" w:name="_Toc10545"/>
      <w:bookmarkStart w:id="229" w:name="_Toc11348"/>
      <w:r>
        <w:rPr>
          <w:rFonts w:hint="eastAsia" w:ascii="黑体" w:hAnsi="黑体"/>
          <w:lang w:val="en-US" w:eastAsia="zh-CN"/>
        </w:rPr>
        <w:t>6</w:t>
      </w:r>
      <w:r>
        <w:rPr>
          <w:rFonts w:hint="eastAsia" w:ascii="黑体" w:hAnsi="黑体"/>
        </w:rPr>
        <w:t>.</w:t>
      </w:r>
      <w:r>
        <w:rPr>
          <w:rFonts w:hint="eastAsia" w:ascii="黑体" w:hAnsi="黑体"/>
          <w:lang w:val="en-US" w:eastAsia="zh-CN"/>
        </w:rPr>
        <w:t>2</w:t>
      </w:r>
      <w:r>
        <w:rPr>
          <w:rFonts w:hint="eastAsia" w:ascii="黑体" w:hAnsi="黑体"/>
        </w:rPr>
        <w:t xml:space="preserve"> 出厂试验</w:t>
      </w:r>
      <w:bookmarkEnd w:id="221"/>
      <w:bookmarkEnd w:id="222"/>
      <w:bookmarkEnd w:id="223"/>
      <w:bookmarkEnd w:id="224"/>
      <w:bookmarkEnd w:id="225"/>
      <w:bookmarkEnd w:id="226"/>
      <w:bookmarkEnd w:id="227"/>
      <w:bookmarkEnd w:id="228"/>
      <w:bookmarkEnd w:id="229"/>
    </w:p>
    <w:p>
      <w:pPr>
        <w:pStyle w:val="20"/>
        <w:spacing w:line="360" w:lineRule="auto"/>
      </w:pPr>
      <w:r>
        <w:rPr>
          <w:rFonts w:hint="eastAsia"/>
        </w:rPr>
        <w:t>出厂试验是为了发现产品所用材料和制造中的缺陷，它不应损伤产品的性能和可靠性。产品出厂之前，必须进行出厂试验。全部出厂试验项目合格后才发放产品合格证。试验后如果有的项目不符合规范要求，必须返修合格后再发放产品合格证。</w:t>
      </w:r>
    </w:p>
    <w:p>
      <w:pPr>
        <w:pStyle w:val="20"/>
        <w:spacing w:line="360" w:lineRule="auto"/>
        <w:rPr>
          <w:lang w:val="zh-CN"/>
        </w:rPr>
      </w:pPr>
      <w:r>
        <w:rPr>
          <w:rFonts w:hint="eastAsia"/>
          <w:lang w:val="en-US" w:eastAsia="zh-CN"/>
        </w:rPr>
        <w:t>6.2</w:t>
      </w:r>
      <w:r>
        <w:rPr>
          <w:rFonts w:hint="eastAsia"/>
          <w:lang w:val="zh-CN"/>
        </w:rPr>
        <w:t>. 1</w:t>
      </w:r>
      <w:r>
        <w:rPr>
          <w:rFonts w:hint="eastAsia"/>
        </w:rPr>
        <w:t>投标方应确认提供的设备满足标书要求，</w:t>
      </w:r>
      <w:r>
        <w:rPr>
          <w:rFonts w:hint="eastAsia"/>
          <w:lang w:val="zh-CN"/>
        </w:rPr>
        <w:t>应进行出厂检验，合格后方能出厂；</w:t>
      </w:r>
    </w:p>
    <w:p>
      <w:pPr>
        <w:pStyle w:val="20"/>
        <w:spacing w:line="360" w:lineRule="auto"/>
        <w:ind w:firstLineChars="0"/>
        <w:rPr>
          <w:lang w:val="zh-CN"/>
        </w:rPr>
      </w:pPr>
      <w:r>
        <w:rPr>
          <w:rFonts w:hint="eastAsia"/>
          <w:lang w:val="en-US" w:eastAsia="zh-CN"/>
        </w:rPr>
        <w:t>6.2</w:t>
      </w:r>
      <w:r>
        <w:rPr>
          <w:rFonts w:hint="eastAsia"/>
          <w:lang w:val="zh-CN"/>
        </w:rPr>
        <w:t xml:space="preserve">. </w:t>
      </w:r>
      <w:r>
        <w:rPr>
          <w:rFonts w:hint="eastAsia"/>
        </w:rPr>
        <w:t>2出厂试验期间，投标方应向招标方参加试验的工作人员提供检查、测试和记录设备；</w:t>
      </w:r>
    </w:p>
    <w:p>
      <w:pPr>
        <w:pStyle w:val="20"/>
        <w:spacing w:line="360" w:lineRule="auto"/>
        <w:rPr>
          <w:lang w:val="zh-CN"/>
        </w:rPr>
      </w:pPr>
      <w:bookmarkStart w:id="230" w:name="_Toc3452"/>
      <w:r>
        <w:rPr>
          <w:rFonts w:hint="eastAsia"/>
          <w:lang w:val="en-US" w:eastAsia="zh-CN"/>
        </w:rPr>
        <w:t>6.2</w:t>
      </w:r>
      <w:r>
        <w:rPr>
          <w:rFonts w:hint="eastAsia"/>
          <w:lang w:val="zh-CN"/>
        </w:rPr>
        <w:t xml:space="preserve">. </w:t>
      </w:r>
      <w:r>
        <w:rPr>
          <w:rFonts w:hint="eastAsia"/>
        </w:rPr>
        <w:t>3</w:t>
      </w:r>
      <w:r>
        <w:rPr>
          <w:rFonts w:hint="eastAsia"/>
          <w:lang w:val="zh-CN"/>
        </w:rPr>
        <w:t>对于非投标人生产的</w:t>
      </w:r>
      <w:r>
        <w:rPr>
          <w:rFonts w:hint="eastAsia"/>
          <w:lang w:val="en-US" w:eastAsia="zh-CN"/>
        </w:rPr>
        <w:t>系统设备</w:t>
      </w:r>
      <w:r>
        <w:rPr>
          <w:rFonts w:hint="eastAsia"/>
          <w:lang w:val="zh-CN"/>
        </w:rPr>
        <w:t>零部件，应有零部件生产商提供的检验报告；</w:t>
      </w:r>
      <w:bookmarkEnd w:id="230"/>
    </w:p>
    <w:p>
      <w:pPr>
        <w:pStyle w:val="20"/>
        <w:spacing w:line="360" w:lineRule="auto"/>
        <w:rPr>
          <w:lang w:val="zh-CN"/>
        </w:rPr>
      </w:pPr>
      <w:r>
        <w:rPr>
          <w:rFonts w:hint="eastAsia"/>
          <w:lang w:val="en-US" w:eastAsia="zh-CN"/>
        </w:rPr>
        <w:t>6.2</w:t>
      </w:r>
      <w:r>
        <w:rPr>
          <w:rFonts w:hint="eastAsia"/>
          <w:lang w:val="zh-CN"/>
        </w:rPr>
        <w:t xml:space="preserve"> .</w:t>
      </w:r>
      <w:r>
        <w:rPr>
          <w:rFonts w:hint="eastAsia"/>
        </w:rPr>
        <w:t>4</w:t>
      </w:r>
      <w:r>
        <w:rPr>
          <w:rFonts w:hint="eastAsia"/>
          <w:lang w:val="zh-CN"/>
        </w:rPr>
        <w:t>出厂检验项目应包括但不限于：结构和外观检验、性能指标检验、功能验证检验、信息安全</w:t>
      </w:r>
      <w:r>
        <w:rPr>
          <w:rFonts w:hint="eastAsia"/>
        </w:rPr>
        <w:t>检验</w:t>
      </w:r>
      <w:r>
        <w:rPr>
          <w:rFonts w:hint="eastAsia"/>
          <w:lang w:val="zh-CN"/>
        </w:rPr>
        <w:t>；</w:t>
      </w:r>
    </w:p>
    <w:p>
      <w:pPr>
        <w:pStyle w:val="20"/>
        <w:spacing w:line="360" w:lineRule="auto"/>
        <w:rPr>
          <w:lang w:val="zh-CN"/>
        </w:rPr>
      </w:pPr>
      <w:r>
        <w:rPr>
          <w:rFonts w:hint="eastAsia"/>
          <w:lang w:val="zh-CN"/>
        </w:rPr>
        <w:t>1) 结构和外观质量检验：检查设备表面无划痕，喷漆和涂覆应均匀；产品无针孔、凹陷、擦伤、畸变等损坏情况；金属件无损伤、裂痕和锈蚀；部件、插件连接紧固，采用招标方要求的企业标识并标识清晰；</w:t>
      </w:r>
    </w:p>
    <w:p>
      <w:pPr>
        <w:pStyle w:val="20"/>
        <w:spacing w:line="360" w:lineRule="auto"/>
        <w:rPr>
          <w:lang w:val="zh-CN"/>
        </w:rPr>
      </w:pPr>
      <w:r>
        <w:rPr>
          <w:rFonts w:hint="eastAsia"/>
          <w:lang w:val="zh-CN"/>
        </w:rPr>
        <w:t>2) 性能指标检验：续航时间、运动性能、云台性能、</w:t>
      </w:r>
      <w:r>
        <w:rPr>
          <w:rFonts w:hint="eastAsia"/>
        </w:rPr>
        <w:t>机械臂动作、</w:t>
      </w:r>
      <w:r>
        <w:rPr>
          <w:rFonts w:hint="eastAsia"/>
          <w:lang w:val="zh-CN"/>
        </w:rPr>
        <w:t>通信性能、检测设备性能、测控距离、可靠性等性能检验；</w:t>
      </w:r>
    </w:p>
    <w:p>
      <w:pPr>
        <w:pStyle w:val="20"/>
        <w:spacing w:line="360" w:lineRule="auto"/>
        <w:rPr>
          <w:lang w:val="zh-CN"/>
        </w:rPr>
      </w:pPr>
      <w:r>
        <w:rPr>
          <w:rFonts w:hint="eastAsia"/>
          <w:lang w:val="zh-CN"/>
        </w:rPr>
        <w:t>3) 功能验证检验：信息交换与通信网络、自检检测功能、系统互联、</w:t>
      </w:r>
      <w:r>
        <w:rPr>
          <w:rFonts w:hint="eastAsia"/>
          <w:lang w:val="en-US" w:eastAsia="zh-CN"/>
        </w:rPr>
        <w:t>联动</w:t>
      </w:r>
      <w:r>
        <w:rPr>
          <w:rFonts w:hint="eastAsia"/>
          <w:lang w:val="zh-CN"/>
        </w:rPr>
        <w:t>控制功能等的检验。</w:t>
      </w:r>
    </w:p>
    <w:p>
      <w:pPr>
        <w:adjustRightInd w:val="0"/>
        <w:snapToGrid w:val="0"/>
        <w:spacing w:line="360" w:lineRule="auto"/>
        <w:ind w:firstLine="420" w:firstLineChars="200"/>
        <w:rPr>
          <w:lang w:val="zh-CN"/>
        </w:rPr>
      </w:pPr>
      <w:r>
        <w:rPr>
          <w:rFonts w:hint="eastAsia"/>
          <w:lang w:val="en-US" w:eastAsia="zh-CN"/>
        </w:rPr>
        <w:t>6.2</w:t>
      </w:r>
      <w:r>
        <w:rPr>
          <w:rFonts w:hint="eastAsia"/>
          <w:lang w:val="zh-CN"/>
        </w:rPr>
        <w:t xml:space="preserve">. </w:t>
      </w:r>
      <w:r>
        <w:rPr>
          <w:rFonts w:hint="eastAsia"/>
        </w:rPr>
        <w:t>5</w:t>
      </w:r>
      <w:r>
        <w:rPr>
          <w:rFonts w:hint="eastAsia"/>
          <w:lang w:val="zh-CN"/>
        </w:rPr>
        <w:t xml:space="preserve"> 结果评定：检验中出现任一检验项目失效，均判该为不合格。</w:t>
      </w:r>
    </w:p>
    <w:p>
      <w:pPr>
        <w:pStyle w:val="4"/>
        <w:numPr>
          <w:ilvl w:val="0"/>
          <w:numId w:val="0"/>
        </w:numPr>
        <w:tabs>
          <w:tab w:val="left" w:pos="425"/>
        </w:tabs>
        <w:adjustRightInd w:val="0"/>
        <w:snapToGrid w:val="0"/>
        <w:spacing w:line="360" w:lineRule="auto"/>
        <w:rPr>
          <w:rFonts w:ascii="黑体" w:hAnsi="黑体"/>
        </w:rPr>
      </w:pPr>
      <w:bookmarkStart w:id="231" w:name="_Toc29199"/>
      <w:bookmarkStart w:id="232" w:name="_Toc7250"/>
      <w:bookmarkStart w:id="233" w:name="_Toc52268922"/>
      <w:bookmarkStart w:id="234" w:name="_Toc13779"/>
      <w:bookmarkStart w:id="235" w:name="_Toc16685"/>
      <w:bookmarkStart w:id="236" w:name="_Toc18518"/>
      <w:bookmarkStart w:id="237" w:name="_Toc8890"/>
      <w:bookmarkStart w:id="238" w:name="_Toc31657"/>
      <w:r>
        <w:rPr>
          <w:rFonts w:hint="eastAsia" w:ascii="黑体" w:hAnsi="黑体"/>
          <w:lang w:val="en-US" w:eastAsia="zh-CN"/>
        </w:rPr>
        <w:t>6.3</w:t>
      </w:r>
      <w:r>
        <w:rPr>
          <w:rFonts w:hint="eastAsia" w:ascii="黑体" w:hAnsi="黑体"/>
        </w:rPr>
        <w:t xml:space="preserve"> </w:t>
      </w:r>
      <w:r>
        <w:rPr>
          <w:rFonts w:hint="eastAsia" w:ascii="黑体" w:hAnsi="黑体"/>
          <w:lang w:val="en-US" w:eastAsia="zh-CN"/>
        </w:rPr>
        <w:t>到货</w:t>
      </w:r>
      <w:r>
        <w:rPr>
          <w:rFonts w:hint="eastAsia" w:ascii="黑体" w:hAnsi="黑体"/>
        </w:rPr>
        <w:t>检验</w:t>
      </w:r>
      <w:bookmarkEnd w:id="231"/>
      <w:bookmarkEnd w:id="232"/>
      <w:bookmarkEnd w:id="233"/>
      <w:bookmarkEnd w:id="234"/>
      <w:bookmarkEnd w:id="235"/>
      <w:bookmarkEnd w:id="236"/>
      <w:bookmarkEnd w:id="237"/>
      <w:bookmarkEnd w:id="238"/>
    </w:p>
    <w:p>
      <w:pPr>
        <w:pStyle w:val="20"/>
        <w:spacing w:line="360" w:lineRule="auto"/>
        <w:rPr>
          <w:lang w:val="zh-CN"/>
        </w:rPr>
      </w:pPr>
      <w:bookmarkStart w:id="239" w:name="_Toc18808"/>
      <w:r>
        <w:rPr>
          <w:rFonts w:hint="eastAsia"/>
          <w:lang w:val="en-US" w:eastAsia="zh-CN"/>
        </w:rPr>
        <w:t>6.3.1隧道智能</w:t>
      </w:r>
      <w:r>
        <w:rPr>
          <w:rFonts w:hint="eastAsia" w:ascii="宋体" w:hAnsi="宋体" w:eastAsia="宋体"/>
          <w:color w:val="000000"/>
          <w:lang w:eastAsia="zh-CN"/>
        </w:rPr>
        <w:t>专网</w:t>
      </w:r>
      <w:r>
        <w:rPr>
          <w:rFonts w:hint="eastAsia" w:ascii="宋体" w:hAnsi="宋体" w:eastAsia="宋体"/>
          <w:color w:val="000000"/>
        </w:rPr>
        <w:t>系统</w:t>
      </w:r>
      <w:r>
        <w:rPr>
          <w:rFonts w:hint="eastAsia"/>
          <w:lang w:val="zh-CN"/>
        </w:rPr>
        <w:t>需经过3个月试运行期，所有性能指标达到本规范技术要求时，方可进行验收；验收规范(包括项目、指标、方式和测试仪器等)由招标方统一制定，投标方根据招标方的要求提供建议及做好验收前的相关准备工作。</w:t>
      </w:r>
      <w:bookmarkEnd w:id="239"/>
    </w:p>
    <w:p>
      <w:pPr>
        <w:pStyle w:val="20"/>
        <w:spacing w:line="360" w:lineRule="auto"/>
        <w:rPr>
          <w:lang w:val="zh-CN"/>
        </w:rPr>
      </w:pPr>
      <w:bookmarkStart w:id="240" w:name="_Toc23093"/>
      <w:r>
        <w:rPr>
          <w:rFonts w:hint="eastAsia"/>
          <w:lang w:val="en-US" w:eastAsia="zh-CN"/>
        </w:rPr>
        <w:t>6.3.</w:t>
      </w:r>
      <w:r>
        <w:rPr>
          <w:rFonts w:hint="eastAsia"/>
          <w:lang w:val="zh-CN"/>
        </w:rPr>
        <w:t>2</w:t>
      </w:r>
      <w:r>
        <w:rPr>
          <w:rFonts w:hint="eastAsia" w:ascii="宋体" w:hAnsi="宋体" w:eastAsia="宋体"/>
          <w:color w:val="000000"/>
        </w:rPr>
        <w:t>隧道</w:t>
      </w:r>
      <w:r>
        <w:rPr>
          <w:rFonts w:hint="eastAsia" w:ascii="宋体" w:hAnsi="宋体"/>
          <w:color w:val="000000"/>
          <w:lang w:val="en-US" w:eastAsia="zh-CN"/>
        </w:rPr>
        <w:t>智能</w:t>
      </w:r>
      <w:r>
        <w:rPr>
          <w:rFonts w:hint="eastAsia" w:ascii="宋体" w:hAnsi="宋体" w:eastAsia="宋体"/>
          <w:color w:val="000000"/>
          <w:lang w:eastAsia="zh-CN"/>
        </w:rPr>
        <w:t>专网</w:t>
      </w:r>
      <w:r>
        <w:rPr>
          <w:rFonts w:hint="eastAsia" w:ascii="宋体" w:hAnsi="宋体" w:eastAsia="宋体"/>
          <w:color w:val="000000"/>
        </w:rPr>
        <w:t>系统</w:t>
      </w:r>
      <w:r>
        <w:rPr>
          <w:rFonts w:hint="eastAsia"/>
          <w:lang w:val="zh-CN"/>
        </w:rPr>
        <w:t>应进行现场验收测试，投标方在投标文件中声明响应的指标任意一项未通过测试，则该视为不合格；验收测试合格后方能交付项目单位，同时双方签署验收证明，对于验收整改问题需按招标方要求限期整改或更换。</w:t>
      </w:r>
      <w:bookmarkEnd w:id="240"/>
    </w:p>
    <w:p>
      <w:pPr>
        <w:adjustRightInd w:val="0"/>
        <w:snapToGrid w:val="0"/>
        <w:spacing w:line="360" w:lineRule="auto"/>
        <w:ind w:firstLine="420" w:firstLineChars="200"/>
        <w:rPr>
          <w:rFonts w:hint="eastAsia"/>
          <w:lang w:val="zh-CN"/>
        </w:rPr>
      </w:pPr>
      <w:bookmarkStart w:id="241" w:name="_Toc12271"/>
      <w:r>
        <w:rPr>
          <w:rFonts w:hint="eastAsia"/>
          <w:lang w:val="en-US" w:eastAsia="zh-CN"/>
        </w:rPr>
        <w:t>6.3.</w:t>
      </w:r>
      <w:r>
        <w:rPr>
          <w:rFonts w:hint="eastAsia"/>
          <w:lang w:val="zh-CN"/>
        </w:rPr>
        <w:t xml:space="preserve"> 3 供货的</w:t>
      </w:r>
      <w:r>
        <w:rPr>
          <w:rFonts w:hint="eastAsia" w:ascii="宋体" w:hAnsi="宋体" w:eastAsia="宋体"/>
          <w:color w:val="000000"/>
        </w:rPr>
        <w:t>隧道</w:t>
      </w:r>
      <w:r>
        <w:rPr>
          <w:rFonts w:hint="eastAsia" w:ascii="宋体" w:hAnsi="宋体" w:eastAsia="宋体"/>
          <w:color w:val="000000"/>
          <w:lang w:val="en-US" w:eastAsia="zh-CN"/>
        </w:rPr>
        <w:t>综合在线</w:t>
      </w:r>
      <w:r>
        <w:rPr>
          <w:rFonts w:hint="eastAsia" w:ascii="宋体" w:hAnsi="宋体" w:eastAsia="宋体"/>
          <w:color w:val="000000"/>
          <w:lang w:eastAsia="zh-CN"/>
        </w:rPr>
        <w:t>专网</w:t>
      </w:r>
      <w:r>
        <w:rPr>
          <w:rFonts w:hint="eastAsia" w:ascii="宋体" w:hAnsi="宋体" w:eastAsia="宋体"/>
          <w:color w:val="000000"/>
        </w:rPr>
        <w:t>系统</w:t>
      </w:r>
      <w:r>
        <w:rPr>
          <w:rFonts w:hint="eastAsia" w:ascii="宋体" w:hAnsi="宋体" w:eastAsia="宋体"/>
          <w:color w:val="000000"/>
          <w:lang w:val="en-US" w:eastAsia="zh-CN"/>
        </w:rPr>
        <w:t>设备</w:t>
      </w:r>
      <w:r>
        <w:rPr>
          <w:rFonts w:hint="eastAsia"/>
          <w:lang w:val="zh-CN"/>
        </w:rPr>
        <w:t>在出厂检验合格后，由投标方按合同要求交付至项目单位指定的接收地，并进行现场到货开箱验收。</w:t>
      </w:r>
      <w:bookmarkEnd w:id="241"/>
    </w:p>
    <w:p>
      <w:pPr>
        <w:pStyle w:val="4"/>
        <w:numPr>
          <w:ilvl w:val="0"/>
          <w:numId w:val="0"/>
        </w:numPr>
        <w:tabs>
          <w:tab w:val="left" w:pos="425"/>
        </w:tabs>
        <w:adjustRightInd w:val="0"/>
        <w:snapToGrid w:val="0"/>
        <w:spacing w:line="360" w:lineRule="auto"/>
        <w:rPr>
          <w:rFonts w:hint="eastAsia" w:ascii="黑体" w:hAnsi="黑体" w:cs="Times New Roman"/>
          <w:lang w:val="en-US" w:eastAsia="zh-CN"/>
        </w:rPr>
      </w:pPr>
      <w:bookmarkStart w:id="242" w:name="_Toc11613"/>
      <w:bookmarkStart w:id="243" w:name="_Toc23344"/>
      <w:bookmarkStart w:id="244" w:name="_Toc16287"/>
      <w:bookmarkStart w:id="245" w:name="_Toc17767"/>
      <w:bookmarkStart w:id="246" w:name="_Toc29603"/>
      <w:r>
        <w:rPr>
          <w:rFonts w:hint="eastAsia" w:ascii="黑体" w:hAnsi="黑体" w:cs="Times New Roman"/>
          <w:lang w:val="en-US" w:eastAsia="zh-CN"/>
        </w:rPr>
        <w:t>6.4 检验规则</w:t>
      </w:r>
      <w:bookmarkEnd w:id="242"/>
      <w:bookmarkEnd w:id="243"/>
      <w:bookmarkEnd w:id="244"/>
      <w:bookmarkEnd w:id="245"/>
      <w:bookmarkEnd w:id="246"/>
    </w:p>
    <w:p>
      <w:pPr>
        <w:adjustRightInd w:val="0"/>
        <w:snapToGrid w:val="0"/>
        <w:spacing w:line="360" w:lineRule="auto"/>
        <w:ind w:firstLine="420" w:firstLineChars="200"/>
        <w:outlineLvl w:val="9"/>
        <w:rPr>
          <w:rFonts w:hint="eastAsia"/>
          <w:lang w:val="en-US" w:eastAsia="zh-CN"/>
        </w:rPr>
      </w:pPr>
      <w:r>
        <w:rPr>
          <w:rFonts w:hint="eastAsia"/>
          <w:lang w:val="en-US" w:eastAsia="zh-CN"/>
        </w:rPr>
        <w:t>检验报告应具有试验方法、试验过程数据和试验结论。</w:t>
      </w:r>
    </w:p>
    <w:p>
      <w:pPr>
        <w:adjustRightInd w:val="0"/>
        <w:snapToGrid w:val="0"/>
        <w:spacing w:line="360" w:lineRule="auto"/>
        <w:ind w:firstLine="420" w:firstLineChars="200"/>
        <w:rPr>
          <w:color w:val="auto"/>
          <w:highlight w:val="none"/>
        </w:rPr>
      </w:pPr>
      <w:r>
        <w:rPr>
          <w:rFonts w:hint="eastAsia"/>
          <w:color w:val="auto"/>
          <w:highlight w:val="none"/>
        </w:rPr>
        <w:t>除另有规定外，各项检验应在如下试验条件下进行：</w:t>
      </w:r>
    </w:p>
    <w:p>
      <w:pPr>
        <w:adjustRightInd w:val="0"/>
        <w:snapToGrid w:val="0"/>
        <w:spacing w:line="360" w:lineRule="auto"/>
        <w:ind w:firstLine="420" w:firstLineChars="200"/>
        <w:rPr>
          <w:color w:val="auto"/>
          <w:highlight w:val="none"/>
        </w:rPr>
      </w:pPr>
      <w:r>
        <w:rPr>
          <w:rFonts w:hint="eastAsia"/>
          <w:color w:val="auto"/>
          <w:highlight w:val="none"/>
        </w:rPr>
        <w:t>1）环境温度：</w:t>
      </w:r>
      <w:r>
        <w:rPr>
          <w:color w:val="auto"/>
          <w:highlight w:val="none"/>
        </w:rPr>
        <w:t>+15</w:t>
      </w:r>
      <w:r>
        <w:rPr>
          <w:rFonts w:hint="eastAsia"/>
          <w:color w:val="auto"/>
          <w:highlight w:val="none"/>
        </w:rPr>
        <w:t>℃～</w:t>
      </w:r>
      <w:r>
        <w:rPr>
          <w:color w:val="auto"/>
          <w:highlight w:val="none"/>
        </w:rPr>
        <w:t>+35</w:t>
      </w:r>
      <w:r>
        <w:rPr>
          <w:rFonts w:hint="eastAsia"/>
          <w:color w:val="auto"/>
          <w:highlight w:val="none"/>
        </w:rPr>
        <w:t>℃；</w:t>
      </w:r>
    </w:p>
    <w:p>
      <w:pPr>
        <w:adjustRightInd w:val="0"/>
        <w:snapToGrid w:val="0"/>
        <w:spacing w:line="360" w:lineRule="auto"/>
        <w:ind w:firstLine="420" w:firstLineChars="200"/>
        <w:rPr>
          <w:color w:val="auto"/>
          <w:highlight w:val="none"/>
        </w:rPr>
      </w:pPr>
      <w:r>
        <w:rPr>
          <w:rFonts w:hint="eastAsia"/>
          <w:color w:val="auto"/>
          <w:highlight w:val="none"/>
        </w:rPr>
        <w:t>2）相对湿度：</w:t>
      </w:r>
      <w:r>
        <w:rPr>
          <w:color w:val="auto"/>
          <w:highlight w:val="none"/>
        </w:rPr>
        <w:t>25%RH</w:t>
      </w:r>
      <w:r>
        <w:rPr>
          <w:rFonts w:hint="eastAsia"/>
          <w:color w:val="auto"/>
          <w:highlight w:val="none"/>
        </w:rPr>
        <w:t>～</w:t>
      </w:r>
      <w:r>
        <w:rPr>
          <w:color w:val="auto"/>
          <w:highlight w:val="none"/>
        </w:rPr>
        <w:t>75%RH</w:t>
      </w:r>
      <w:r>
        <w:rPr>
          <w:rFonts w:hint="eastAsia"/>
          <w:color w:val="auto"/>
          <w:highlight w:val="none"/>
        </w:rPr>
        <w:t>；</w:t>
      </w:r>
    </w:p>
    <w:p>
      <w:pPr>
        <w:adjustRightInd w:val="0"/>
        <w:snapToGrid w:val="0"/>
        <w:spacing w:line="360" w:lineRule="auto"/>
        <w:ind w:firstLine="420" w:firstLineChars="200"/>
        <w:rPr>
          <w:rFonts w:hint="default"/>
          <w:lang w:val="en-US" w:eastAsia="zh-CN"/>
        </w:rPr>
      </w:pPr>
      <w:r>
        <w:rPr>
          <w:rFonts w:hint="eastAsia"/>
          <w:color w:val="auto"/>
          <w:highlight w:val="none"/>
        </w:rPr>
        <w:t>3）大气压力：</w:t>
      </w:r>
      <w:r>
        <w:rPr>
          <w:color w:val="auto"/>
          <w:highlight w:val="none"/>
        </w:rPr>
        <w:t>550hPa</w:t>
      </w:r>
      <w:r>
        <w:rPr>
          <w:rFonts w:hint="eastAsia"/>
          <w:color w:val="auto"/>
          <w:highlight w:val="none"/>
        </w:rPr>
        <w:t>～</w:t>
      </w:r>
      <w:r>
        <w:rPr>
          <w:color w:val="auto"/>
          <w:highlight w:val="none"/>
        </w:rPr>
        <w:t>1060hPa</w:t>
      </w:r>
      <w:r>
        <w:rPr>
          <w:rFonts w:hint="eastAsia"/>
          <w:color w:val="auto"/>
          <w:highlight w:val="none"/>
        </w:rPr>
        <w:t>。</w:t>
      </w:r>
    </w:p>
    <w:p>
      <w:pPr>
        <w:jc w:val="center"/>
        <w:rPr>
          <w:rFonts w:ascii="黑体" w:hAnsi="黑体" w:eastAsia="黑体" w:cs="黑体"/>
          <w:color w:val="auto"/>
          <w:szCs w:val="18"/>
          <w:highlight w:val="none"/>
        </w:rPr>
      </w:pPr>
      <w:r>
        <w:rPr>
          <w:rFonts w:hint="eastAsia" w:ascii="黑体" w:hAnsi="黑体" w:eastAsia="黑体" w:cs="黑体"/>
          <w:color w:val="auto"/>
          <w:szCs w:val="18"/>
          <w:highlight w:val="none"/>
        </w:rPr>
        <w:t>表7</w:t>
      </w:r>
      <w:r>
        <w:rPr>
          <w:rFonts w:ascii="黑体" w:hAnsi="黑体" w:eastAsia="黑体" w:cs="黑体"/>
          <w:color w:val="auto"/>
          <w:szCs w:val="18"/>
          <w:highlight w:val="none"/>
        </w:rPr>
        <w:t xml:space="preserve">.1 </w:t>
      </w:r>
      <w:r>
        <w:rPr>
          <w:rFonts w:hint="eastAsia" w:ascii="黑体" w:hAnsi="黑体" w:eastAsia="黑体" w:cs="黑体"/>
          <w:color w:val="auto"/>
          <w:szCs w:val="18"/>
          <w:highlight w:val="none"/>
        </w:rPr>
        <w:t>试验项目</w:t>
      </w:r>
    </w:p>
    <w:tbl>
      <w:tblPr>
        <w:tblStyle w:val="11"/>
        <w:tblW w:w="88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042"/>
        <w:gridCol w:w="2002"/>
        <w:gridCol w:w="996"/>
        <w:gridCol w:w="708"/>
        <w:gridCol w:w="708"/>
        <w:gridCol w:w="696"/>
        <w:gridCol w:w="648"/>
        <w:gridCol w:w="684"/>
        <w:gridCol w:w="7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jc w:val="center"/>
              <w:rPr>
                <w:rFonts w:ascii="宋体" w:hAnsi="宋体"/>
                <w:color w:val="auto"/>
                <w:sz w:val="18"/>
                <w:szCs w:val="18"/>
                <w:highlight w:val="none"/>
                <w:lang w:eastAsia="en-US"/>
              </w:rPr>
            </w:pPr>
            <w:r>
              <w:rPr>
                <w:rFonts w:hint="eastAsia" w:ascii="宋体" w:hAnsi="宋体"/>
                <w:color w:val="auto"/>
                <w:sz w:val="18"/>
                <w:szCs w:val="18"/>
                <w:highlight w:val="none"/>
                <w:lang w:eastAsia="en-US"/>
              </w:rPr>
              <w:t>序号</w:t>
            </w:r>
          </w:p>
        </w:tc>
        <w:tc>
          <w:tcPr>
            <w:tcW w:w="1042" w:type="dxa"/>
            <w:noWrap w:val="0"/>
            <w:vAlign w:val="center"/>
          </w:tcPr>
          <w:p>
            <w:pPr>
              <w:jc w:val="center"/>
              <w:rPr>
                <w:rFonts w:ascii="宋体" w:hAnsi="宋体"/>
                <w:color w:val="auto"/>
                <w:sz w:val="18"/>
                <w:szCs w:val="18"/>
                <w:highlight w:val="none"/>
                <w:lang w:eastAsia="en-US"/>
              </w:rPr>
            </w:pPr>
            <w:r>
              <w:rPr>
                <w:rFonts w:hint="eastAsia" w:ascii="宋体" w:hAnsi="宋体"/>
                <w:color w:val="auto"/>
                <w:sz w:val="18"/>
                <w:szCs w:val="18"/>
                <w:highlight w:val="none"/>
              </w:rPr>
              <w:t>试验</w:t>
            </w:r>
            <w:r>
              <w:rPr>
                <w:rFonts w:hint="eastAsia" w:ascii="宋体" w:hAnsi="宋体"/>
                <w:color w:val="auto"/>
                <w:sz w:val="18"/>
                <w:szCs w:val="18"/>
                <w:highlight w:val="none"/>
                <w:lang w:eastAsia="en-US"/>
              </w:rPr>
              <w:t>项目分类</w:t>
            </w:r>
          </w:p>
        </w:tc>
        <w:tc>
          <w:tcPr>
            <w:tcW w:w="2002" w:type="dxa"/>
            <w:noWrap w:val="0"/>
            <w:vAlign w:val="center"/>
          </w:tcPr>
          <w:p>
            <w:pPr>
              <w:jc w:val="center"/>
              <w:rPr>
                <w:rFonts w:ascii="宋体" w:hAnsi="宋体"/>
                <w:color w:val="auto"/>
                <w:sz w:val="18"/>
                <w:szCs w:val="18"/>
                <w:highlight w:val="none"/>
                <w:lang w:eastAsia="en-US"/>
              </w:rPr>
            </w:pPr>
            <w:r>
              <w:rPr>
                <w:rFonts w:hint="eastAsia" w:ascii="宋体" w:hAnsi="宋体"/>
                <w:color w:val="auto"/>
                <w:sz w:val="18"/>
                <w:szCs w:val="18"/>
                <w:highlight w:val="none"/>
                <w:lang w:eastAsia="en-US"/>
              </w:rPr>
              <w:t>检验项目</w:t>
            </w:r>
          </w:p>
        </w:tc>
        <w:tc>
          <w:tcPr>
            <w:tcW w:w="996" w:type="dxa"/>
            <w:noWrap w:val="0"/>
            <w:vAlign w:val="top"/>
          </w:tcPr>
          <w:p>
            <w:pPr>
              <w:jc w:val="center"/>
              <w:rPr>
                <w:rFonts w:ascii="宋体" w:hAnsi="宋体"/>
                <w:color w:val="auto"/>
                <w:sz w:val="18"/>
                <w:szCs w:val="18"/>
                <w:highlight w:val="none"/>
              </w:rPr>
            </w:pPr>
            <w:r>
              <w:rPr>
                <w:rFonts w:hint="eastAsia" w:ascii="宋体" w:hAnsi="宋体"/>
                <w:color w:val="auto"/>
                <w:sz w:val="18"/>
                <w:szCs w:val="18"/>
                <w:highlight w:val="none"/>
                <w:lang w:eastAsia="en-US"/>
              </w:rPr>
              <w:t>依据</w:t>
            </w:r>
          </w:p>
          <w:p>
            <w:pPr>
              <w:jc w:val="center"/>
              <w:rPr>
                <w:rFonts w:ascii="宋体" w:hAnsi="宋体"/>
                <w:color w:val="auto"/>
                <w:sz w:val="18"/>
                <w:szCs w:val="18"/>
                <w:highlight w:val="none"/>
                <w:lang w:eastAsia="en-US"/>
              </w:rPr>
            </w:pPr>
            <w:r>
              <w:rPr>
                <w:rFonts w:hint="eastAsia" w:ascii="宋体" w:hAnsi="宋体"/>
                <w:color w:val="auto"/>
                <w:sz w:val="18"/>
                <w:szCs w:val="18"/>
                <w:highlight w:val="none"/>
                <w:lang w:eastAsia="en-US"/>
              </w:rPr>
              <w:t>条款</w:t>
            </w:r>
          </w:p>
        </w:tc>
        <w:tc>
          <w:tcPr>
            <w:tcW w:w="708" w:type="dxa"/>
            <w:noWrap w:val="0"/>
            <w:vAlign w:val="center"/>
          </w:tcPr>
          <w:p>
            <w:pPr>
              <w:jc w:val="center"/>
              <w:rPr>
                <w:rFonts w:ascii="宋体" w:hAnsi="宋体"/>
                <w:color w:val="auto"/>
                <w:sz w:val="18"/>
                <w:szCs w:val="18"/>
                <w:highlight w:val="none"/>
                <w:lang w:eastAsia="en-US"/>
              </w:rPr>
            </w:pPr>
            <w:r>
              <w:rPr>
                <w:rFonts w:hint="eastAsia" w:ascii="宋体" w:hAnsi="宋体"/>
                <w:color w:val="auto"/>
                <w:sz w:val="18"/>
                <w:szCs w:val="18"/>
                <w:highlight w:val="none"/>
                <w:lang w:eastAsia="en-US"/>
              </w:rPr>
              <w:t>型式</w:t>
            </w:r>
          </w:p>
          <w:p>
            <w:pPr>
              <w:jc w:val="center"/>
              <w:rPr>
                <w:rFonts w:ascii="宋体" w:hAnsi="宋体"/>
                <w:color w:val="auto"/>
                <w:sz w:val="18"/>
                <w:szCs w:val="18"/>
                <w:highlight w:val="none"/>
                <w:lang w:eastAsia="en-US"/>
              </w:rPr>
            </w:pPr>
            <w:r>
              <w:rPr>
                <w:rFonts w:hint="eastAsia" w:ascii="宋体" w:hAnsi="宋体"/>
                <w:color w:val="auto"/>
                <w:sz w:val="18"/>
                <w:szCs w:val="18"/>
                <w:highlight w:val="none"/>
                <w:lang w:eastAsia="en-US"/>
              </w:rPr>
              <w:t>试验</w:t>
            </w:r>
          </w:p>
        </w:tc>
        <w:tc>
          <w:tcPr>
            <w:tcW w:w="708" w:type="dxa"/>
            <w:noWrap w:val="0"/>
            <w:vAlign w:val="center"/>
          </w:tcPr>
          <w:p>
            <w:pPr>
              <w:jc w:val="center"/>
              <w:rPr>
                <w:rFonts w:ascii="宋体" w:hAnsi="宋体"/>
                <w:color w:val="auto"/>
                <w:sz w:val="18"/>
                <w:szCs w:val="18"/>
                <w:highlight w:val="none"/>
                <w:lang w:eastAsia="en-US"/>
              </w:rPr>
            </w:pPr>
            <w:r>
              <w:rPr>
                <w:rFonts w:hint="eastAsia" w:ascii="宋体" w:hAnsi="宋体"/>
                <w:color w:val="auto"/>
                <w:sz w:val="18"/>
                <w:szCs w:val="18"/>
                <w:highlight w:val="none"/>
                <w:lang w:eastAsia="en-US"/>
              </w:rPr>
              <w:t>出厂</w:t>
            </w:r>
          </w:p>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试验</w:t>
            </w:r>
          </w:p>
        </w:tc>
        <w:tc>
          <w:tcPr>
            <w:tcW w:w="696" w:type="dxa"/>
            <w:noWrap w:val="0"/>
            <w:vAlign w:val="top"/>
          </w:tcPr>
          <w:p>
            <w:pPr>
              <w:jc w:val="center"/>
              <w:rPr>
                <w:rFonts w:ascii="宋体" w:hAnsi="宋体"/>
                <w:color w:val="auto"/>
                <w:sz w:val="18"/>
                <w:szCs w:val="18"/>
                <w:highlight w:val="none"/>
                <w:lang w:eastAsia="en-US"/>
              </w:rPr>
            </w:pPr>
            <w:r>
              <w:rPr>
                <w:rFonts w:hint="eastAsia" w:ascii="宋体" w:hAnsi="宋体"/>
                <w:color w:val="auto"/>
                <w:sz w:val="18"/>
                <w:szCs w:val="18"/>
                <w:highlight w:val="none"/>
              </w:rPr>
              <w:t>送检</w:t>
            </w:r>
          </w:p>
          <w:p>
            <w:pPr>
              <w:jc w:val="center"/>
              <w:rPr>
                <w:rFonts w:hint="eastAsia" w:ascii="宋体" w:hAnsi="宋体"/>
                <w:color w:val="auto"/>
                <w:sz w:val="18"/>
                <w:szCs w:val="18"/>
                <w:highlight w:val="none"/>
                <w:lang w:eastAsia="en-US"/>
              </w:rPr>
            </w:pPr>
            <w:r>
              <w:rPr>
                <w:rFonts w:hint="eastAsia" w:ascii="宋体" w:hAnsi="宋体"/>
                <w:color w:val="auto"/>
                <w:sz w:val="18"/>
                <w:szCs w:val="18"/>
                <w:highlight w:val="none"/>
                <w:lang w:val="en-US" w:eastAsia="zh-CN"/>
              </w:rPr>
              <w:t>检测</w:t>
            </w:r>
          </w:p>
        </w:tc>
        <w:tc>
          <w:tcPr>
            <w:tcW w:w="648" w:type="dxa"/>
            <w:noWrap w:val="0"/>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专项抽检</w:t>
            </w:r>
          </w:p>
        </w:tc>
        <w:tc>
          <w:tcPr>
            <w:tcW w:w="684" w:type="dxa"/>
            <w:noWrap w:val="0"/>
            <w:vAlign w:val="top"/>
          </w:tcPr>
          <w:p>
            <w:pPr>
              <w:jc w:val="center"/>
              <w:rPr>
                <w:rFonts w:ascii="宋体" w:hAnsi="宋体"/>
                <w:color w:val="auto"/>
                <w:sz w:val="18"/>
                <w:szCs w:val="18"/>
                <w:highlight w:val="none"/>
              </w:rPr>
            </w:pPr>
            <w:r>
              <w:rPr>
                <w:rFonts w:hint="eastAsia" w:ascii="宋体" w:hAnsi="宋体"/>
                <w:color w:val="auto"/>
                <w:sz w:val="18"/>
                <w:szCs w:val="18"/>
                <w:highlight w:val="none"/>
              </w:rPr>
              <w:t>交接</w:t>
            </w:r>
          </w:p>
          <w:p>
            <w:pPr>
              <w:jc w:val="center"/>
              <w:rPr>
                <w:rFonts w:hint="eastAsia" w:ascii="宋体" w:hAnsi="宋体"/>
                <w:color w:val="auto"/>
                <w:sz w:val="18"/>
                <w:szCs w:val="18"/>
                <w:highlight w:val="none"/>
                <w:lang w:eastAsia="en-US"/>
              </w:rPr>
            </w:pPr>
            <w:r>
              <w:rPr>
                <w:rFonts w:hint="eastAsia" w:ascii="宋体" w:hAnsi="宋体"/>
                <w:color w:val="auto"/>
                <w:sz w:val="18"/>
                <w:szCs w:val="18"/>
                <w:highlight w:val="none"/>
              </w:rPr>
              <w:t>试验</w:t>
            </w:r>
          </w:p>
        </w:tc>
        <w:tc>
          <w:tcPr>
            <w:tcW w:w="744" w:type="dxa"/>
            <w:noWrap w:val="0"/>
            <w:vAlign w:val="top"/>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到货抽检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ascii="宋体" w:hAnsi="宋体"/>
                <w:color w:val="auto"/>
                <w:sz w:val="18"/>
                <w:szCs w:val="18"/>
                <w:highlight w:val="none"/>
              </w:rPr>
            </w:pPr>
            <w:r>
              <w:rPr>
                <w:rFonts w:ascii="宋体" w:hAnsi="宋体"/>
                <w:color w:val="auto"/>
                <w:sz w:val="18"/>
                <w:szCs w:val="18"/>
                <w:highlight w:val="none"/>
              </w:rPr>
              <w:t>1</w:t>
            </w:r>
          </w:p>
        </w:tc>
        <w:tc>
          <w:tcPr>
            <w:tcW w:w="1042"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功能检验</w:t>
            </w: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功能检验（含数据传输规约测试）</w:t>
            </w:r>
          </w:p>
        </w:tc>
        <w:tc>
          <w:tcPr>
            <w:tcW w:w="996"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lang w:eastAsia="zh-CN"/>
              </w:rPr>
              <w:t>5</w:t>
            </w:r>
            <w:r>
              <w:rPr>
                <w:rFonts w:ascii="宋体" w:hAnsi="宋体"/>
                <w:color w:val="auto"/>
                <w:sz w:val="18"/>
                <w:szCs w:val="18"/>
                <w:highlight w:val="none"/>
              </w:rPr>
              <w:t>.3</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sz w:val="18"/>
                <w:szCs w:val="18"/>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2</w:t>
            </w:r>
          </w:p>
        </w:tc>
        <w:tc>
          <w:tcPr>
            <w:tcW w:w="1042" w:type="dxa"/>
            <w:vMerge w:val="restart"/>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绝缘性能试验</w:t>
            </w:r>
          </w:p>
        </w:tc>
        <w:tc>
          <w:tcPr>
            <w:tcW w:w="2002" w:type="dxa"/>
            <w:noWrap w:val="0"/>
            <w:vAlign w:val="center"/>
          </w:tcPr>
          <w:p>
            <w:pPr>
              <w:topLinePunct/>
              <w:snapToGrid w:val="0"/>
              <w:spacing w:before="55" w:after="55"/>
              <w:rPr>
                <w:rFonts w:hint="eastAsia" w:ascii="宋体" w:hAnsi="宋体"/>
                <w:color w:val="auto"/>
                <w:sz w:val="18"/>
                <w:szCs w:val="18"/>
                <w:highlight w:val="none"/>
              </w:rPr>
            </w:pPr>
            <w:r>
              <w:rPr>
                <w:rFonts w:hint="eastAsia" w:ascii="宋体" w:hAnsi="宋体"/>
                <w:color w:val="auto"/>
                <w:sz w:val="18"/>
                <w:szCs w:val="18"/>
                <w:highlight w:val="none"/>
              </w:rPr>
              <w:t>绝缘电阻试验</w:t>
            </w:r>
          </w:p>
        </w:tc>
        <w:tc>
          <w:tcPr>
            <w:tcW w:w="996"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4</w:t>
            </w:r>
            <w:r>
              <w:rPr>
                <w:rFonts w:ascii="宋体" w:hAnsi="宋体"/>
                <w:color w:val="auto"/>
                <w:sz w:val="18"/>
                <w:szCs w:val="18"/>
                <w:highlight w:val="none"/>
              </w:rPr>
              <w:t>.1</w:t>
            </w:r>
          </w:p>
        </w:tc>
        <w:tc>
          <w:tcPr>
            <w:tcW w:w="708"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3</w:t>
            </w:r>
          </w:p>
        </w:tc>
        <w:tc>
          <w:tcPr>
            <w:tcW w:w="1042" w:type="dxa"/>
            <w:vMerge w:val="continue"/>
            <w:noWrap w:val="0"/>
            <w:vAlign w:val="center"/>
          </w:tcPr>
          <w:p>
            <w:pPr>
              <w:topLinePunct/>
              <w:snapToGrid w:val="0"/>
              <w:spacing w:before="55" w:after="55"/>
              <w:jc w:val="center"/>
              <w:rPr>
                <w:rFonts w:hint="eastAsia" w:ascii="宋体" w:hAnsi="宋体"/>
                <w:color w:val="auto"/>
                <w:sz w:val="18"/>
                <w:szCs w:val="18"/>
                <w:highlight w:val="none"/>
              </w:rPr>
            </w:pPr>
          </w:p>
        </w:tc>
        <w:tc>
          <w:tcPr>
            <w:tcW w:w="2002" w:type="dxa"/>
            <w:noWrap w:val="0"/>
            <w:vAlign w:val="center"/>
          </w:tcPr>
          <w:p>
            <w:pPr>
              <w:topLinePunct/>
              <w:snapToGrid w:val="0"/>
              <w:spacing w:before="55" w:after="55"/>
              <w:rPr>
                <w:rFonts w:hint="eastAsia" w:ascii="宋体" w:hAnsi="宋体"/>
                <w:color w:val="auto"/>
                <w:sz w:val="18"/>
                <w:szCs w:val="18"/>
                <w:highlight w:val="none"/>
              </w:rPr>
            </w:pPr>
            <w:r>
              <w:rPr>
                <w:rFonts w:hint="eastAsia" w:ascii="宋体" w:hAnsi="宋体"/>
                <w:color w:val="auto"/>
                <w:sz w:val="18"/>
                <w:szCs w:val="18"/>
                <w:highlight w:val="none"/>
              </w:rPr>
              <w:t>介质强度试验</w:t>
            </w:r>
          </w:p>
        </w:tc>
        <w:tc>
          <w:tcPr>
            <w:tcW w:w="996"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4</w:t>
            </w:r>
            <w:r>
              <w:rPr>
                <w:rFonts w:ascii="宋体" w:hAnsi="宋体"/>
                <w:color w:val="auto"/>
                <w:sz w:val="18"/>
                <w:szCs w:val="18"/>
                <w:highlight w:val="none"/>
              </w:rPr>
              <w:t>.2</w:t>
            </w:r>
          </w:p>
        </w:tc>
        <w:tc>
          <w:tcPr>
            <w:tcW w:w="708"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4</w:t>
            </w:r>
          </w:p>
        </w:tc>
        <w:tc>
          <w:tcPr>
            <w:tcW w:w="1042" w:type="dxa"/>
            <w:vMerge w:val="continue"/>
            <w:noWrap w:val="0"/>
            <w:vAlign w:val="center"/>
          </w:tcPr>
          <w:p>
            <w:pPr>
              <w:topLinePunct/>
              <w:snapToGrid w:val="0"/>
              <w:spacing w:before="55" w:after="55"/>
              <w:jc w:val="center"/>
              <w:rPr>
                <w:rFonts w:hint="eastAsia" w:ascii="宋体" w:hAnsi="宋体"/>
                <w:color w:val="auto"/>
                <w:sz w:val="18"/>
                <w:szCs w:val="18"/>
                <w:highlight w:val="none"/>
              </w:rPr>
            </w:pPr>
          </w:p>
        </w:tc>
        <w:tc>
          <w:tcPr>
            <w:tcW w:w="2002" w:type="dxa"/>
            <w:noWrap w:val="0"/>
            <w:vAlign w:val="center"/>
          </w:tcPr>
          <w:p>
            <w:pPr>
              <w:topLinePunct/>
              <w:snapToGrid w:val="0"/>
              <w:spacing w:before="55" w:after="55"/>
              <w:rPr>
                <w:rFonts w:hint="eastAsia" w:ascii="宋体" w:hAnsi="宋体"/>
                <w:color w:val="auto"/>
                <w:sz w:val="18"/>
                <w:szCs w:val="18"/>
                <w:highlight w:val="none"/>
              </w:rPr>
            </w:pPr>
            <w:r>
              <w:rPr>
                <w:rFonts w:hint="eastAsia" w:ascii="宋体" w:hAnsi="宋体"/>
                <w:color w:val="auto"/>
                <w:sz w:val="18"/>
                <w:szCs w:val="18"/>
                <w:highlight w:val="none"/>
              </w:rPr>
              <w:t>冲击电压试验</w:t>
            </w:r>
          </w:p>
        </w:tc>
        <w:tc>
          <w:tcPr>
            <w:tcW w:w="996"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4</w:t>
            </w:r>
            <w:r>
              <w:rPr>
                <w:rFonts w:ascii="宋体" w:hAnsi="宋体"/>
                <w:color w:val="auto"/>
                <w:sz w:val="18"/>
                <w:szCs w:val="18"/>
                <w:highlight w:val="none"/>
              </w:rPr>
              <w:t>.3</w:t>
            </w:r>
          </w:p>
        </w:tc>
        <w:tc>
          <w:tcPr>
            <w:tcW w:w="708"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5</w:t>
            </w:r>
          </w:p>
        </w:tc>
        <w:tc>
          <w:tcPr>
            <w:tcW w:w="1042" w:type="dxa"/>
            <w:vMerge w:val="restart"/>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电磁兼容试验</w:t>
            </w: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静电放电抗扰度试验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1</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5</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电快速瞬变脉冲群抗扰度试验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2</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top"/>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7</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浪涌</w:t>
            </w:r>
            <w:r>
              <w:rPr>
                <w:rFonts w:ascii="宋体" w:hAnsi="宋体"/>
                <w:color w:val="auto"/>
                <w:sz w:val="18"/>
                <w:szCs w:val="18"/>
                <w:highlight w:val="none"/>
              </w:rPr>
              <w:t>(</w:t>
            </w:r>
            <w:r>
              <w:rPr>
                <w:rFonts w:hint="eastAsia" w:ascii="宋体" w:hAnsi="宋体"/>
                <w:color w:val="auto"/>
                <w:sz w:val="18"/>
                <w:szCs w:val="18"/>
                <w:highlight w:val="none"/>
              </w:rPr>
              <w:t>冲击</w:t>
            </w:r>
            <w:r>
              <w:rPr>
                <w:rFonts w:ascii="宋体" w:hAnsi="宋体"/>
                <w:color w:val="auto"/>
                <w:sz w:val="18"/>
                <w:szCs w:val="18"/>
                <w:highlight w:val="none"/>
              </w:rPr>
              <w:t>)</w:t>
            </w:r>
            <w:r>
              <w:rPr>
                <w:rFonts w:hint="eastAsia" w:ascii="宋体" w:hAnsi="宋体"/>
                <w:color w:val="auto"/>
                <w:sz w:val="18"/>
                <w:szCs w:val="18"/>
                <w:highlight w:val="none"/>
              </w:rPr>
              <w:t>抗扰度试验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3</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top"/>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8</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工频磁场抗扰度试验</w:t>
            </w:r>
          </w:p>
        </w:tc>
        <w:tc>
          <w:tcPr>
            <w:tcW w:w="996"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4</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top"/>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9</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脉冲磁场抗扰度试验</w:t>
            </w:r>
          </w:p>
        </w:tc>
        <w:tc>
          <w:tcPr>
            <w:tcW w:w="996"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5</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top"/>
          </w:tcPr>
          <w:p>
            <w:pPr>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10</w:t>
            </w:r>
          </w:p>
        </w:tc>
        <w:tc>
          <w:tcPr>
            <w:tcW w:w="1042" w:type="dxa"/>
            <w:vMerge w:val="restart"/>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环境试验</w:t>
            </w: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低温试验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1</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1</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高温试验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2</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2</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恒定湿热试验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3</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3</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温度变化试验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4</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4</w:t>
            </w:r>
          </w:p>
        </w:tc>
        <w:tc>
          <w:tcPr>
            <w:tcW w:w="1042" w:type="dxa"/>
            <w:vMerge w:val="restart"/>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机械性能试验</w:t>
            </w: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振动试验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7</w:t>
            </w:r>
            <w:r>
              <w:rPr>
                <w:rFonts w:ascii="宋体" w:hAnsi="宋体"/>
                <w:color w:val="auto"/>
                <w:sz w:val="18"/>
                <w:szCs w:val="18"/>
                <w:highlight w:val="none"/>
              </w:rPr>
              <w:t>.</w:t>
            </w:r>
            <w:r>
              <w:rPr>
                <w:rFonts w:hint="eastAsia" w:ascii="宋体" w:hAnsi="宋体"/>
                <w:color w:val="auto"/>
                <w:sz w:val="18"/>
                <w:szCs w:val="18"/>
                <w:highlight w:val="none"/>
                <w:lang w:val="en-US" w:eastAsia="zh-CN"/>
              </w:rPr>
              <w:t>1</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eastAsia"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5</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冲击试验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7</w:t>
            </w:r>
            <w:r>
              <w:rPr>
                <w:rFonts w:ascii="宋体" w:hAnsi="宋体"/>
                <w:color w:val="auto"/>
                <w:sz w:val="18"/>
                <w:szCs w:val="18"/>
                <w:highlight w:val="none"/>
              </w:rPr>
              <w:t>.</w:t>
            </w:r>
            <w:r>
              <w:rPr>
                <w:rFonts w:hint="eastAsia" w:ascii="宋体" w:hAnsi="宋体"/>
                <w:color w:val="auto"/>
                <w:sz w:val="18"/>
                <w:szCs w:val="18"/>
                <w:highlight w:val="none"/>
                <w:lang w:val="en-US" w:eastAsia="zh-CN"/>
              </w:rPr>
              <w:t>2</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16</w:t>
            </w:r>
          </w:p>
        </w:tc>
        <w:tc>
          <w:tcPr>
            <w:tcW w:w="1042" w:type="dxa"/>
            <w:vMerge w:val="continue"/>
            <w:noWrap w:val="0"/>
            <w:vAlign w:val="center"/>
          </w:tcPr>
          <w:p>
            <w:pPr>
              <w:topLinePunct/>
              <w:snapToGrid w:val="0"/>
              <w:spacing w:before="55" w:after="55"/>
              <w:jc w:val="center"/>
              <w:rPr>
                <w:rFonts w:ascii="宋体" w:hAnsi="宋体"/>
                <w:color w:val="auto"/>
                <w:sz w:val="18"/>
                <w:szCs w:val="18"/>
                <w:highlight w:val="none"/>
              </w:rPr>
            </w:pP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碰撞试验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7</w:t>
            </w:r>
            <w:r>
              <w:rPr>
                <w:rFonts w:ascii="宋体" w:hAnsi="宋体"/>
                <w:color w:val="auto"/>
                <w:sz w:val="18"/>
                <w:szCs w:val="18"/>
                <w:highlight w:val="none"/>
              </w:rPr>
              <w:t>.</w:t>
            </w:r>
            <w:r>
              <w:rPr>
                <w:rFonts w:hint="eastAsia" w:ascii="宋体" w:hAnsi="宋体"/>
                <w:color w:val="auto"/>
                <w:sz w:val="18"/>
                <w:szCs w:val="18"/>
                <w:highlight w:val="none"/>
                <w:lang w:val="en-US" w:eastAsia="zh-CN"/>
              </w:rPr>
              <w:t>3</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top"/>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17</w:t>
            </w:r>
          </w:p>
        </w:tc>
        <w:tc>
          <w:tcPr>
            <w:tcW w:w="1042"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功耗试验</w:t>
            </w:r>
          </w:p>
        </w:tc>
        <w:tc>
          <w:tcPr>
            <w:tcW w:w="2002" w:type="dxa"/>
            <w:noWrap w:val="0"/>
            <w:vAlign w:val="center"/>
          </w:tcPr>
          <w:p>
            <w:pPr>
              <w:topLinePunct/>
              <w:snapToGrid w:val="0"/>
              <w:spacing w:before="55" w:after="55"/>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功耗试验</w:t>
            </w:r>
          </w:p>
        </w:tc>
        <w:tc>
          <w:tcPr>
            <w:tcW w:w="996" w:type="dxa"/>
            <w:noWrap w:val="0"/>
            <w:vAlign w:val="top"/>
          </w:tcPr>
          <w:p>
            <w:pPr>
              <w:topLinePunct/>
              <w:snapToGrid w:val="0"/>
              <w:spacing w:before="55" w:after="55"/>
              <w:jc w:val="center"/>
              <w:rPr>
                <w:rFonts w:hint="default" w:ascii="宋体" w:hAnsi="宋体" w:eastAsia="宋体"/>
                <w:color w:val="auto"/>
                <w:kern w:val="2"/>
                <w:sz w:val="18"/>
                <w:szCs w:val="18"/>
                <w:highlight w:val="none"/>
                <w:lang w:val="en-US" w:eastAsia="zh-CN" w:bidi="ar-SA"/>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8</w:t>
            </w:r>
          </w:p>
        </w:tc>
        <w:tc>
          <w:tcPr>
            <w:tcW w:w="708" w:type="dxa"/>
            <w:noWrap w:val="0"/>
            <w:vAlign w:val="center"/>
          </w:tcPr>
          <w:p>
            <w:pPr>
              <w:topLinePunct/>
              <w:snapToGrid w:val="0"/>
              <w:spacing w:before="55" w:after="55"/>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w:t>
            </w:r>
          </w:p>
        </w:tc>
        <w:tc>
          <w:tcPr>
            <w:tcW w:w="648" w:type="dxa"/>
            <w:noWrap w:val="0"/>
            <w:vAlign w:val="center"/>
          </w:tcPr>
          <w:p>
            <w:pPr>
              <w:topLinePunct/>
              <w:snapToGrid w:val="0"/>
              <w:spacing w:before="55" w:after="55"/>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18</w:t>
            </w:r>
          </w:p>
        </w:tc>
        <w:tc>
          <w:tcPr>
            <w:tcW w:w="1042"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结构和外观检查</w:t>
            </w: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结构和外观检查</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eastAsia="zh-CN"/>
              </w:rPr>
              <w:t>5</w:t>
            </w:r>
            <w:r>
              <w:rPr>
                <w:rFonts w:ascii="宋体" w:hAnsi="宋体"/>
                <w:color w:val="auto"/>
                <w:sz w:val="18"/>
                <w:szCs w:val="18"/>
                <w:highlight w:val="none"/>
              </w:rPr>
              <w:t>.</w:t>
            </w:r>
            <w:r>
              <w:rPr>
                <w:rFonts w:hint="eastAsia" w:ascii="宋体" w:hAnsi="宋体"/>
                <w:color w:val="auto"/>
                <w:sz w:val="18"/>
                <w:szCs w:val="18"/>
                <w:highlight w:val="none"/>
                <w:lang w:val="en-US" w:eastAsia="zh-CN"/>
              </w:rPr>
              <w:t>9</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19</w:t>
            </w:r>
          </w:p>
        </w:tc>
        <w:tc>
          <w:tcPr>
            <w:tcW w:w="1042"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防护等级试验</w:t>
            </w:r>
          </w:p>
        </w:tc>
        <w:tc>
          <w:tcPr>
            <w:tcW w:w="2002" w:type="dxa"/>
            <w:noWrap w:val="0"/>
            <w:vAlign w:val="center"/>
          </w:tcPr>
          <w:p>
            <w:pPr>
              <w:topLinePunct/>
              <w:snapToGrid w:val="0"/>
              <w:spacing w:before="55" w:after="55"/>
              <w:rPr>
                <w:rFonts w:ascii="宋体" w:hAnsi="宋体"/>
                <w:color w:val="auto"/>
                <w:sz w:val="18"/>
                <w:szCs w:val="18"/>
                <w:highlight w:val="none"/>
              </w:rPr>
            </w:pPr>
            <w:r>
              <w:rPr>
                <w:rFonts w:hint="eastAsia" w:ascii="宋体" w:hAnsi="宋体"/>
                <w:color w:val="auto"/>
                <w:sz w:val="18"/>
                <w:szCs w:val="18"/>
                <w:highlight w:val="none"/>
              </w:rPr>
              <w:t>防护等级试验</w:t>
            </w:r>
          </w:p>
        </w:tc>
        <w:tc>
          <w:tcPr>
            <w:tcW w:w="996" w:type="dxa"/>
            <w:noWrap w:val="0"/>
            <w:vAlign w:val="top"/>
          </w:tcPr>
          <w:p>
            <w:pPr>
              <w:topLinePunct/>
              <w:snapToGrid w:val="0"/>
              <w:spacing w:before="55" w:after="55"/>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5</w:t>
            </w:r>
            <w:r>
              <w:rPr>
                <w:rFonts w:hint="eastAsia" w:ascii="宋体" w:hAnsi="宋体"/>
                <w:color w:val="auto"/>
                <w:sz w:val="18"/>
                <w:szCs w:val="18"/>
                <w:highlight w:val="none"/>
              </w:rPr>
              <w:t>.1</w:t>
            </w:r>
            <w:r>
              <w:rPr>
                <w:rFonts w:hint="eastAsia" w:ascii="宋体" w:hAnsi="宋体"/>
                <w:color w:val="auto"/>
                <w:sz w:val="18"/>
                <w:szCs w:val="18"/>
                <w:highlight w:val="none"/>
                <w:lang w:val="en-US" w:eastAsia="zh-CN"/>
              </w:rPr>
              <w:t>0</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70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648" w:type="dxa"/>
            <w:noWrap w:val="0"/>
            <w:vAlign w:val="center"/>
          </w:tcPr>
          <w:p>
            <w:pPr>
              <w:topLinePunct/>
              <w:snapToGrid w:val="0"/>
              <w:spacing w:before="55" w:after="55"/>
              <w:jc w:val="center"/>
              <w:rPr>
                <w:rFonts w:ascii="宋体" w:hAnsi="宋体"/>
                <w:color w:val="auto"/>
                <w:sz w:val="18"/>
                <w:szCs w:val="18"/>
                <w:highlight w:val="none"/>
              </w:rPr>
            </w:pPr>
            <w:r>
              <w:rPr>
                <w:rFonts w:hint="eastAsia" w:ascii="宋体" w:hAnsi="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c>
          <w:tcPr>
            <w:tcW w:w="744" w:type="dxa"/>
            <w:noWrap w:val="0"/>
            <w:vAlign w:val="center"/>
          </w:tcPr>
          <w:p>
            <w:pPr>
              <w:topLinePunct/>
              <w:snapToGrid w:val="0"/>
              <w:spacing w:before="55" w:after="55"/>
              <w:jc w:val="center"/>
              <w:rPr>
                <w:rFonts w:hint="eastAsia" w:ascii="宋体" w:hAnsi="宋体"/>
                <w:color w:val="auto"/>
                <w:sz w:val="18"/>
                <w:szCs w:val="18"/>
                <w:highlight w:val="none"/>
              </w:rPr>
            </w:pPr>
            <w:r>
              <w:rPr>
                <w:rFonts w:hint="eastAsia" w:ascii="宋体" w:hAnsi="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center"/>
          </w:tcPr>
          <w:p>
            <w:pPr>
              <w:topLinePunct/>
              <w:snapToGrid w:val="0"/>
              <w:spacing w:before="55" w:after="55"/>
              <w:jc w:val="center"/>
              <w:rPr>
                <w:rFonts w:hint="default" w:ascii="宋体" w:hAnsi="宋体"/>
                <w:color w:val="auto"/>
                <w:sz w:val="18"/>
                <w:szCs w:val="18"/>
                <w:highlight w:val="none"/>
                <w:lang w:val="en-US" w:eastAsia="zh-CN"/>
              </w:rPr>
            </w:pPr>
            <w:r>
              <w:rPr>
                <w:rFonts w:hint="eastAsia" w:ascii="宋体" w:hAnsi="宋体"/>
                <w:color w:val="auto"/>
                <w:sz w:val="18"/>
                <w:szCs w:val="18"/>
                <w:highlight w:val="none"/>
                <w:lang w:val="en-US" w:eastAsia="zh-CN"/>
              </w:rPr>
              <w:t>20</w:t>
            </w:r>
          </w:p>
        </w:tc>
        <w:tc>
          <w:tcPr>
            <w:tcW w:w="1042" w:type="dxa"/>
            <w:noWrap w:val="0"/>
            <w:vAlign w:val="center"/>
          </w:tcPr>
          <w:p>
            <w:pPr>
              <w:topLinePunct/>
              <w:snapToGrid w:val="0"/>
              <w:spacing w:before="55" w:after="55"/>
              <w:jc w:val="center"/>
              <w:rPr>
                <w:rFonts w:hint="eastAsia"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eastAsia="zh-CN"/>
              </w:rPr>
              <w:t>整机性能试验</w:t>
            </w:r>
          </w:p>
        </w:tc>
        <w:tc>
          <w:tcPr>
            <w:tcW w:w="2002" w:type="dxa"/>
            <w:noWrap w:val="0"/>
            <w:vAlign w:val="center"/>
          </w:tcPr>
          <w:p>
            <w:pPr>
              <w:topLinePunct/>
              <w:snapToGrid w:val="0"/>
              <w:spacing w:before="55" w:after="55"/>
              <w:jc w:val="center"/>
              <w:rPr>
                <w:rFonts w:hint="eastAsia" w:ascii="Times New Roman" w:hAnsi="Times New Roman" w:cs="Times New Roman"/>
                <w:kern w:val="2"/>
                <w:sz w:val="18"/>
                <w:szCs w:val="18"/>
                <w:highlight w:val="none"/>
                <w:lang w:val="en-US" w:eastAsia="zh-CN" w:bidi="ar-SA"/>
              </w:rPr>
            </w:pPr>
            <w:r>
              <w:rPr>
                <w:rFonts w:hint="default" w:ascii="Times New Roman" w:hAnsi="Times New Roman" w:cs="Times New Roman"/>
                <w:sz w:val="18"/>
                <w:szCs w:val="18"/>
                <w:highlight w:val="none"/>
              </w:rPr>
              <w:t>连续运行试验（</w:t>
            </w:r>
            <w:r>
              <w:rPr>
                <w:rFonts w:hint="eastAsia" w:cs="Times New Roman"/>
                <w:sz w:val="18"/>
                <w:szCs w:val="18"/>
                <w:highlight w:val="none"/>
                <w:lang w:val="en-US" w:eastAsia="zh-CN"/>
              </w:rPr>
              <w:t>168</w:t>
            </w:r>
            <w:r>
              <w:rPr>
                <w:rFonts w:hint="default" w:ascii="Times New Roman" w:hAnsi="Times New Roman" w:cs="Times New Roman"/>
                <w:sz w:val="18"/>
                <w:szCs w:val="18"/>
                <w:highlight w:val="none"/>
              </w:rPr>
              <w:t>h）</w:t>
            </w:r>
          </w:p>
        </w:tc>
        <w:tc>
          <w:tcPr>
            <w:tcW w:w="996" w:type="dxa"/>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5</w:t>
            </w:r>
            <w:r>
              <w:rPr>
                <w:rFonts w:hint="eastAsia" w:ascii="宋体" w:hAnsi="宋体" w:eastAsia="宋体" w:cs="宋体"/>
                <w:i w:val="0"/>
                <w:iCs w:val="0"/>
                <w:color w:val="auto"/>
                <w:kern w:val="0"/>
                <w:sz w:val="18"/>
                <w:szCs w:val="18"/>
                <w:highlight w:val="none"/>
                <w:u w:val="none"/>
                <w:lang w:val="en-US" w:eastAsia="zh-CN" w:bidi="ar"/>
              </w:rPr>
              <w:t>.1</w:t>
            </w:r>
            <w:r>
              <w:rPr>
                <w:rFonts w:hint="eastAsia" w:ascii="宋体" w:hAnsi="宋体" w:cs="宋体"/>
                <w:i w:val="0"/>
                <w:iCs w:val="0"/>
                <w:color w:val="auto"/>
                <w:kern w:val="0"/>
                <w:sz w:val="18"/>
                <w:szCs w:val="18"/>
                <w:highlight w:val="none"/>
                <w:u w:val="none"/>
                <w:lang w:val="en-US" w:eastAsia="zh-CN" w:bidi="ar"/>
              </w:rPr>
              <w:t>1</w:t>
            </w:r>
          </w:p>
        </w:tc>
        <w:tc>
          <w:tcPr>
            <w:tcW w:w="708" w:type="dxa"/>
            <w:noWrap w:val="0"/>
            <w:vAlign w:val="center"/>
          </w:tcPr>
          <w:p>
            <w:pPr>
              <w:topLinePunct/>
              <w:snapToGrid w:val="0"/>
              <w:spacing w:before="55" w:after="55"/>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strike/>
                <w:color w:val="auto"/>
                <w:sz w:val="18"/>
                <w:szCs w:val="18"/>
                <w:highlight w:val="none"/>
              </w:rPr>
              <w:t>●</w:t>
            </w:r>
          </w:p>
        </w:tc>
        <w:tc>
          <w:tcPr>
            <w:tcW w:w="708" w:type="dxa"/>
            <w:noWrap w:val="0"/>
            <w:vAlign w:val="center"/>
          </w:tcPr>
          <w:p>
            <w:pPr>
              <w:topLinePunct/>
              <w:snapToGrid w:val="0"/>
              <w:spacing w:before="55" w:after="55"/>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strike/>
                <w:color w:val="auto"/>
                <w:sz w:val="18"/>
                <w:szCs w:val="18"/>
                <w:highlight w:val="none"/>
              </w:rPr>
              <w:t>●</w:t>
            </w:r>
          </w:p>
        </w:tc>
        <w:tc>
          <w:tcPr>
            <w:tcW w:w="696" w:type="dxa"/>
            <w:noWrap w:val="0"/>
            <w:vAlign w:val="center"/>
          </w:tcPr>
          <w:p>
            <w:pPr>
              <w:topLinePunct/>
              <w:snapToGrid w:val="0"/>
              <w:spacing w:before="55" w:after="55"/>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strike/>
                <w:color w:val="auto"/>
                <w:sz w:val="18"/>
                <w:szCs w:val="18"/>
                <w:highlight w:val="none"/>
              </w:rPr>
              <w:t>●</w:t>
            </w:r>
          </w:p>
        </w:tc>
        <w:tc>
          <w:tcPr>
            <w:tcW w:w="648" w:type="dxa"/>
            <w:noWrap w:val="0"/>
            <w:vAlign w:val="center"/>
          </w:tcPr>
          <w:p>
            <w:pPr>
              <w:topLinePunct/>
              <w:snapToGrid w:val="0"/>
              <w:spacing w:before="55" w:after="55"/>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sz w:val="18"/>
                <w:szCs w:val="18"/>
                <w:highlight w:val="none"/>
              </w:rPr>
              <w:t>●</w:t>
            </w:r>
          </w:p>
        </w:tc>
        <w:tc>
          <w:tcPr>
            <w:tcW w:w="684" w:type="dxa"/>
            <w:noWrap w:val="0"/>
            <w:vAlign w:val="center"/>
          </w:tcPr>
          <w:p>
            <w:pPr>
              <w:topLinePunct/>
              <w:snapToGrid w:val="0"/>
              <w:spacing w:before="55" w:after="55"/>
              <w:jc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sz w:val="18"/>
                <w:szCs w:val="18"/>
                <w:highlight w:val="none"/>
              </w:rPr>
              <w:t>○</w:t>
            </w:r>
          </w:p>
        </w:tc>
        <w:tc>
          <w:tcPr>
            <w:tcW w:w="744" w:type="dxa"/>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color w:val="auto"/>
                <w:sz w:val="18"/>
                <w:szCs w:val="18"/>
                <w:highlight w:val="none"/>
              </w:rPr>
            </w:pPr>
            <w:r>
              <w:rPr>
                <w:rFonts w:hint="eastAsia" w:ascii="宋体" w:hAnsi="宋体" w:eastAsia="宋体" w:cs="宋体"/>
                <w:color w:val="auto"/>
                <w:sz w:val="18"/>
                <w:szCs w:val="18"/>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 w:type="dxa"/>
            <w:noWrap w:val="0"/>
            <w:vAlign w:val="top"/>
          </w:tcPr>
          <w:p>
            <w:pPr>
              <w:topLinePunct/>
              <w:snapToGrid w:val="0"/>
              <w:spacing w:before="55" w:after="55"/>
              <w:rPr>
                <w:rFonts w:ascii="宋体" w:hAnsi="宋体"/>
                <w:color w:val="auto"/>
                <w:sz w:val="18"/>
                <w:szCs w:val="18"/>
                <w:highlight w:val="none"/>
              </w:rPr>
            </w:pPr>
          </w:p>
        </w:tc>
        <w:tc>
          <w:tcPr>
            <w:tcW w:w="1042" w:type="dxa"/>
            <w:noWrap w:val="0"/>
            <w:vAlign w:val="top"/>
          </w:tcPr>
          <w:p>
            <w:pPr>
              <w:numPr>
                <w:ilvl w:val="2"/>
                <w:numId w:val="0"/>
              </w:numPr>
              <w:tabs>
                <w:tab w:val="left" w:pos="360"/>
              </w:tabs>
              <w:topLinePunct/>
              <w:snapToGrid w:val="0"/>
              <w:spacing w:before="120" w:beforeLines="50" w:after="120" w:afterLines="50"/>
              <w:outlineLvl w:val="1"/>
              <w:rPr>
                <w:rFonts w:hint="eastAsia" w:ascii="宋体" w:hAnsi="宋体"/>
                <w:color w:val="auto"/>
                <w:sz w:val="18"/>
                <w:szCs w:val="18"/>
                <w:highlight w:val="none"/>
              </w:rPr>
            </w:pPr>
          </w:p>
        </w:tc>
        <w:tc>
          <w:tcPr>
            <w:tcW w:w="7186" w:type="dxa"/>
            <w:gridSpan w:val="8"/>
            <w:noWrap w:val="0"/>
            <w:vAlign w:val="top"/>
          </w:tcPr>
          <w:p>
            <w:pPr>
              <w:topLinePunct/>
              <w:snapToGrid w:val="0"/>
              <w:spacing w:before="55" w:after="55"/>
              <w:rPr>
                <w:rFonts w:hint="eastAsia" w:ascii="宋体" w:hAnsi="宋体" w:eastAsia="宋体" w:cs="Times New Roman"/>
                <w:color w:val="auto"/>
                <w:sz w:val="18"/>
                <w:szCs w:val="18"/>
                <w:highlight w:val="none"/>
              </w:rPr>
            </w:pPr>
            <w:bookmarkStart w:id="247" w:name="_Toc20927"/>
            <w:bookmarkStart w:id="248" w:name="_Toc126594103"/>
            <w:bookmarkStart w:id="249" w:name="_Toc14357"/>
            <w:r>
              <w:rPr>
                <w:rFonts w:hint="eastAsia" w:ascii="宋体" w:hAnsi="宋体" w:eastAsia="宋体" w:cs="Times New Roman"/>
                <w:color w:val="auto"/>
                <w:sz w:val="18"/>
                <w:szCs w:val="18"/>
                <w:highlight w:val="none"/>
              </w:rPr>
              <w:t>注1：●表示必须做的项目，○表示可选做的项目，—表示不做的项目。</w:t>
            </w:r>
            <w:bookmarkEnd w:id="247"/>
            <w:bookmarkEnd w:id="248"/>
            <w:bookmarkEnd w:id="249"/>
          </w:p>
          <w:p>
            <w:pPr>
              <w:topLinePunct/>
              <w:snapToGrid w:val="0"/>
              <w:spacing w:before="55" w:after="55"/>
              <w:rPr>
                <w:rFonts w:hint="eastAsia" w:ascii="宋体" w:hAnsi="宋体" w:eastAsia="宋体" w:cs="Times New Roman"/>
                <w:color w:val="auto"/>
                <w:sz w:val="18"/>
                <w:szCs w:val="18"/>
                <w:highlight w:val="none"/>
              </w:rPr>
            </w:pPr>
            <w:r>
              <w:rPr>
                <w:rFonts w:hint="eastAsia" w:ascii="宋体" w:hAnsi="宋体" w:eastAsia="宋体" w:cs="Times New Roman"/>
                <w:color w:val="auto"/>
                <w:sz w:val="18"/>
                <w:szCs w:val="18"/>
                <w:highlight w:val="none"/>
              </w:rPr>
              <w:t>注2：功能检验（含数据传输规约测试）在型式试验时可不包含数据传输规约测试。</w:t>
            </w:r>
          </w:p>
          <w:p>
            <w:pPr>
              <w:topLinePunct/>
              <w:snapToGrid w:val="0"/>
              <w:spacing w:before="55" w:after="55"/>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注3：型式试验报告的电源性能试验，可由承诺供货的电池生产厂家的第三方（具备CNAS/CMA资质）检测报告替代。</w:t>
            </w:r>
          </w:p>
          <w:p>
            <w:pPr>
              <w:topLinePunct/>
              <w:snapToGrid w:val="0"/>
              <w:spacing w:before="55" w:after="55"/>
              <w:rPr>
                <w:rFonts w:hint="eastAsia" w:ascii="宋体" w:hAnsi="宋体"/>
                <w:color w:val="auto"/>
                <w:sz w:val="18"/>
                <w:szCs w:val="18"/>
                <w:highlight w:val="none"/>
              </w:rPr>
            </w:pPr>
            <w:bookmarkStart w:id="250" w:name="_Toc18875"/>
            <w:r>
              <w:rPr>
                <w:rFonts w:hint="eastAsia" w:ascii="宋体" w:hAnsi="宋体" w:eastAsia="宋体" w:cs="Times New Roman"/>
                <w:color w:val="auto"/>
                <w:sz w:val="18"/>
                <w:szCs w:val="18"/>
                <w:highlight w:val="none"/>
              </w:rPr>
              <w:t>注</w:t>
            </w:r>
            <w:r>
              <w:rPr>
                <w:rFonts w:hint="eastAsia" w:ascii="宋体" w:hAnsi="宋体" w:eastAsia="宋体" w:cs="Times New Roman"/>
                <w:color w:val="auto"/>
                <w:sz w:val="18"/>
                <w:szCs w:val="18"/>
                <w:highlight w:val="none"/>
                <w:lang w:val="en-US" w:eastAsia="zh-CN"/>
              </w:rPr>
              <w:t>4</w:t>
            </w:r>
            <w:r>
              <w:rPr>
                <w:rFonts w:hint="eastAsia" w:ascii="宋体" w:hAnsi="宋体" w:eastAsia="宋体" w:cs="Times New Roman"/>
                <w:color w:val="auto"/>
                <w:sz w:val="18"/>
                <w:szCs w:val="18"/>
                <w:highlight w:val="none"/>
              </w:rPr>
              <w:t>：若型式试验报告中数据传输规约测试未按照（南网通信规约）开展，该项测试可采用委托试验报告替代。</w:t>
            </w:r>
            <w:bookmarkEnd w:id="250"/>
          </w:p>
        </w:tc>
      </w:tr>
    </w:tbl>
    <w:p>
      <w:pPr>
        <w:pStyle w:val="3"/>
        <w:numPr>
          <w:ilvl w:val="0"/>
          <w:numId w:val="0"/>
        </w:numPr>
        <w:rPr>
          <w:i/>
          <w:iCs/>
          <w:color w:val="auto"/>
          <w:highlight w:val="none"/>
        </w:rPr>
      </w:pPr>
      <w:bookmarkStart w:id="251" w:name="_Toc126594109"/>
      <w:bookmarkStart w:id="252" w:name="_Toc20245"/>
      <w:bookmarkStart w:id="253" w:name="_Toc11231"/>
      <w:bookmarkStart w:id="254" w:name="_Toc21126"/>
      <w:bookmarkStart w:id="255" w:name="_Hlk126591743"/>
      <w:r>
        <w:rPr>
          <w:rFonts w:hint="eastAsia" w:eastAsia="黑体"/>
          <w:b/>
          <w:color w:val="auto"/>
          <w:sz w:val="21"/>
          <w:szCs w:val="21"/>
          <w:highlight w:val="none"/>
          <w:lang w:val="en-US" w:eastAsia="zh-CN"/>
        </w:rPr>
        <w:t>7</w:t>
      </w:r>
      <w:r>
        <w:rPr>
          <w:rFonts w:eastAsia="黑体"/>
          <w:b/>
          <w:color w:val="auto"/>
          <w:sz w:val="21"/>
          <w:szCs w:val="21"/>
          <w:highlight w:val="none"/>
        </w:rPr>
        <w:t xml:space="preserve"> 产品对环境的影响</w:t>
      </w:r>
      <w:bookmarkEnd w:id="251"/>
      <w:bookmarkEnd w:id="252"/>
      <w:bookmarkEnd w:id="253"/>
      <w:bookmarkEnd w:id="254"/>
    </w:p>
    <w:bookmarkEnd w:id="255"/>
    <w:p>
      <w:pPr>
        <w:adjustRightInd w:val="0"/>
        <w:snapToGrid w:val="0"/>
        <w:spacing w:line="360" w:lineRule="auto"/>
        <w:ind w:firstLine="420" w:firstLineChars="200"/>
        <w:rPr>
          <w:color w:val="auto"/>
          <w:highlight w:val="none"/>
        </w:rPr>
      </w:pPr>
      <w:r>
        <w:rPr>
          <w:color w:val="auto"/>
          <w:highlight w:val="none"/>
        </w:rPr>
        <w:t>1）坚持以资源节约型和环境友好型的原则，同时应考虑降低投资成本和提高运行经济性。</w:t>
      </w:r>
    </w:p>
    <w:p>
      <w:pPr>
        <w:adjustRightInd w:val="0"/>
        <w:snapToGrid w:val="0"/>
        <w:spacing w:line="360" w:lineRule="auto"/>
        <w:ind w:firstLine="420" w:firstLineChars="200"/>
        <w:rPr>
          <w:color w:val="auto"/>
          <w:highlight w:val="none"/>
        </w:rPr>
      </w:pPr>
      <w:r>
        <w:rPr>
          <w:color w:val="auto"/>
          <w:highlight w:val="none"/>
        </w:rPr>
        <w:t>2）应对噪声、工频电场和磁场、高频电磁波、通信干扰等方面采取必要的防治措施，并满足国家相关标准的要求。</w:t>
      </w:r>
    </w:p>
    <w:p>
      <w:pPr>
        <w:adjustRightInd w:val="0"/>
        <w:snapToGrid w:val="0"/>
        <w:spacing w:line="360" w:lineRule="auto"/>
        <w:ind w:firstLine="420" w:firstLineChars="200"/>
        <w:rPr>
          <w:color w:val="auto"/>
          <w:highlight w:val="none"/>
        </w:rPr>
      </w:pPr>
      <w:r>
        <w:rPr>
          <w:color w:val="auto"/>
          <w:highlight w:val="none"/>
        </w:rPr>
        <w:t>3）推广采用高可靠性、小型化和节能型设备。</w:t>
      </w:r>
    </w:p>
    <w:p>
      <w:pPr>
        <w:adjustRightInd w:val="0"/>
        <w:snapToGrid w:val="0"/>
        <w:spacing w:line="360" w:lineRule="auto"/>
        <w:ind w:firstLine="420" w:firstLineChars="200"/>
        <w:jc w:val="left"/>
        <w:rPr>
          <w:rFonts w:hint="eastAsia"/>
          <w:color w:val="auto"/>
          <w:highlight w:val="none"/>
        </w:rPr>
      </w:pPr>
      <w:r>
        <w:rPr>
          <w:color w:val="auto"/>
          <w:highlight w:val="none"/>
        </w:rPr>
        <w:t>4）优先选用损耗低的产品。</w:t>
      </w:r>
    </w:p>
    <w:p>
      <w:pPr>
        <w:pStyle w:val="3"/>
        <w:numPr>
          <w:ilvl w:val="0"/>
          <w:numId w:val="0"/>
        </w:numPr>
        <w:rPr>
          <w:i/>
          <w:iCs/>
          <w:color w:val="auto"/>
          <w:highlight w:val="none"/>
        </w:rPr>
      </w:pPr>
      <w:bookmarkStart w:id="256" w:name="_Toc279695206"/>
      <w:bookmarkStart w:id="257" w:name="_Toc282433757"/>
      <w:bookmarkStart w:id="258" w:name="_Toc282993358"/>
      <w:bookmarkStart w:id="259" w:name="_Toc2308"/>
      <w:bookmarkStart w:id="260" w:name="_Toc384341028"/>
      <w:bookmarkStart w:id="261" w:name="_Toc977"/>
      <w:bookmarkStart w:id="262" w:name="_Toc28392"/>
      <w:bookmarkStart w:id="263" w:name="_Toc126594111"/>
      <w:r>
        <w:rPr>
          <w:rFonts w:hint="eastAsia" w:eastAsia="黑体"/>
          <w:b/>
          <w:color w:val="auto"/>
          <w:sz w:val="21"/>
          <w:szCs w:val="21"/>
          <w:highlight w:val="none"/>
          <w:lang w:val="en-US" w:eastAsia="zh-CN"/>
        </w:rPr>
        <w:t>8</w:t>
      </w:r>
      <w:r>
        <w:rPr>
          <w:rFonts w:eastAsia="黑体"/>
          <w:b/>
          <w:color w:val="auto"/>
          <w:sz w:val="21"/>
          <w:szCs w:val="21"/>
          <w:highlight w:val="none"/>
        </w:rPr>
        <w:t xml:space="preserve"> 技术文件</w:t>
      </w:r>
      <w:bookmarkEnd w:id="256"/>
      <w:bookmarkEnd w:id="257"/>
      <w:bookmarkEnd w:id="258"/>
      <w:r>
        <w:rPr>
          <w:rFonts w:eastAsia="黑体"/>
          <w:b/>
          <w:color w:val="auto"/>
          <w:sz w:val="21"/>
          <w:szCs w:val="21"/>
          <w:highlight w:val="none"/>
        </w:rPr>
        <w:t>要求</w:t>
      </w:r>
      <w:bookmarkEnd w:id="259"/>
      <w:bookmarkEnd w:id="260"/>
      <w:bookmarkEnd w:id="261"/>
      <w:bookmarkEnd w:id="262"/>
      <w:bookmarkEnd w:id="263"/>
      <w:bookmarkStart w:id="264" w:name="_Toc384341029"/>
    </w:p>
    <w:p>
      <w:pPr>
        <w:adjustRightInd w:val="0"/>
        <w:snapToGrid w:val="0"/>
        <w:spacing w:line="360" w:lineRule="auto"/>
        <w:rPr>
          <w:rFonts w:eastAsia="黑体"/>
          <w:color w:val="auto"/>
          <w:highlight w:val="none"/>
        </w:rPr>
      </w:pPr>
      <w:r>
        <w:rPr>
          <w:rFonts w:hint="eastAsia" w:eastAsia="黑体"/>
          <w:color w:val="auto"/>
          <w:highlight w:val="none"/>
          <w:lang w:val="en-US" w:eastAsia="zh-CN"/>
        </w:rPr>
        <w:t>8</w:t>
      </w:r>
      <w:r>
        <w:rPr>
          <w:rFonts w:eastAsia="黑体"/>
          <w:color w:val="auto"/>
          <w:highlight w:val="none"/>
        </w:rPr>
        <w:t>.1一般要求</w:t>
      </w:r>
      <w:bookmarkEnd w:id="264"/>
    </w:p>
    <w:p>
      <w:pPr>
        <w:adjustRightInd w:val="0"/>
        <w:snapToGrid w:val="0"/>
        <w:spacing w:line="360" w:lineRule="auto"/>
        <w:rPr>
          <w:color w:val="auto"/>
          <w:highlight w:val="none"/>
        </w:rPr>
      </w:pPr>
      <w:r>
        <w:rPr>
          <w:rFonts w:hint="eastAsia"/>
          <w:color w:val="auto"/>
          <w:highlight w:val="none"/>
          <w:lang w:val="en-US" w:eastAsia="zh-CN"/>
        </w:rPr>
        <w:t>8</w:t>
      </w:r>
      <w:r>
        <w:rPr>
          <w:color w:val="auto"/>
          <w:highlight w:val="none"/>
        </w:rPr>
        <w:t>.1.1投标方提供的图纸、资料、文件应使用国家法定单位制即国际单位制，语言为中文。</w:t>
      </w:r>
    </w:p>
    <w:p>
      <w:pPr>
        <w:adjustRightInd w:val="0"/>
        <w:snapToGrid w:val="0"/>
        <w:spacing w:line="360" w:lineRule="auto"/>
        <w:rPr>
          <w:color w:val="auto"/>
          <w:highlight w:val="none"/>
        </w:rPr>
      </w:pPr>
      <w:r>
        <w:rPr>
          <w:rFonts w:hint="eastAsia"/>
          <w:color w:val="auto"/>
          <w:highlight w:val="none"/>
          <w:lang w:val="en-US" w:eastAsia="zh-CN"/>
        </w:rPr>
        <w:t>98</w:t>
      </w:r>
      <w:r>
        <w:rPr>
          <w:color w:val="auto"/>
          <w:highlight w:val="none"/>
        </w:rPr>
        <w:t>1.2资料的组织结构清晰、逻辑性强。资料</w:t>
      </w:r>
      <w:r>
        <w:rPr>
          <w:rFonts w:hint="eastAsia"/>
          <w:color w:val="auto"/>
          <w:highlight w:val="none"/>
          <w:lang w:eastAsia="zh-CN"/>
        </w:rPr>
        <w:t>内容</w:t>
      </w:r>
      <w:r>
        <w:rPr>
          <w:color w:val="auto"/>
          <w:highlight w:val="none"/>
        </w:rPr>
        <w:t>正确、准确、一致、清晰、完整，满足工程要求。</w:t>
      </w:r>
    </w:p>
    <w:p>
      <w:pPr>
        <w:adjustRightInd w:val="0"/>
        <w:snapToGrid w:val="0"/>
        <w:spacing w:line="360" w:lineRule="auto"/>
        <w:rPr>
          <w:color w:val="auto"/>
          <w:highlight w:val="none"/>
        </w:rPr>
      </w:pPr>
      <w:r>
        <w:rPr>
          <w:rFonts w:hint="eastAsia"/>
          <w:color w:val="auto"/>
          <w:highlight w:val="none"/>
          <w:lang w:val="en-US" w:eastAsia="zh-CN"/>
        </w:rPr>
        <w:t>8</w:t>
      </w:r>
      <w:r>
        <w:rPr>
          <w:color w:val="auto"/>
          <w:highlight w:val="none"/>
        </w:rPr>
        <w:t>.1.3对于其它没有列入合同技术资料清单，却是工程所必需的文件和资料，一经发现，投标方也应及时免费提供。如项目工程为多台设备构成，后续设备有改进时，投标方应及时免费提供新的技术资料。</w:t>
      </w:r>
    </w:p>
    <w:p>
      <w:pPr>
        <w:adjustRightInd w:val="0"/>
        <w:snapToGrid w:val="0"/>
        <w:spacing w:line="360" w:lineRule="auto"/>
        <w:rPr>
          <w:color w:val="auto"/>
          <w:highlight w:val="none"/>
        </w:rPr>
      </w:pPr>
      <w:r>
        <w:rPr>
          <w:rFonts w:hint="eastAsia"/>
          <w:color w:val="auto"/>
          <w:highlight w:val="none"/>
          <w:lang w:val="en-US" w:eastAsia="zh-CN"/>
        </w:rPr>
        <w:t>8</w:t>
      </w:r>
      <w:r>
        <w:rPr>
          <w:color w:val="auto"/>
          <w:highlight w:val="none"/>
        </w:rPr>
        <w:t>.1.4“工厂图纸”包括制造、装配、安装和布置图、接线图、控制图、材料和设备的清单或表格、标准图、设计计算书、说明书、样本、小册子、特性图表、试验报告以及涉及到与材料、设备设计有关的图纸和说明等。</w:t>
      </w:r>
    </w:p>
    <w:p>
      <w:pPr>
        <w:adjustRightInd w:val="0"/>
        <w:snapToGrid w:val="0"/>
        <w:spacing w:line="360" w:lineRule="auto"/>
        <w:rPr>
          <w:color w:val="auto"/>
          <w:highlight w:val="none"/>
        </w:rPr>
      </w:pPr>
      <w:r>
        <w:rPr>
          <w:rFonts w:hint="eastAsia"/>
          <w:color w:val="auto"/>
          <w:highlight w:val="none"/>
          <w:lang w:val="en-US" w:eastAsia="zh-CN"/>
        </w:rPr>
        <w:t>8</w:t>
      </w:r>
      <w:r>
        <w:rPr>
          <w:color w:val="auto"/>
          <w:highlight w:val="none"/>
        </w:rPr>
        <w:t>.1.5投标方应将“工厂图纸”提交给招标方审查认可。未经审查认可, 不得进行备料和工厂生产。</w:t>
      </w:r>
    </w:p>
    <w:p>
      <w:pPr>
        <w:bidi w:val="0"/>
        <w:rPr>
          <w:rFonts w:hint="eastAsia"/>
        </w:rPr>
      </w:pPr>
      <w:r>
        <w:rPr>
          <w:rFonts w:hint="eastAsia"/>
          <w:color w:val="auto"/>
          <w:highlight w:val="none"/>
          <w:lang w:val="en-US" w:eastAsia="zh-CN"/>
        </w:rPr>
        <w:t>8</w:t>
      </w:r>
      <w:r>
        <w:rPr>
          <w:color w:val="auto"/>
          <w:highlight w:val="none"/>
        </w:rPr>
        <w:t>.1.6 投标方应在</w:t>
      </w:r>
      <w:r>
        <w:rPr>
          <w:rFonts w:hint="eastAsia"/>
          <w:color w:val="auto"/>
          <w:highlight w:val="none"/>
          <w:lang w:val="en-US" w:eastAsia="zh-CN"/>
        </w:rPr>
        <w:t>8</w:t>
      </w:r>
      <w:r>
        <w:rPr>
          <w:color w:val="auto"/>
          <w:highlight w:val="none"/>
        </w:rPr>
        <w:t>年使用寿命期限内，提供设备所需备品备件。</w:t>
      </w:r>
    </w:p>
    <w:p>
      <w:pPr>
        <w:adjustRightInd w:val="0"/>
        <w:snapToGrid w:val="0"/>
        <w:spacing w:line="360" w:lineRule="auto"/>
        <w:rPr>
          <w:rFonts w:eastAsia="黑体"/>
          <w:color w:val="auto"/>
          <w:highlight w:val="none"/>
        </w:rPr>
      </w:pPr>
      <w:bookmarkStart w:id="265" w:name="_Toc384341030"/>
      <w:r>
        <w:rPr>
          <w:rFonts w:hint="eastAsia" w:eastAsia="黑体"/>
          <w:color w:val="auto"/>
          <w:highlight w:val="none"/>
          <w:lang w:val="en-US" w:eastAsia="zh-CN"/>
        </w:rPr>
        <w:t>8</w:t>
      </w:r>
      <w:r>
        <w:rPr>
          <w:rFonts w:eastAsia="黑体"/>
          <w:color w:val="auto"/>
          <w:highlight w:val="none"/>
        </w:rPr>
        <w:t>.2 投标方在投标阶段应提交</w:t>
      </w:r>
      <w:r>
        <w:rPr>
          <w:rFonts w:ascii="Times New Roman" w:hAnsi="Times New Roman" w:eastAsia="黑体" w:cs="Times New Roman"/>
          <w:color w:val="auto"/>
          <w:highlight w:val="none"/>
        </w:rPr>
        <w:t>的</w:t>
      </w:r>
      <w:r>
        <w:rPr>
          <w:rFonts w:hint="eastAsia" w:ascii="Times New Roman" w:hAnsi="Times New Roman" w:eastAsia="黑体" w:cs="Times New Roman"/>
          <w:color w:val="auto"/>
          <w:highlight w:val="none"/>
        </w:rPr>
        <w:t>电缆隧道</w:t>
      </w:r>
      <w:r>
        <w:rPr>
          <w:rFonts w:hint="eastAsia" w:ascii="Times New Roman" w:hAnsi="Times New Roman" w:eastAsia="黑体" w:cs="Times New Roman"/>
          <w:color w:val="auto"/>
          <w:highlight w:val="none"/>
          <w:lang w:val="en-US" w:eastAsia="zh-CN"/>
        </w:rPr>
        <w:t>智能专网</w:t>
      </w:r>
      <w:r>
        <w:rPr>
          <w:rFonts w:hint="eastAsia" w:ascii="Times New Roman" w:hAnsi="Times New Roman" w:eastAsia="黑体" w:cs="Times New Roman"/>
          <w:color w:val="auto"/>
          <w:highlight w:val="none"/>
        </w:rPr>
        <w:t>系统</w:t>
      </w:r>
      <w:r>
        <w:rPr>
          <w:rFonts w:hint="eastAsia" w:ascii="Times New Roman" w:hAnsi="Times New Roman" w:eastAsia="黑体" w:cs="Times New Roman"/>
          <w:color w:val="auto"/>
          <w:highlight w:val="none"/>
          <w:lang w:val="en-US" w:eastAsia="zh-CN"/>
        </w:rPr>
        <w:t>设备</w:t>
      </w:r>
      <w:r>
        <w:rPr>
          <w:rFonts w:ascii="Times New Roman" w:hAnsi="Times New Roman" w:eastAsia="黑体" w:cs="Times New Roman"/>
          <w:color w:val="auto"/>
          <w:highlight w:val="none"/>
        </w:rPr>
        <w:t>资料及说明</w:t>
      </w:r>
      <w:bookmarkEnd w:id="265"/>
    </w:p>
    <w:p>
      <w:pPr>
        <w:adjustRightInd w:val="0"/>
        <w:snapToGrid w:val="0"/>
        <w:spacing w:line="360" w:lineRule="auto"/>
        <w:ind w:firstLine="420" w:firstLineChars="200"/>
        <w:rPr>
          <w:color w:val="auto"/>
          <w:highlight w:val="none"/>
        </w:rPr>
      </w:pPr>
      <w:bookmarkStart w:id="266" w:name="_Toc384341031"/>
      <w:r>
        <w:rPr>
          <w:color w:val="auto"/>
          <w:highlight w:val="none"/>
        </w:rPr>
        <w:t>1）</w:t>
      </w:r>
      <w:r>
        <w:rPr>
          <w:rFonts w:hint="eastAsia"/>
          <w:color w:val="auto"/>
          <w:highlight w:val="none"/>
          <w:lang w:val="en-US" w:eastAsia="zh-CN"/>
        </w:rPr>
        <w:t>设备</w:t>
      </w:r>
      <w:r>
        <w:rPr>
          <w:color w:val="auto"/>
          <w:highlight w:val="none"/>
        </w:rPr>
        <w:t>产品简介。</w:t>
      </w:r>
    </w:p>
    <w:p>
      <w:pPr>
        <w:adjustRightInd w:val="0"/>
        <w:snapToGrid w:val="0"/>
        <w:spacing w:line="360" w:lineRule="auto"/>
        <w:ind w:firstLine="420" w:firstLineChars="200"/>
        <w:rPr>
          <w:bCs/>
          <w:color w:val="auto"/>
          <w:highlight w:val="none"/>
        </w:rPr>
      </w:pPr>
      <w:r>
        <w:rPr>
          <w:color w:val="auto"/>
          <w:highlight w:val="none"/>
        </w:rPr>
        <w:t>2）</w:t>
      </w:r>
      <w:r>
        <w:rPr>
          <w:rFonts w:hint="eastAsia"/>
          <w:color w:val="auto"/>
          <w:highlight w:val="none"/>
          <w:lang w:val="en-US" w:eastAsia="zh-CN"/>
        </w:rPr>
        <w:t>设备</w:t>
      </w:r>
      <w:r>
        <w:rPr>
          <w:color w:val="auto"/>
          <w:highlight w:val="none"/>
        </w:rPr>
        <w:t>使用说明书。</w:t>
      </w:r>
    </w:p>
    <w:p>
      <w:pPr>
        <w:adjustRightInd w:val="0"/>
        <w:snapToGrid w:val="0"/>
        <w:spacing w:line="360" w:lineRule="auto"/>
        <w:rPr>
          <w:rFonts w:eastAsia="黑体"/>
          <w:color w:val="auto"/>
          <w:highlight w:val="none"/>
        </w:rPr>
      </w:pPr>
      <w:r>
        <w:rPr>
          <w:rFonts w:hint="eastAsia" w:eastAsia="黑体"/>
          <w:color w:val="auto"/>
          <w:highlight w:val="none"/>
          <w:lang w:val="en-US" w:eastAsia="zh-CN"/>
        </w:rPr>
        <w:t>8</w:t>
      </w:r>
      <w:r>
        <w:rPr>
          <w:rFonts w:eastAsia="黑体"/>
          <w:color w:val="auto"/>
          <w:highlight w:val="none"/>
        </w:rPr>
        <w:t>.3 其他文件资料</w:t>
      </w:r>
      <w:bookmarkEnd w:id="266"/>
    </w:p>
    <w:p>
      <w:pPr>
        <w:pStyle w:val="16"/>
        <w:adjustRightInd w:val="0"/>
        <w:snapToGrid w:val="0"/>
        <w:spacing w:line="360" w:lineRule="auto"/>
        <w:ind w:firstLine="420"/>
        <w:rPr>
          <w:rFonts w:ascii="Times New Roman"/>
          <w:color w:val="auto"/>
          <w:highlight w:val="none"/>
        </w:rPr>
      </w:pPr>
      <w:r>
        <w:rPr>
          <w:rFonts w:ascii="Times New Roman"/>
          <w:color w:val="auto"/>
          <w:highlight w:val="none"/>
        </w:rPr>
        <w:t xml:space="preserve">投标方应按照专用条款要求提供相关资料。包括： </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1）</w:t>
      </w:r>
      <w:r>
        <w:rPr>
          <w:color w:val="auto"/>
          <w:highlight w:val="none"/>
        </w:rPr>
        <w:t>技术数据表及相关技术资料。</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2）</w:t>
      </w:r>
      <w:r>
        <w:rPr>
          <w:color w:val="auto"/>
          <w:highlight w:val="none"/>
        </w:rPr>
        <w:t>同型产品通过型式试验的最新说明文件。</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3）</w:t>
      </w:r>
      <w:r>
        <w:rPr>
          <w:color w:val="auto"/>
          <w:highlight w:val="none"/>
        </w:rPr>
        <w:t>具有类似设备安装地点名称、投运时间、运行情况的记录。</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4）</w:t>
      </w:r>
      <w:r>
        <w:rPr>
          <w:color w:val="auto"/>
          <w:highlight w:val="none"/>
        </w:rPr>
        <w:t>设备适用的标准说明。</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5）</w:t>
      </w:r>
      <w:r>
        <w:rPr>
          <w:color w:val="auto"/>
          <w:highlight w:val="none"/>
        </w:rPr>
        <w:t>提供图纸计划及生产制造、交货进度计划。</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6）</w:t>
      </w:r>
      <w:r>
        <w:rPr>
          <w:color w:val="auto"/>
          <w:highlight w:val="none"/>
        </w:rPr>
        <w:t>图纸和技术文件。</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7）</w:t>
      </w:r>
      <w:r>
        <w:rPr>
          <w:color w:val="auto"/>
          <w:highlight w:val="none"/>
        </w:rPr>
        <w:t>安装、运行、维护说明书及试验报告。</w:t>
      </w:r>
    </w:p>
    <w:p>
      <w:pPr>
        <w:adjustRightInd w:val="0"/>
        <w:snapToGrid w:val="0"/>
        <w:spacing w:line="360" w:lineRule="auto"/>
        <w:ind w:firstLine="420" w:firstLineChars="200"/>
        <w:rPr>
          <w:color w:val="auto"/>
          <w:highlight w:val="none"/>
        </w:rPr>
      </w:pPr>
      <w:r>
        <w:rPr>
          <w:rFonts w:hint="eastAsia"/>
          <w:color w:val="auto"/>
          <w:highlight w:val="none"/>
          <w:lang w:val="en-US" w:eastAsia="zh-CN"/>
        </w:rPr>
        <w:t>8）</w:t>
      </w:r>
      <w:r>
        <w:rPr>
          <w:color w:val="auto"/>
          <w:highlight w:val="none"/>
        </w:rPr>
        <w:t>试验检验报告</w:t>
      </w:r>
      <w:r>
        <w:rPr>
          <w:rFonts w:hint="eastAsia"/>
          <w:color w:val="auto"/>
          <w:highlight w:val="none"/>
          <w:lang w:eastAsia="zh-CN"/>
        </w:rPr>
        <w:t>，</w:t>
      </w:r>
      <w:r>
        <w:rPr>
          <w:color w:val="auto"/>
          <w:highlight w:val="none"/>
        </w:rPr>
        <w:t>投标方应提供所选用主要附件及原材料的试验检验报告，并列出应该做的试验所遵从的标准。</w:t>
      </w:r>
    </w:p>
    <w:p>
      <w:pPr>
        <w:adjustRightInd w:val="0"/>
        <w:snapToGrid w:val="0"/>
        <w:spacing w:line="360" w:lineRule="auto"/>
        <w:rPr>
          <w:rFonts w:eastAsia="黑体"/>
          <w:color w:val="auto"/>
          <w:highlight w:val="none"/>
        </w:rPr>
      </w:pPr>
      <w:r>
        <w:rPr>
          <w:rFonts w:hint="eastAsia" w:eastAsia="黑体"/>
          <w:color w:val="auto"/>
          <w:highlight w:val="none"/>
          <w:lang w:val="en-US" w:eastAsia="zh-CN"/>
        </w:rPr>
        <w:t>8</w:t>
      </w:r>
      <w:r>
        <w:rPr>
          <w:rFonts w:eastAsia="黑体"/>
          <w:color w:val="auto"/>
          <w:highlight w:val="none"/>
        </w:rPr>
        <w:t>.4设计联络</w:t>
      </w:r>
    </w:p>
    <w:p>
      <w:pPr>
        <w:numPr>
          <w:ilvl w:val="0"/>
          <w:numId w:val="4"/>
        </w:numPr>
        <w:adjustRightInd w:val="0"/>
        <w:snapToGrid w:val="0"/>
        <w:spacing w:line="360" w:lineRule="auto"/>
        <w:ind w:firstLine="420" w:firstLineChars="200"/>
        <w:rPr>
          <w:color w:val="auto"/>
          <w:highlight w:val="none"/>
        </w:rPr>
      </w:pPr>
      <w:r>
        <w:rPr>
          <w:color w:val="auto"/>
          <w:szCs w:val="18"/>
          <w:highlight w:val="none"/>
        </w:rPr>
        <w:t>供方</w:t>
      </w:r>
      <w:r>
        <w:rPr>
          <w:color w:val="auto"/>
          <w:highlight w:val="none"/>
        </w:rPr>
        <w:t>应负责合同设备的设计和协调工作，承担全部技术责任，并做好与需方的设计联络工作。</w:t>
      </w:r>
    </w:p>
    <w:p>
      <w:pPr>
        <w:numPr>
          <w:ilvl w:val="0"/>
          <w:numId w:val="4"/>
        </w:numPr>
        <w:adjustRightInd w:val="0"/>
        <w:snapToGrid w:val="0"/>
        <w:spacing w:line="360" w:lineRule="auto"/>
        <w:ind w:firstLine="420" w:firstLineChars="200"/>
        <w:rPr>
          <w:color w:val="auto"/>
          <w:szCs w:val="18"/>
          <w:highlight w:val="none"/>
        </w:rPr>
      </w:pPr>
      <w:r>
        <w:rPr>
          <w:color w:val="auto"/>
          <w:szCs w:val="18"/>
          <w:highlight w:val="none"/>
        </w:rPr>
        <w:t>供方需提供符合《输电线路在线监测信息交互规范》的分析软件和程序，并积极配合需方进行有关抽检试验工作。</w:t>
      </w:r>
    </w:p>
    <w:p>
      <w:pPr>
        <w:numPr>
          <w:ilvl w:val="0"/>
          <w:numId w:val="4"/>
        </w:numPr>
        <w:adjustRightInd w:val="0"/>
        <w:snapToGrid w:val="0"/>
        <w:spacing w:line="360" w:lineRule="auto"/>
        <w:ind w:firstLine="420" w:firstLineChars="200"/>
        <w:rPr>
          <w:color w:val="auto"/>
          <w:szCs w:val="18"/>
          <w:highlight w:val="none"/>
        </w:rPr>
      </w:pPr>
      <w:r>
        <w:rPr>
          <w:rFonts w:hint="eastAsia" w:ascii="宋体" w:hAnsi="宋体"/>
          <w:szCs w:val="21"/>
        </w:rPr>
        <w:t>电缆隧道</w:t>
      </w:r>
      <w:r>
        <w:rPr>
          <w:rFonts w:hint="eastAsia" w:ascii="宋体" w:hAnsi="宋体"/>
          <w:szCs w:val="21"/>
          <w:lang w:val="en-US" w:eastAsia="zh-CN"/>
        </w:rPr>
        <w:t>智能专网</w:t>
      </w:r>
      <w:r>
        <w:rPr>
          <w:color w:val="auto"/>
          <w:szCs w:val="18"/>
          <w:highlight w:val="none"/>
        </w:rPr>
        <w:t>（系统）的设计、控制、信号线缆的接线、传感器的安装、设备及软件的调试、将数据上传至省级生产监控指挥中心等工作由供方完成，供方协助需方按技术协议检查安装质量，处理调试投运过程中出现的问题，并提供装置调试报告。</w:t>
      </w:r>
    </w:p>
    <w:p>
      <w:pPr>
        <w:numPr>
          <w:ilvl w:val="0"/>
          <w:numId w:val="4"/>
        </w:numPr>
        <w:adjustRightInd w:val="0"/>
        <w:snapToGrid w:val="0"/>
        <w:spacing w:line="360" w:lineRule="auto"/>
        <w:ind w:firstLine="420" w:firstLineChars="200"/>
        <w:rPr>
          <w:color w:val="auto"/>
          <w:szCs w:val="18"/>
          <w:highlight w:val="none"/>
        </w:rPr>
      </w:pPr>
      <w:r>
        <w:rPr>
          <w:color w:val="auto"/>
          <w:szCs w:val="18"/>
          <w:highlight w:val="none"/>
        </w:rPr>
        <w:t>根据工程需要可以召开设计联络会或其它形式解决设计制造中的问题。</w:t>
      </w:r>
    </w:p>
    <w:p>
      <w:pPr>
        <w:numPr>
          <w:ilvl w:val="0"/>
          <w:numId w:val="4"/>
        </w:numPr>
        <w:adjustRightInd w:val="0"/>
        <w:snapToGrid w:val="0"/>
        <w:spacing w:line="360" w:lineRule="auto"/>
        <w:ind w:firstLine="420" w:firstLineChars="200"/>
        <w:rPr>
          <w:color w:val="auto"/>
          <w:szCs w:val="18"/>
          <w:highlight w:val="none"/>
        </w:rPr>
      </w:pPr>
      <w:r>
        <w:rPr>
          <w:color w:val="auto"/>
          <w:szCs w:val="18"/>
          <w:highlight w:val="none"/>
        </w:rPr>
        <w:t>文件交接要有记录，设计联络会议应有纪要，该会议纪要作为合同的组成部分。</w:t>
      </w:r>
    </w:p>
    <w:p>
      <w:pPr>
        <w:numPr>
          <w:ilvl w:val="0"/>
          <w:numId w:val="4"/>
        </w:numPr>
        <w:adjustRightInd w:val="0"/>
        <w:snapToGrid w:val="0"/>
        <w:spacing w:line="360" w:lineRule="auto"/>
        <w:ind w:firstLine="420" w:firstLineChars="200"/>
        <w:rPr>
          <w:color w:val="auto"/>
          <w:szCs w:val="18"/>
          <w:highlight w:val="none"/>
        </w:rPr>
      </w:pPr>
      <w:r>
        <w:rPr>
          <w:color w:val="auto"/>
          <w:szCs w:val="18"/>
          <w:highlight w:val="none"/>
        </w:rPr>
        <w:t>供</w:t>
      </w:r>
      <w:r>
        <w:rPr>
          <w:color w:val="auto"/>
          <w:highlight w:val="none"/>
        </w:rPr>
        <w:t>方提供的设备及附件规格、重量或接线有变化时，应及时书面通知需方。</w:t>
      </w:r>
    </w:p>
    <w:p>
      <w:pPr>
        <w:numPr>
          <w:ilvl w:val="0"/>
          <w:numId w:val="4"/>
        </w:numPr>
        <w:adjustRightInd w:val="0"/>
        <w:snapToGrid w:val="0"/>
        <w:spacing w:line="360" w:lineRule="auto"/>
        <w:ind w:firstLine="420" w:firstLineChars="200"/>
        <w:rPr>
          <w:color w:val="auto"/>
          <w:szCs w:val="18"/>
          <w:highlight w:val="none"/>
        </w:rPr>
      </w:pPr>
      <w:r>
        <w:rPr>
          <w:color w:val="auto"/>
          <w:szCs w:val="18"/>
          <w:highlight w:val="none"/>
        </w:rPr>
        <w:t>未尽事宜，双方协商处理，可以以其它形式补充。以后协调所形成的文件与规范书同等效力。</w:t>
      </w:r>
    </w:p>
    <w:p>
      <w:pPr>
        <w:pStyle w:val="3"/>
        <w:numPr>
          <w:ilvl w:val="0"/>
          <w:numId w:val="0"/>
        </w:numPr>
        <w:rPr>
          <w:rFonts w:eastAsia="黑体"/>
          <w:b/>
          <w:color w:val="auto"/>
          <w:sz w:val="21"/>
          <w:szCs w:val="21"/>
          <w:highlight w:val="none"/>
        </w:rPr>
      </w:pPr>
      <w:bookmarkStart w:id="267" w:name="_Toc18485"/>
      <w:bookmarkStart w:id="268" w:name="_Toc22751"/>
      <w:bookmarkStart w:id="269" w:name="_Toc12585"/>
      <w:bookmarkStart w:id="270" w:name="_Toc126594112"/>
      <w:r>
        <w:rPr>
          <w:rFonts w:hint="eastAsia" w:eastAsia="黑体"/>
          <w:b/>
          <w:color w:val="auto"/>
          <w:sz w:val="21"/>
          <w:szCs w:val="21"/>
          <w:highlight w:val="none"/>
          <w:lang w:val="en-US" w:eastAsia="zh-CN"/>
        </w:rPr>
        <w:t>9</w:t>
      </w:r>
      <w:r>
        <w:rPr>
          <w:rFonts w:eastAsia="黑体"/>
          <w:b/>
          <w:color w:val="auto"/>
          <w:sz w:val="21"/>
          <w:szCs w:val="21"/>
          <w:highlight w:val="none"/>
        </w:rPr>
        <w:t xml:space="preserve"> 标识、包装、储存、运输、安装及质量保证</w:t>
      </w:r>
      <w:bookmarkEnd w:id="267"/>
      <w:bookmarkEnd w:id="268"/>
      <w:bookmarkEnd w:id="269"/>
      <w:bookmarkEnd w:id="270"/>
    </w:p>
    <w:p>
      <w:pPr>
        <w:pStyle w:val="4"/>
        <w:numPr>
          <w:ilvl w:val="0"/>
          <w:numId w:val="0"/>
        </w:numPr>
        <w:adjustRightInd w:val="0"/>
        <w:snapToGrid w:val="0"/>
        <w:spacing w:line="360" w:lineRule="auto"/>
        <w:rPr>
          <w:color w:val="auto"/>
          <w:highlight w:val="none"/>
        </w:rPr>
      </w:pPr>
      <w:bookmarkStart w:id="271" w:name="_Toc9748"/>
      <w:bookmarkStart w:id="272" w:name="_Toc4567"/>
      <w:bookmarkStart w:id="273" w:name="_Toc21535"/>
      <w:bookmarkStart w:id="274" w:name="_Toc126594113"/>
      <w:bookmarkStart w:id="275" w:name="_Toc29558"/>
      <w:bookmarkStart w:id="276" w:name="_Toc20369"/>
      <w:bookmarkStart w:id="277" w:name="_Toc279695209"/>
      <w:bookmarkStart w:id="278" w:name="_Toc276492436"/>
      <w:bookmarkStart w:id="279" w:name="_Toc276301528"/>
      <w:bookmarkStart w:id="280" w:name="_Toc384341035"/>
      <w:bookmarkStart w:id="281" w:name="_Toc282433760"/>
      <w:bookmarkStart w:id="282" w:name="_Toc276490918"/>
      <w:bookmarkStart w:id="283" w:name="_Toc282993364"/>
      <w:r>
        <w:rPr>
          <w:rFonts w:hint="eastAsia"/>
          <w:color w:val="auto"/>
          <w:highlight w:val="none"/>
          <w:lang w:val="en-US" w:eastAsia="zh-CN"/>
        </w:rPr>
        <w:t>9</w:t>
      </w:r>
      <w:r>
        <w:rPr>
          <w:color w:val="auto"/>
          <w:highlight w:val="none"/>
        </w:rPr>
        <w:t>.1标识</w:t>
      </w:r>
      <w:bookmarkEnd w:id="271"/>
      <w:bookmarkEnd w:id="272"/>
      <w:bookmarkEnd w:id="273"/>
      <w:bookmarkEnd w:id="274"/>
      <w:bookmarkEnd w:id="275"/>
      <w:bookmarkEnd w:id="276"/>
    </w:p>
    <w:p>
      <w:pPr>
        <w:adjustRightInd w:val="0"/>
        <w:snapToGrid w:val="0"/>
        <w:spacing w:line="360" w:lineRule="auto"/>
        <w:ind w:firstLine="420" w:firstLineChars="200"/>
        <w:jc w:val="left"/>
        <w:rPr>
          <w:color w:val="auto"/>
          <w:highlight w:val="none"/>
        </w:rPr>
      </w:pPr>
      <w:r>
        <w:rPr>
          <w:color w:val="auto"/>
          <w:highlight w:val="none"/>
        </w:rPr>
        <w:t>应根据产品情况明确原材料及零部件的标识，内容一般包括生产厂家、生产日期、保质期、批号等信息。</w:t>
      </w:r>
    </w:p>
    <w:p>
      <w:pPr>
        <w:pStyle w:val="4"/>
        <w:numPr>
          <w:ilvl w:val="0"/>
          <w:numId w:val="0"/>
        </w:numPr>
        <w:adjustRightInd w:val="0"/>
        <w:snapToGrid w:val="0"/>
        <w:spacing w:line="360" w:lineRule="auto"/>
        <w:rPr>
          <w:color w:val="auto"/>
          <w:highlight w:val="none"/>
        </w:rPr>
      </w:pPr>
      <w:bookmarkStart w:id="284" w:name="_Toc31020"/>
      <w:bookmarkStart w:id="285" w:name="_Toc18021"/>
      <w:bookmarkStart w:id="286" w:name="_Toc11932"/>
      <w:bookmarkStart w:id="287" w:name="_Toc29887"/>
      <w:bookmarkStart w:id="288" w:name="_Toc126594114"/>
      <w:bookmarkStart w:id="289" w:name="_Toc1320"/>
      <w:r>
        <w:rPr>
          <w:rFonts w:hint="eastAsia"/>
          <w:color w:val="auto"/>
          <w:highlight w:val="none"/>
          <w:lang w:val="en-US" w:eastAsia="zh-CN"/>
        </w:rPr>
        <w:t>9</w:t>
      </w:r>
      <w:r>
        <w:rPr>
          <w:color w:val="auto"/>
          <w:highlight w:val="none"/>
        </w:rPr>
        <w:t>.2包装</w:t>
      </w:r>
      <w:bookmarkEnd w:id="277"/>
      <w:bookmarkEnd w:id="278"/>
      <w:bookmarkEnd w:id="279"/>
      <w:bookmarkEnd w:id="280"/>
      <w:bookmarkEnd w:id="281"/>
      <w:bookmarkEnd w:id="282"/>
      <w:bookmarkEnd w:id="283"/>
      <w:bookmarkEnd w:id="284"/>
      <w:bookmarkEnd w:id="285"/>
      <w:bookmarkEnd w:id="286"/>
      <w:bookmarkEnd w:id="287"/>
      <w:bookmarkEnd w:id="288"/>
      <w:bookmarkEnd w:id="289"/>
    </w:p>
    <w:p>
      <w:pPr>
        <w:spacing w:line="360" w:lineRule="auto"/>
        <w:rPr>
          <w:color w:val="auto"/>
          <w:highlight w:val="none"/>
        </w:rPr>
      </w:pPr>
      <w:bookmarkStart w:id="290" w:name="_Toc282993365"/>
      <w:bookmarkStart w:id="291" w:name="_Toc282433761"/>
      <w:bookmarkStart w:id="292" w:name="_Toc384341036"/>
      <w:r>
        <w:rPr>
          <w:rFonts w:hint="eastAsia"/>
          <w:color w:val="auto"/>
          <w:highlight w:val="none"/>
          <w:lang w:val="en-US" w:eastAsia="zh-CN"/>
        </w:rPr>
        <w:t>9</w:t>
      </w:r>
      <w:r>
        <w:rPr>
          <w:color w:val="auto"/>
          <w:highlight w:val="none"/>
        </w:rPr>
        <w:t>.2.1 产品包装前的检查</w:t>
      </w:r>
    </w:p>
    <w:p>
      <w:pPr>
        <w:pStyle w:val="21"/>
        <w:spacing w:line="360" w:lineRule="auto"/>
        <w:ind w:firstLine="420" w:firstLineChars="200"/>
        <w:rPr>
          <w:rFonts w:hint="eastAsia" w:eastAsia="宋体"/>
          <w:color w:val="auto"/>
          <w:highlight w:val="none"/>
          <w:lang w:eastAsia="zh-CN"/>
        </w:rPr>
      </w:pPr>
      <w:r>
        <w:rPr>
          <w:color w:val="auto"/>
          <w:highlight w:val="none"/>
        </w:rPr>
        <w:t>1）产品的合格证书、接线配置图、外形图、安装尺寸基础图、产品的安装、运行、维护、修理及使用说明书、易损件的清单、工厂试验报告、备品、备件齐全</w:t>
      </w:r>
      <w:r>
        <w:rPr>
          <w:rFonts w:hint="eastAsia"/>
          <w:color w:val="auto"/>
          <w:highlight w:val="none"/>
          <w:lang w:eastAsia="zh-CN"/>
        </w:rPr>
        <w:t>。</w:t>
      </w:r>
    </w:p>
    <w:p>
      <w:pPr>
        <w:pStyle w:val="21"/>
        <w:spacing w:line="360" w:lineRule="auto"/>
        <w:ind w:firstLine="420" w:firstLineChars="200"/>
        <w:rPr>
          <w:rFonts w:hint="eastAsia" w:eastAsia="宋体"/>
          <w:color w:val="auto"/>
          <w:highlight w:val="none"/>
          <w:lang w:eastAsia="zh-CN"/>
        </w:rPr>
      </w:pPr>
      <w:r>
        <w:rPr>
          <w:color w:val="auto"/>
          <w:highlight w:val="none"/>
        </w:rPr>
        <w:t>2）产品外观无损伤</w:t>
      </w:r>
      <w:r>
        <w:rPr>
          <w:rFonts w:hint="eastAsia"/>
          <w:color w:val="auto"/>
          <w:highlight w:val="none"/>
          <w:lang w:eastAsia="zh-CN"/>
        </w:rPr>
        <w:t>。</w:t>
      </w:r>
    </w:p>
    <w:p>
      <w:pPr>
        <w:pStyle w:val="21"/>
        <w:spacing w:line="360" w:lineRule="auto"/>
        <w:ind w:firstLine="420" w:firstLineChars="200"/>
        <w:rPr>
          <w:color w:val="auto"/>
          <w:highlight w:val="none"/>
        </w:rPr>
      </w:pPr>
      <w:r>
        <w:rPr>
          <w:color w:val="auto"/>
          <w:highlight w:val="none"/>
        </w:rPr>
        <w:t>3）产品表面无灰尘。</w:t>
      </w:r>
    </w:p>
    <w:p>
      <w:pPr>
        <w:spacing w:line="360" w:lineRule="auto"/>
        <w:rPr>
          <w:color w:val="auto"/>
          <w:highlight w:val="none"/>
        </w:rPr>
      </w:pPr>
      <w:r>
        <w:rPr>
          <w:rFonts w:hint="eastAsia"/>
          <w:color w:val="auto"/>
          <w:highlight w:val="none"/>
          <w:lang w:val="en-US" w:eastAsia="zh-CN"/>
        </w:rPr>
        <w:t>9</w:t>
      </w:r>
      <w:r>
        <w:rPr>
          <w:color w:val="auto"/>
          <w:highlight w:val="none"/>
        </w:rPr>
        <w:t>.2.2 包装的一般要求</w:t>
      </w:r>
    </w:p>
    <w:p>
      <w:pPr>
        <w:pStyle w:val="21"/>
        <w:spacing w:line="360" w:lineRule="auto"/>
        <w:ind w:firstLine="420" w:firstLineChars="200"/>
        <w:rPr>
          <w:color w:val="auto"/>
          <w:highlight w:val="none"/>
        </w:rPr>
      </w:pPr>
      <w:r>
        <w:rPr>
          <w:color w:val="auto"/>
          <w:highlight w:val="none"/>
        </w:rPr>
        <w:t>产品应有内包装和外包装，包装应有防尘、防雨、防水、防潮、防振等措施。</w:t>
      </w:r>
    </w:p>
    <w:p>
      <w:pPr>
        <w:pStyle w:val="4"/>
        <w:numPr>
          <w:ilvl w:val="0"/>
          <w:numId w:val="0"/>
        </w:numPr>
        <w:adjustRightInd w:val="0"/>
        <w:snapToGrid w:val="0"/>
        <w:spacing w:line="360" w:lineRule="auto"/>
        <w:rPr>
          <w:color w:val="auto"/>
          <w:highlight w:val="none"/>
        </w:rPr>
      </w:pPr>
      <w:bookmarkStart w:id="293" w:name="_Toc19538"/>
      <w:bookmarkStart w:id="294" w:name="_Toc12361"/>
      <w:bookmarkStart w:id="295" w:name="_Toc126594115"/>
      <w:bookmarkStart w:id="296" w:name="_Toc14041"/>
      <w:bookmarkStart w:id="297" w:name="_Toc14254"/>
      <w:bookmarkStart w:id="298" w:name="_Toc10978"/>
      <w:r>
        <w:rPr>
          <w:rFonts w:hint="eastAsia"/>
          <w:color w:val="auto"/>
          <w:highlight w:val="none"/>
          <w:lang w:val="en-US" w:eastAsia="zh-CN"/>
        </w:rPr>
        <w:t>9</w:t>
      </w:r>
      <w:r>
        <w:rPr>
          <w:color w:val="auto"/>
          <w:highlight w:val="none"/>
        </w:rPr>
        <w:t>.3储存与运输</w:t>
      </w:r>
      <w:bookmarkEnd w:id="290"/>
      <w:bookmarkEnd w:id="291"/>
      <w:bookmarkEnd w:id="292"/>
      <w:bookmarkEnd w:id="293"/>
      <w:bookmarkEnd w:id="294"/>
      <w:bookmarkEnd w:id="295"/>
      <w:bookmarkEnd w:id="296"/>
      <w:bookmarkEnd w:id="297"/>
      <w:bookmarkEnd w:id="298"/>
    </w:p>
    <w:p>
      <w:pPr>
        <w:pStyle w:val="21"/>
        <w:numPr>
          <w:ilvl w:val="0"/>
          <w:numId w:val="5"/>
        </w:numPr>
        <w:spacing w:line="360" w:lineRule="auto"/>
        <w:ind w:firstLine="420" w:firstLineChars="200"/>
        <w:rPr>
          <w:color w:val="auto"/>
          <w:highlight w:val="none"/>
        </w:rPr>
      </w:pPr>
      <w:r>
        <w:rPr>
          <w:color w:val="auto"/>
          <w:highlight w:val="none"/>
        </w:rPr>
        <w:t>包装好的装置应存贮在环境温度为–25℃～+55℃、相对湿度不大于85％的库房内，室内无酸、碱、盐及腐蚀性、爆炸性气体，不受灰尘雨雪的侵蚀。</w:t>
      </w:r>
    </w:p>
    <w:p>
      <w:pPr>
        <w:pStyle w:val="21"/>
        <w:spacing w:line="360" w:lineRule="auto"/>
        <w:ind w:firstLine="420" w:firstLineChars="200"/>
        <w:rPr>
          <w:color w:val="auto"/>
          <w:highlight w:val="none"/>
        </w:rPr>
      </w:pPr>
      <w:r>
        <w:rPr>
          <w:color w:val="auto"/>
          <w:highlight w:val="none"/>
        </w:rPr>
        <w:t>2）产品应适用于陆运、空运、水（海）运，按运输装卸包装箱上的标准进行操作；在运输中应直立放置，不许倒置、侧放。</w:t>
      </w:r>
    </w:p>
    <w:p>
      <w:pPr>
        <w:pStyle w:val="4"/>
        <w:numPr>
          <w:ilvl w:val="0"/>
          <w:numId w:val="0"/>
        </w:numPr>
        <w:adjustRightInd w:val="0"/>
        <w:snapToGrid w:val="0"/>
        <w:spacing w:line="360" w:lineRule="auto"/>
        <w:rPr>
          <w:color w:val="auto"/>
          <w:highlight w:val="none"/>
        </w:rPr>
      </w:pPr>
      <w:bookmarkStart w:id="299" w:name="_Toc17831"/>
      <w:bookmarkStart w:id="300" w:name="_Toc27578"/>
      <w:bookmarkStart w:id="301" w:name="_Toc126594116"/>
      <w:bookmarkStart w:id="302" w:name="_Toc26610"/>
      <w:r>
        <w:rPr>
          <w:rFonts w:hint="eastAsia"/>
          <w:color w:val="auto"/>
          <w:highlight w:val="none"/>
          <w:lang w:val="en-US" w:eastAsia="zh-CN"/>
        </w:rPr>
        <w:t>9</w:t>
      </w:r>
      <w:r>
        <w:rPr>
          <w:color w:val="auto"/>
          <w:highlight w:val="none"/>
        </w:rPr>
        <w:t>.</w:t>
      </w:r>
      <w:bookmarkStart w:id="303" w:name="_Toc276490920"/>
      <w:bookmarkStart w:id="304" w:name="_Toc276492438"/>
      <w:bookmarkStart w:id="305" w:name="_Toc276301530"/>
      <w:bookmarkStart w:id="306" w:name="_Toc279695211"/>
      <w:bookmarkStart w:id="307" w:name="_Toc282433762"/>
      <w:bookmarkStart w:id="308" w:name="_Toc282993366"/>
      <w:bookmarkStart w:id="309" w:name="_Toc384341037"/>
      <w:r>
        <w:rPr>
          <w:color w:val="auto"/>
          <w:highlight w:val="none"/>
        </w:rPr>
        <w:t>4安装</w:t>
      </w:r>
      <w:bookmarkEnd w:id="303"/>
      <w:bookmarkEnd w:id="304"/>
      <w:bookmarkEnd w:id="305"/>
      <w:r>
        <w:rPr>
          <w:color w:val="auto"/>
          <w:highlight w:val="none"/>
        </w:rPr>
        <w:t>指导</w:t>
      </w:r>
      <w:bookmarkEnd w:id="299"/>
      <w:bookmarkEnd w:id="300"/>
      <w:bookmarkEnd w:id="301"/>
      <w:bookmarkEnd w:id="302"/>
      <w:bookmarkEnd w:id="306"/>
      <w:bookmarkEnd w:id="307"/>
      <w:bookmarkEnd w:id="308"/>
      <w:bookmarkEnd w:id="309"/>
    </w:p>
    <w:p>
      <w:pPr>
        <w:adjustRightInd w:val="0"/>
        <w:snapToGrid w:val="0"/>
        <w:spacing w:line="360" w:lineRule="auto"/>
        <w:ind w:firstLine="420" w:firstLineChars="200"/>
        <w:rPr>
          <w:color w:val="auto"/>
          <w:highlight w:val="none"/>
        </w:rPr>
      </w:pPr>
      <w:r>
        <w:rPr>
          <w:color w:val="auto"/>
          <w:highlight w:val="none"/>
        </w:rPr>
        <w:t>制造厂在安装和启动时应安排技术人员提供现场安装指导服务，提出技术建议，并有对运行人员提供相关培训的义务。</w:t>
      </w:r>
    </w:p>
    <w:p>
      <w:pPr>
        <w:pStyle w:val="3"/>
        <w:numPr>
          <w:ilvl w:val="0"/>
          <w:numId w:val="0"/>
        </w:numPr>
        <w:rPr>
          <w:rFonts w:ascii="Times New Roman" w:hAnsi="Times New Roman" w:eastAsia="黑体" w:cs="Times New Roman"/>
          <w:b/>
          <w:color w:val="auto"/>
          <w:sz w:val="21"/>
          <w:szCs w:val="21"/>
          <w:highlight w:val="none"/>
        </w:rPr>
      </w:pPr>
      <w:bookmarkStart w:id="310" w:name="_Toc384341038"/>
      <w:bookmarkStart w:id="311" w:name="_Toc126594117"/>
      <w:bookmarkStart w:id="312" w:name="_Toc282433763"/>
      <w:bookmarkStart w:id="313" w:name="_Toc282993367"/>
      <w:bookmarkStart w:id="314" w:name="_Toc5806"/>
      <w:bookmarkStart w:id="315" w:name="_Toc3022"/>
      <w:bookmarkStart w:id="316" w:name="_Toc8043"/>
      <w:r>
        <w:rPr>
          <w:rFonts w:ascii="Times New Roman" w:hAnsi="Times New Roman" w:eastAsia="黑体" w:cs="Times New Roman"/>
          <w:b/>
          <w:color w:val="auto"/>
          <w:sz w:val="21"/>
          <w:szCs w:val="21"/>
          <w:highlight w:val="none"/>
        </w:rPr>
        <w:t>1</w:t>
      </w:r>
      <w:r>
        <w:rPr>
          <w:rFonts w:hint="eastAsia" w:eastAsia="黑体" w:cs="Times New Roman"/>
          <w:b/>
          <w:color w:val="auto"/>
          <w:sz w:val="21"/>
          <w:szCs w:val="21"/>
          <w:highlight w:val="none"/>
          <w:lang w:val="en-US" w:eastAsia="zh-CN"/>
        </w:rPr>
        <w:t>0</w:t>
      </w:r>
      <w:r>
        <w:rPr>
          <w:rFonts w:ascii="Times New Roman" w:hAnsi="Times New Roman" w:eastAsia="黑体" w:cs="Times New Roman"/>
          <w:b/>
          <w:color w:val="auto"/>
          <w:sz w:val="21"/>
          <w:szCs w:val="21"/>
          <w:highlight w:val="none"/>
        </w:rPr>
        <w:t>质量保证</w:t>
      </w:r>
      <w:bookmarkEnd w:id="310"/>
      <w:bookmarkEnd w:id="311"/>
      <w:bookmarkEnd w:id="312"/>
      <w:bookmarkEnd w:id="313"/>
      <w:bookmarkEnd w:id="314"/>
      <w:bookmarkEnd w:id="315"/>
      <w:bookmarkEnd w:id="316"/>
    </w:p>
    <w:p>
      <w:pPr>
        <w:pStyle w:val="17"/>
        <w:numPr>
          <w:ilvl w:val="0"/>
          <w:numId w:val="0"/>
        </w:numPr>
        <w:autoSpaceDE w:val="0"/>
        <w:autoSpaceDN w:val="0"/>
        <w:spacing w:line="360" w:lineRule="auto"/>
        <w:ind w:left="0" w:leftChars="0" w:firstLine="420" w:firstLineChars="200"/>
        <w:textAlignment w:val="bottom"/>
        <w:rPr>
          <w:rFonts w:hint="eastAsia" w:ascii="Times New Roman" w:hAnsi="Times New Roman" w:eastAsia="宋体"/>
          <w:color w:val="auto"/>
          <w:szCs w:val="21"/>
          <w:highlight w:val="none"/>
          <w:lang w:eastAsia="zh-CN"/>
        </w:rPr>
      </w:pPr>
      <w:r>
        <w:rPr>
          <w:rFonts w:hint="eastAsia"/>
          <w:color w:val="auto"/>
          <w:szCs w:val="21"/>
          <w:highlight w:val="none"/>
          <w:lang w:val="en-US" w:eastAsia="zh-CN"/>
        </w:rPr>
        <w:t>1）按照全生命周期管理要求，装置的质保期应不低于3年，质保期内供货商免费更换所有配件、耗材，并承担维护费用，确保其产品能正常运行。装质保期之后发生设备损坏，如招标单位需进行设备修理，投标方应按最近的投标价提供维修部件及维修服务</w:t>
      </w:r>
      <w:r>
        <w:rPr>
          <w:rFonts w:hint="eastAsia"/>
          <w:color w:val="auto"/>
          <w:szCs w:val="21"/>
          <w:highlight w:val="none"/>
          <w:lang w:eastAsia="zh-CN"/>
        </w:rPr>
        <w:t>。</w:t>
      </w:r>
    </w:p>
    <w:p>
      <w:pPr>
        <w:pStyle w:val="17"/>
        <w:numPr>
          <w:ilvl w:val="0"/>
          <w:numId w:val="0"/>
        </w:numPr>
        <w:autoSpaceDE w:val="0"/>
        <w:autoSpaceDN w:val="0"/>
        <w:adjustRightInd w:val="0"/>
        <w:snapToGrid w:val="0"/>
        <w:spacing w:line="360" w:lineRule="auto"/>
        <w:ind w:firstLine="420" w:firstLineChars="200"/>
        <w:textAlignment w:val="bottom"/>
        <w:rPr>
          <w:rFonts w:hint="default" w:ascii="Times New Roman" w:hAnsi="Times New Roman" w:eastAsia="宋体"/>
          <w:color w:val="auto"/>
          <w:szCs w:val="21"/>
          <w:highlight w:val="none"/>
          <w:lang w:val="en-US" w:eastAsia="zh-CN"/>
        </w:rPr>
      </w:pPr>
      <w:r>
        <w:rPr>
          <w:rFonts w:hint="eastAsia"/>
          <w:color w:val="auto"/>
          <w:szCs w:val="21"/>
          <w:highlight w:val="none"/>
          <w:lang w:val="en-US" w:eastAsia="zh-CN"/>
        </w:rPr>
        <w:t>2）</w:t>
      </w:r>
      <w:r>
        <w:rPr>
          <w:rFonts w:hint="eastAsia" w:ascii="Times New Roman" w:hAnsi="Times New Roman" w:eastAsia="宋体" w:cs="Times New Roman"/>
          <w:color w:val="auto"/>
          <w:sz w:val="21"/>
          <w:szCs w:val="21"/>
          <w:highlight w:val="none"/>
        </w:rPr>
        <w:t>装置</w:t>
      </w:r>
      <w:r>
        <w:rPr>
          <w:rFonts w:hint="eastAsia" w:ascii="Times New Roman" w:hAnsi="Times New Roman" w:cs="Times New Roman"/>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年内免费维修，设备发生的所有非不可抗力因素</w:t>
      </w:r>
      <w:r>
        <w:rPr>
          <w:rFonts w:hint="eastAsia"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rPr>
        <w:t>造成的缺陷或故障由生产厂家免费进行维修或更换，包括所需人力和所需更换材料</w:t>
      </w:r>
      <w:r>
        <w:rPr>
          <w:rFonts w:hint="eastAsia"/>
          <w:color w:val="auto"/>
          <w:szCs w:val="21"/>
          <w:highlight w:val="none"/>
          <w:lang w:eastAsia="zh-CN"/>
        </w:rPr>
        <w:t>；</w:t>
      </w:r>
      <w:r>
        <w:rPr>
          <w:rFonts w:hint="eastAsia" w:cs="Times New Roman"/>
          <w:color w:val="auto"/>
          <w:sz w:val="21"/>
          <w:szCs w:val="21"/>
          <w:highlight w:val="none"/>
          <w:lang w:val="en-US" w:eastAsia="zh-CN"/>
        </w:rPr>
        <w:t>超出设计标准的台风、地震等不可抗力导致的设备损坏，</w:t>
      </w:r>
      <w:r>
        <w:rPr>
          <w:rFonts w:hint="eastAsia"/>
          <w:color w:val="auto"/>
          <w:szCs w:val="21"/>
          <w:highlight w:val="none"/>
          <w:lang w:val="en-US" w:eastAsia="zh-CN"/>
        </w:rPr>
        <w:t>如招标单位需进行设备修理</w:t>
      </w:r>
      <w:r>
        <w:rPr>
          <w:rFonts w:hint="eastAsia" w:cs="Times New Roman"/>
          <w:color w:val="auto"/>
          <w:sz w:val="21"/>
          <w:szCs w:val="21"/>
          <w:highlight w:val="none"/>
          <w:lang w:val="en-US" w:eastAsia="zh-CN"/>
        </w:rPr>
        <w:t>，</w:t>
      </w:r>
      <w:r>
        <w:rPr>
          <w:rFonts w:hint="eastAsia"/>
          <w:color w:val="auto"/>
          <w:szCs w:val="21"/>
          <w:highlight w:val="none"/>
          <w:lang w:val="en-US" w:eastAsia="zh-CN"/>
        </w:rPr>
        <w:t>投标方应按最近的投标价提供维修部件及维修服务。</w:t>
      </w:r>
    </w:p>
    <w:p>
      <w:pPr>
        <w:pStyle w:val="17"/>
        <w:numPr>
          <w:ilvl w:val="0"/>
          <w:numId w:val="0"/>
        </w:numPr>
        <w:autoSpaceDE w:val="0"/>
        <w:autoSpaceDN w:val="0"/>
        <w:adjustRightInd w:val="0"/>
        <w:snapToGrid w:val="0"/>
        <w:spacing w:line="360" w:lineRule="auto"/>
        <w:ind w:firstLine="420" w:firstLineChars="200"/>
        <w:textAlignment w:val="bottom"/>
        <w:rPr>
          <w:rFonts w:hint="eastAsia"/>
          <w:color w:val="auto"/>
          <w:szCs w:val="21"/>
          <w:highlight w:val="none"/>
          <w:lang w:eastAsia="zh-CN"/>
        </w:rPr>
      </w:pPr>
      <w:r>
        <w:rPr>
          <w:rFonts w:hint="eastAsia"/>
          <w:color w:val="auto"/>
          <w:szCs w:val="21"/>
          <w:highlight w:val="none"/>
          <w:lang w:val="en-US" w:eastAsia="zh-CN"/>
        </w:rPr>
        <w:t>3）</w:t>
      </w:r>
      <w:r>
        <w:rPr>
          <w:rFonts w:hint="eastAsia" w:ascii="Times New Roman" w:hAnsi="Times New Roman"/>
          <w:color w:val="auto"/>
          <w:szCs w:val="21"/>
          <w:highlight w:val="none"/>
        </w:rPr>
        <w:t>系统软件终身免费升级</w:t>
      </w:r>
      <w:r>
        <w:rPr>
          <w:rFonts w:hint="eastAsia"/>
          <w:color w:val="auto"/>
          <w:szCs w:val="21"/>
          <w:highlight w:val="none"/>
          <w:lang w:eastAsia="zh-CN"/>
        </w:rPr>
        <w:t>。</w:t>
      </w:r>
    </w:p>
    <w:p>
      <w:pPr>
        <w:pStyle w:val="17"/>
        <w:numPr>
          <w:ilvl w:val="0"/>
          <w:numId w:val="0"/>
        </w:numPr>
        <w:autoSpaceDE w:val="0"/>
        <w:autoSpaceDN w:val="0"/>
        <w:spacing w:line="360" w:lineRule="auto"/>
        <w:ind w:left="0" w:leftChars="0" w:firstLine="420" w:firstLineChars="200"/>
        <w:textAlignment w:val="bottom"/>
        <w:rPr>
          <w:rFonts w:hint="eastAsia" w:ascii="Times New Roman" w:hAnsi="Times New Roman" w:eastAsia="宋体"/>
          <w:color w:val="auto"/>
          <w:szCs w:val="21"/>
          <w:highlight w:val="none"/>
          <w:lang w:eastAsia="zh-CN"/>
        </w:rPr>
      </w:pPr>
      <w:r>
        <w:rPr>
          <w:rFonts w:hint="eastAsia"/>
          <w:color w:val="auto"/>
          <w:szCs w:val="21"/>
          <w:highlight w:val="none"/>
          <w:lang w:val="en-US" w:eastAsia="zh-CN"/>
        </w:rPr>
        <w:t>4）</w:t>
      </w:r>
      <w:r>
        <w:rPr>
          <w:rFonts w:hint="eastAsia" w:ascii="Times New Roman" w:hAnsi="Times New Roman"/>
          <w:color w:val="auto"/>
          <w:szCs w:val="21"/>
          <w:highlight w:val="none"/>
        </w:rPr>
        <w:t>投标方对售后服务的需求必须在</w:t>
      </w:r>
      <w:r>
        <w:rPr>
          <w:rFonts w:ascii="Times New Roman" w:hAnsi="Times New Roman"/>
          <w:color w:val="auto"/>
          <w:szCs w:val="21"/>
          <w:highlight w:val="none"/>
        </w:rPr>
        <w:t>24</w:t>
      </w:r>
      <w:r>
        <w:rPr>
          <w:rFonts w:hint="eastAsia" w:ascii="Times New Roman" w:hAnsi="Times New Roman"/>
          <w:color w:val="auto"/>
          <w:szCs w:val="21"/>
          <w:highlight w:val="none"/>
        </w:rPr>
        <w:t>小时答复，在</w:t>
      </w:r>
      <w:r>
        <w:rPr>
          <w:rFonts w:ascii="Times New Roman" w:hAnsi="Times New Roman"/>
          <w:color w:val="auto"/>
          <w:szCs w:val="21"/>
          <w:highlight w:val="none"/>
        </w:rPr>
        <w:t>48</w:t>
      </w:r>
      <w:r>
        <w:rPr>
          <w:rFonts w:hint="eastAsia" w:ascii="Times New Roman" w:hAnsi="Times New Roman"/>
          <w:color w:val="auto"/>
          <w:szCs w:val="21"/>
          <w:highlight w:val="none"/>
        </w:rPr>
        <w:t>小时内提供技术服务</w:t>
      </w:r>
      <w:r>
        <w:rPr>
          <w:rFonts w:hint="eastAsia"/>
          <w:color w:val="auto"/>
          <w:szCs w:val="21"/>
          <w:highlight w:val="none"/>
          <w:lang w:eastAsia="zh-CN"/>
        </w:rPr>
        <w:t>。</w:t>
      </w:r>
    </w:p>
    <w:p>
      <w:pPr>
        <w:pStyle w:val="17"/>
        <w:numPr>
          <w:ilvl w:val="0"/>
          <w:numId w:val="0"/>
        </w:numPr>
        <w:autoSpaceDE w:val="0"/>
        <w:autoSpaceDN w:val="0"/>
        <w:adjustRightInd w:val="0"/>
        <w:snapToGrid w:val="0"/>
        <w:spacing w:line="360" w:lineRule="auto"/>
        <w:ind w:left="0" w:leftChars="0" w:firstLine="420" w:firstLineChars="200"/>
        <w:textAlignment w:val="bottom"/>
        <w:rPr>
          <w:rFonts w:hint="eastAsia"/>
          <w:color w:val="auto"/>
          <w:szCs w:val="21"/>
          <w:highlight w:val="none"/>
          <w:lang w:eastAsia="zh-CN"/>
        </w:rPr>
      </w:pPr>
      <w:r>
        <w:rPr>
          <w:rFonts w:hint="eastAsia"/>
          <w:color w:val="auto"/>
          <w:szCs w:val="21"/>
          <w:highlight w:val="none"/>
          <w:lang w:val="en-US" w:eastAsia="zh-CN"/>
        </w:rPr>
        <w:t>5）</w:t>
      </w:r>
      <w:r>
        <w:rPr>
          <w:rFonts w:hint="eastAsia" w:ascii="Times New Roman" w:hAnsi="Times New Roman"/>
          <w:color w:val="auto"/>
          <w:szCs w:val="21"/>
          <w:highlight w:val="none"/>
        </w:rPr>
        <w:t>投标方长期为招标方提供备件采购和供应服务</w:t>
      </w:r>
      <w:r>
        <w:rPr>
          <w:rFonts w:hint="eastAsia"/>
          <w:color w:val="auto"/>
          <w:szCs w:val="21"/>
          <w:highlight w:val="none"/>
          <w:lang w:eastAsia="zh-CN"/>
        </w:rPr>
        <w:t>。</w:t>
      </w:r>
    </w:p>
    <w:p>
      <w:pPr>
        <w:pStyle w:val="17"/>
        <w:numPr>
          <w:ilvl w:val="0"/>
          <w:numId w:val="0"/>
        </w:numPr>
        <w:autoSpaceDE w:val="0"/>
        <w:autoSpaceDN w:val="0"/>
        <w:adjustRightInd w:val="0"/>
        <w:snapToGrid w:val="0"/>
        <w:spacing w:line="360" w:lineRule="auto"/>
        <w:ind w:left="0" w:leftChars="0" w:firstLine="420" w:firstLineChars="200"/>
        <w:textAlignment w:val="bottom"/>
        <w:rPr>
          <w:rFonts w:hint="eastAsia" w:ascii="Times New Roman" w:hAnsi="Times New Roman" w:eastAsia="宋体" w:cs="Times New Roman"/>
          <w:color w:val="auto"/>
          <w:sz w:val="21"/>
          <w:szCs w:val="21"/>
          <w:highlight w:val="none"/>
        </w:rPr>
      </w:pPr>
      <w:r>
        <w:rPr>
          <w:rFonts w:hint="eastAsia"/>
          <w:color w:val="auto"/>
          <w:szCs w:val="21"/>
          <w:highlight w:val="none"/>
          <w:lang w:val="en-US" w:eastAsia="zh-CN"/>
        </w:rPr>
        <w:t>6）</w:t>
      </w:r>
      <w:r>
        <w:rPr>
          <w:rFonts w:hint="eastAsia" w:ascii="Times New Roman" w:hAnsi="Times New Roman" w:eastAsia="宋体" w:cs="Times New Roman"/>
          <w:color w:val="auto"/>
          <w:sz w:val="21"/>
          <w:szCs w:val="21"/>
          <w:highlight w:val="none"/>
        </w:rPr>
        <w:t>装置投运后，招标方按年对装置的运行率进行统计，收集设备全生命周期内的运维数据并定期与投标方共享。</w:t>
      </w:r>
    </w:p>
    <w:p>
      <w:pPr>
        <w:pStyle w:val="17"/>
        <w:numPr>
          <w:ilvl w:val="0"/>
          <w:numId w:val="0"/>
        </w:numPr>
        <w:autoSpaceDE w:val="0"/>
        <w:autoSpaceDN w:val="0"/>
        <w:adjustRightInd w:val="0"/>
        <w:snapToGrid w:val="0"/>
        <w:spacing w:line="360" w:lineRule="auto"/>
        <w:ind w:left="0" w:leftChars="0" w:firstLine="412" w:firstLineChars="200"/>
        <w:textAlignment w:val="bottom"/>
        <w:rPr>
          <w:rFonts w:hint="eastAsia" w:hAnsi="宋体"/>
          <w:color w:val="auto"/>
          <w:spacing w:val="-2"/>
          <w:highlight w:val="none"/>
        </w:rPr>
      </w:pPr>
      <w:r>
        <w:rPr>
          <w:rFonts w:hint="eastAsia" w:hAnsi="宋体"/>
          <w:color w:val="auto"/>
          <w:spacing w:val="-2"/>
          <w:highlight w:val="none"/>
          <w:lang w:val="en-US" w:eastAsia="zh-CN"/>
        </w:rPr>
        <w:t>7）</w:t>
      </w:r>
      <w:r>
        <w:rPr>
          <w:rFonts w:hAnsi="宋体"/>
          <w:color w:val="auto"/>
          <w:spacing w:val="-2"/>
          <w:highlight w:val="none"/>
        </w:rPr>
        <w:t>质保期后，</w:t>
      </w:r>
      <w:r>
        <w:rPr>
          <w:rFonts w:hint="eastAsia" w:hAnsi="宋体"/>
          <w:color w:val="auto"/>
          <w:spacing w:val="-2"/>
          <w:highlight w:val="none"/>
        </w:rPr>
        <w:t>设备生命周期内，投标方应保证备品备件的供应满足投标服务响应要求</w:t>
      </w:r>
      <w:r>
        <w:rPr>
          <w:rFonts w:hint="eastAsia" w:hAnsi="宋体"/>
          <w:color w:val="auto"/>
          <w:spacing w:val="-2"/>
          <w:highlight w:val="none"/>
          <w:lang w:eastAsia="zh-CN"/>
        </w:rPr>
        <w:t>，</w:t>
      </w:r>
      <w:r>
        <w:rPr>
          <w:rFonts w:hint="eastAsia" w:hAnsi="宋体"/>
          <w:color w:val="auto"/>
          <w:spacing w:val="-2"/>
          <w:highlight w:val="none"/>
        </w:rPr>
        <w:t>系统软件免费升级。质保期之后如发生产品质量原因导致的损坏，投标方应免费更换或检修；如发生非产品质量原因导致的损坏，投标方应及时提供维修部件，并按最近的投标价提供。</w:t>
      </w:r>
    </w:p>
    <w:p>
      <w:pPr>
        <w:pStyle w:val="17"/>
        <w:numPr>
          <w:ilvl w:val="0"/>
          <w:numId w:val="0"/>
        </w:numPr>
        <w:autoSpaceDE w:val="0"/>
        <w:autoSpaceDN w:val="0"/>
        <w:adjustRightInd w:val="0"/>
        <w:snapToGrid w:val="0"/>
        <w:spacing w:line="360" w:lineRule="auto"/>
        <w:ind w:left="0" w:leftChars="0" w:firstLine="412" w:firstLineChars="200"/>
        <w:textAlignment w:val="bottom"/>
        <w:rPr>
          <w:rFonts w:hint="eastAsia"/>
        </w:rPr>
      </w:pPr>
      <w:r>
        <w:rPr>
          <w:rFonts w:hint="eastAsia" w:hAnsi="宋体"/>
          <w:color w:val="auto"/>
          <w:spacing w:val="-2"/>
          <w:highlight w:val="none"/>
          <w:lang w:val="en-US" w:eastAsia="zh-CN"/>
        </w:rPr>
        <w:t>8</w:t>
      </w:r>
      <w:r>
        <w:rPr>
          <w:rFonts w:hint="eastAsia" w:hAnsi="宋体"/>
          <w:color w:val="auto"/>
          <w:spacing w:val="-2"/>
          <w:highlight w:val="none"/>
          <w:lang w:eastAsia="zh-CN"/>
        </w:rPr>
        <w:t>）</w:t>
      </w:r>
      <w:r>
        <w:rPr>
          <w:rFonts w:hAnsi="宋体"/>
          <w:color w:val="auto"/>
          <w:spacing w:val="-2"/>
          <w:highlight w:val="none"/>
        </w:rPr>
        <w:t>投标方</w:t>
      </w:r>
      <w:r>
        <w:rPr>
          <w:rFonts w:hint="eastAsia" w:hAnsi="宋体"/>
          <w:color w:val="auto"/>
          <w:spacing w:val="-2"/>
          <w:highlight w:val="none"/>
          <w:lang w:eastAsia="zh-CN"/>
        </w:rPr>
        <w:t>应</w:t>
      </w:r>
      <w:r>
        <w:rPr>
          <w:rFonts w:hAnsi="宋体"/>
          <w:color w:val="auto"/>
          <w:spacing w:val="-2"/>
          <w:highlight w:val="none"/>
        </w:rPr>
        <w:t>遵守本标准中各条款和工作项目的</w:t>
      </w:r>
      <w:r>
        <w:rPr>
          <w:color w:val="auto"/>
          <w:spacing w:val="-2"/>
          <w:highlight w:val="none"/>
        </w:rPr>
        <w:t>ISO9000-GB/T19000</w:t>
      </w:r>
      <w:r>
        <w:rPr>
          <w:rFonts w:hAnsi="宋体"/>
          <w:color w:val="auto"/>
          <w:spacing w:val="-2"/>
          <w:highlight w:val="none"/>
        </w:rPr>
        <w:t>质量保证体系</w:t>
      </w:r>
      <w:r>
        <w:rPr>
          <w:rFonts w:hint="eastAsia"/>
          <w:color w:val="auto"/>
          <w:spacing w:val="-2"/>
          <w:highlight w:val="none"/>
        </w:rPr>
        <w:t>，</w:t>
      </w:r>
      <w:r>
        <w:rPr>
          <w:rFonts w:hAnsi="宋体"/>
          <w:color w:val="auto"/>
          <w:spacing w:val="-2"/>
          <w:highlight w:val="none"/>
        </w:rPr>
        <w:t>该质量保证体系已经通过国家认证并在正常运转。</w:t>
      </w:r>
    </w:p>
    <w:bookmarkEnd w:id="54"/>
    <w:bookmarkEnd w:id="55"/>
    <w:bookmarkEnd w:id="56"/>
    <w:bookmarkEnd w:id="57"/>
    <w:p>
      <w:pPr>
        <w:pStyle w:val="3"/>
        <w:numPr>
          <w:ilvl w:val="0"/>
          <w:numId w:val="0"/>
        </w:numPr>
        <w:rPr>
          <w:rFonts w:hint="eastAsia" w:ascii="Times New Roman" w:hAnsi="Times New Roman" w:eastAsia="黑体" w:cs="Times New Roman"/>
          <w:b/>
          <w:color w:val="auto"/>
          <w:sz w:val="21"/>
          <w:szCs w:val="21"/>
          <w:highlight w:val="none"/>
        </w:rPr>
      </w:pPr>
      <w:bookmarkStart w:id="317" w:name="_Toc29939"/>
      <w:bookmarkStart w:id="318" w:name="_Toc170487030"/>
      <w:r>
        <w:rPr>
          <w:rFonts w:hint="eastAsia" w:ascii="Times New Roman" w:hAnsi="Times New Roman" w:eastAsia="黑体" w:cs="Times New Roman"/>
          <w:b/>
          <w:color w:val="auto"/>
          <w:sz w:val="21"/>
          <w:szCs w:val="21"/>
          <w:highlight w:val="none"/>
          <w:lang w:val="en-US" w:eastAsia="zh-CN"/>
        </w:rPr>
        <w:t>1</w:t>
      </w:r>
      <w:r>
        <w:rPr>
          <w:rFonts w:hint="eastAsia" w:eastAsia="黑体" w:cs="Times New Roman"/>
          <w:b/>
          <w:color w:val="auto"/>
          <w:sz w:val="21"/>
          <w:szCs w:val="21"/>
          <w:highlight w:val="none"/>
          <w:lang w:val="en-US" w:eastAsia="zh-CN"/>
        </w:rPr>
        <w:t>1</w:t>
      </w:r>
      <w:r>
        <w:rPr>
          <w:rFonts w:ascii="Times New Roman" w:hAnsi="Times New Roman" w:eastAsia="黑体" w:cs="Times New Roman"/>
          <w:b/>
          <w:color w:val="auto"/>
          <w:sz w:val="21"/>
          <w:szCs w:val="21"/>
          <w:highlight w:val="none"/>
        </w:rPr>
        <w:t>其他</w:t>
      </w:r>
      <w:bookmarkEnd w:id="317"/>
      <w:bookmarkEnd w:id="318"/>
    </w:p>
    <w:p>
      <w:pPr>
        <w:adjustRightInd w:val="0"/>
        <w:snapToGrid w:val="0"/>
        <w:spacing w:line="360" w:lineRule="auto"/>
        <w:ind w:firstLine="420" w:firstLineChars="200"/>
        <w:rPr>
          <w:rFonts w:hint="eastAsia"/>
        </w:rPr>
      </w:pPr>
      <w:r>
        <w:rPr>
          <w:rFonts w:hint="eastAsia"/>
          <w:lang w:val="en-US" w:eastAsia="zh-CN"/>
        </w:rPr>
        <w:t>11.1</w:t>
      </w:r>
      <w:r>
        <w:rPr>
          <w:rFonts w:hint="eastAsia"/>
        </w:rPr>
        <w:t>如参加了2020年以来南方电网公司组织的送样检测，请提供投标产品送样检测合格报告。到货抽检发现厂家供货装置不符合技术规范书要求的，按照公司《</w:t>
      </w:r>
      <w:r>
        <w:rPr>
          <w:rFonts w:hint="eastAsia"/>
          <w:lang w:eastAsia="zh-CN"/>
        </w:rPr>
        <w:t>深圳供电局有限公司</w:t>
      </w:r>
      <w:r>
        <w:rPr>
          <w:rFonts w:hint="eastAsia"/>
        </w:rPr>
        <w:t>供货商失信扣分管理实施细则》要求进行处置。</w:t>
      </w:r>
    </w:p>
    <w:p>
      <w:pPr>
        <w:adjustRightInd w:val="0"/>
        <w:snapToGrid w:val="0"/>
        <w:spacing w:line="360" w:lineRule="auto"/>
        <w:ind w:firstLine="420" w:firstLineChars="200"/>
        <w:rPr>
          <w:rFonts w:hint="eastAsia"/>
        </w:rPr>
      </w:pPr>
      <w:r>
        <w:rPr>
          <w:rFonts w:hint="eastAsia"/>
          <w:lang w:val="en-US" w:eastAsia="zh-CN"/>
        </w:rPr>
        <w:t>11</w:t>
      </w:r>
      <w:r>
        <w:rPr>
          <w:rFonts w:hint="eastAsia"/>
        </w:rPr>
        <w:t>.2鼓励采用电力鸿蒙系统，如采用电力鸿蒙系统，需提供第三方单位的电鸿认证资料。</w:t>
      </w:r>
    </w:p>
    <w:p>
      <w:pPr>
        <w:adjustRightInd w:val="0"/>
        <w:snapToGrid w:val="0"/>
        <w:spacing w:line="360" w:lineRule="auto"/>
        <w:ind w:firstLine="420" w:firstLineChars="200"/>
        <w:rPr>
          <w:rFonts w:hint="eastAsia"/>
        </w:rPr>
      </w:pPr>
      <w:r>
        <w:rPr>
          <w:rFonts w:hint="eastAsia"/>
          <w:lang w:val="en-US" w:eastAsia="zh-CN"/>
        </w:rPr>
        <w:t>11</w:t>
      </w:r>
      <w:r>
        <w:rPr>
          <w:rFonts w:hint="eastAsia"/>
        </w:rPr>
        <w:t>.3在供货前需要完成单北斗认证，需提供第三方单位的认证资料。</w:t>
      </w:r>
    </w:p>
    <w:p>
      <w:pPr>
        <w:ind w:firstLine="420" w:firstLineChars="200"/>
        <w:rPr>
          <w:rFonts w:hint="eastAsia" w:ascii="黑体" w:eastAsia="黑体"/>
          <w:szCs w:val="21"/>
        </w:rPr>
      </w:pPr>
      <w:r>
        <w:rPr>
          <w:rFonts w:hint="eastAsia"/>
          <w:lang w:val="en-US" w:eastAsia="zh-CN"/>
        </w:rPr>
        <w:t>11</w:t>
      </w:r>
      <w:r>
        <w:rPr>
          <w:rFonts w:hint="eastAsia"/>
        </w:rPr>
        <w:t>.</w:t>
      </w:r>
      <w:r>
        <w:rPr>
          <w:rFonts w:hint="eastAsia"/>
          <w:lang w:val="en-US" w:eastAsia="zh-CN"/>
        </w:rPr>
        <w:t>4</w:t>
      </w:r>
      <w:r>
        <w:rPr>
          <w:rFonts w:hint="eastAsia" w:hAnsi="宋体"/>
        </w:rPr>
        <w:t xml:space="preserve"> LCC数据文件</w:t>
      </w:r>
    </w:p>
    <w:p>
      <w:pPr>
        <w:pStyle w:val="15"/>
        <w:adjustRightInd w:val="0"/>
        <w:snapToGrid w:val="0"/>
        <w:spacing w:line="360" w:lineRule="auto"/>
        <w:rPr>
          <w:rFonts w:hint="eastAsia" w:ascii="宋体" w:hAnsi="宋体" w:eastAsia="宋体" w:cs="Times New Roman"/>
          <w:szCs w:val="21"/>
        </w:rPr>
      </w:pPr>
      <w:r>
        <w:rPr>
          <w:rFonts w:hint="eastAsia" w:ascii="宋体" w:hAnsi="宋体" w:eastAsia="宋体" w:cs="Times New Roman"/>
          <w:szCs w:val="21"/>
        </w:rPr>
        <w:t>根据设备</w:t>
      </w:r>
      <w:r>
        <w:rPr>
          <w:rFonts w:ascii="宋体" w:hAnsi="宋体" w:eastAsia="宋体" w:cs="Times New Roman"/>
          <w:szCs w:val="21"/>
        </w:rPr>
        <w:t>全生命周期成本（LCC）</w:t>
      </w:r>
      <w:r>
        <w:rPr>
          <w:rFonts w:hint="eastAsia" w:ascii="宋体" w:hAnsi="宋体" w:eastAsia="宋体" w:cs="Times New Roman"/>
          <w:szCs w:val="21"/>
        </w:rPr>
        <w:t>管理</w:t>
      </w:r>
      <w:r>
        <w:rPr>
          <w:rFonts w:ascii="宋体" w:hAnsi="宋体" w:eastAsia="宋体" w:cs="Times New Roman"/>
          <w:szCs w:val="21"/>
        </w:rPr>
        <w:t>要求</w:t>
      </w:r>
      <w:r>
        <w:rPr>
          <w:rFonts w:hint="eastAsia" w:ascii="宋体" w:hAnsi="宋体" w:eastAsia="宋体" w:cs="Times New Roman"/>
          <w:szCs w:val="21"/>
        </w:rPr>
        <w:t>，投标方应如实填写</w:t>
      </w:r>
      <w:r>
        <w:rPr>
          <w:rFonts w:ascii="宋体" w:hAnsi="宋体" w:eastAsia="宋体" w:cs="Times New Roman"/>
          <w:szCs w:val="21"/>
        </w:rPr>
        <w:t>表</w:t>
      </w:r>
      <w:r>
        <w:rPr>
          <w:rFonts w:hint="eastAsia" w:ascii="宋体" w:hAnsi="宋体" w:eastAsia="宋体" w:cs="Times New Roman"/>
          <w:szCs w:val="21"/>
        </w:rPr>
        <w:t>12</w:t>
      </w:r>
      <w:r>
        <w:rPr>
          <w:rFonts w:ascii="宋体" w:hAnsi="宋体" w:eastAsia="宋体" w:cs="Times New Roman"/>
          <w:szCs w:val="21"/>
        </w:rPr>
        <w:t xml:space="preserve"> </w:t>
      </w:r>
      <w:r>
        <w:rPr>
          <w:rFonts w:hint="eastAsia" w:ascii="宋体" w:hAnsi="宋体" w:eastAsia="宋体" w:cs="Times New Roman"/>
          <w:szCs w:val="21"/>
        </w:rPr>
        <w:t>：设备</w:t>
      </w:r>
      <w:r>
        <w:rPr>
          <w:rFonts w:ascii="宋体" w:hAnsi="宋体" w:eastAsia="宋体" w:cs="Times New Roman"/>
          <w:szCs w:val="21"/>
        </w:rPr>
        <w:t>投资成本费用表</w:t>
      </w:r>
      <w:r>
        <w:rPr>
          <w:rFonts w:hint="eastAsia" w:ascii="宋体" w:hAnsi="宋体" w:eastAsia="宋体" w:cs="Times New Roman"/>
          <w:szCs w:val="21"/>
        </w:rPr>
        <w:t>。同时投标方还应</w:t>
      </w:r>
      <w:r>
        <w:rPr>
          <w:rFonts w:ascii="宋体" w:hAnsi="宋体" w:eastAsia="宋体" w:cs="Times New Roman"/>
          <w:szCs w:val="21"/>
        </w:rPr>
        <w:t>提供专用工具、备品备件、在线</w:t>
      </w:r>
      <w:r>
        <w:rPr>
          <w:rFonts w:hint="eastAsia" w:ascii="宋体" w:hAnsi="宋体" w:eastAsia="宋体" w:cs="Times New Roman"/>
          <w:szCs w:val="21"/>
          <w:lang w:eastAsia="zh-CN"/>
        </w:rPr>
        <w:t>专网</w:t>
      </w:r>
      <w:r>
        <w:rPr>
          <w:rFonts w:ascii="宋体" w:hAnsi="宋体" w:eastAsia="宋体" w:cs="Times New Roman"/>
          <w:szCs w:val="21"/>
        </w:rPr>
        <w:t>装置的详细清单。</w:t>
      </w:r>
    </w:p>
    <w:p>
      <w:pPr>
        <w:adjustRightInd w:val="0"/>
        <w:snapToGrid w:val="0"/>
        <w:spacing w:line="360" w:lineRule="auto"/>
        <w:ind w:firstLine="199"/>
        <w:jc w:val="center"/>
        <w:rPr>
          <w:rFonts w:ascii="宋体" w:hAnsi="宋体"/>
          <w:szCs w:val="21"/>
        </w:rPr>
      </w:pPr>
      <w:r>
        <w:rPr>
          <w:rFonts w:ascii="宋体" w:hAnsi="宋体"/>
          <w:szCs w:val="21"/>
        </w:rPr>
        <w:t>表</w:t>
      </w:r>
      <w:r>
        <w:rPr>
          <w:rFonts w:hint="eastAsia" w:ascii="宋体" w:hAnsi="宋体"/>
          <w:szCs w:val="21"/>
        </w:rPr>
        <w:t>12   设备</w:t>
      </w:r>
      <w:r>
        <w:rPr>
          <w:rFonts w:ascii="宋体" w:hAnsi="宋体"/>
          <w:szCs w:val="21"/>
        </w:rPr>
        <w:t>投资成本费用表</w:t>
      </w:r>
      <w:r>
        <w:rPr>
          <w:rFonts w:hint="eastAsia" w:ascii="宋体" w:hAnsi="宋体"/>
          <w:szCs w:val="21"/>
        </w:rPr>
        <w:t xml:space="preserve"> （投标方填写）</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72"/>
        <w:gridCol w:w="1080"/>
        <w:gridCol w:w="531"/>
        <w:gridCol w:w="531"/>
        <w:gridCol w:w="1097"/>
        <w:gridCol w:w="898"/>
        <w:gridCol w:w="1260"/>
        <w:gridCol w:w="900"/>
        <w:gridCol w:w="900"/>
        <w:gridCol w:w="7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72" w:type="dxa"/>
            <w:noWrap w:val="0"/>
            <w:vAlign w:val="center"/>
          </w:tcPr>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序号</w:t>
            </w:r>
          </w:p>
        </w:tc>
        <w:tc>
          <w:tcPr>
            <w:tcW w:w="1080" w:type="dxa"/>
            <w:noWrap w:val="0"/>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rPr>
              <w:t>设备</w:t>
            </w:r>
            <w:r>
              <w:rPr>
                <w:rFonts w:ascii="宋体" w:hAnsi="宋体"/>
                <w:kern w:val="0"/>
                <w:szCs w:val="21"/>
              </w:rPr>
              <w:t>型号</w:t>
            </w:r>
          </w:p>
        </w:tc>
        <w:tc>
          <w:tcPr>
            <w:tcW w:w="531" w:type="dxa"/>
            <w:noWrap w:val="0"/>
            <w:vAlign w:val="center"/>
          </w:tcPr>
          <w:p>
            <w:pPr>
              <w:autoSpaceDE w:val="0"/>
              <w:autoSpaceDN w:val="0"/>
              <w:adjustRightInd w:val="0"/>
              <w:snapToGrid w:val="0"/>
              <w:spacing w:line="360" w:lineRule="auto"/>
              <w:jc w:val="center"/>
              <w:rPr>
                <w:rFonts w:hint="eastAsia" w:ascii="宋体" w:hAnsi="宋体"/>
                <w:kern w:val="0"/>
                <w:szCs w:val="21"/>
              </w:rPr>
            </w:pPr>
            <w:r>
              <w:rPr>
                <w:rFonts w:hint="eastAsia" w:ascii="宋体" w:hAnsi="宋体"/>
                <w:kern w:val="0"/>
                <w:szCs w:val="21"/>
              </w:rPr>
              <w:t>数量</w:t>
            </w:r>
          </w:p>
        </w:tc>
        <w:tc>
          <w:tcPr>
            <w:tcW w:w="531" w:type="dxa"/>
            <w:noWrap w:val="0"/>
            <w:vAlign w:val="center"/>
          </w:tcPr>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单价</w:t>
            </w:r>
          </w:p>
        </w:tc>
        <w:tc>
          <w:tcPr>
            <w:tcW w:w="1097" w:type="dxa"/>
            <w:noWrap w:val="0"/>
            <w:vAlign w:val="center"/>
          </w:tcPr>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专用工具费</w:t>
            </w:r>
          </w:p>
        </w:tc>
        <w:tc>
          <w:tcPr>
            <w:tcW w:w="898" w:type="dxa"/>
            <w:noWrap w:val="0"/>
            <w:vAlign w:val="center"/>
          </w:tcPr>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备品备件费</w:t>
            </w:r>
          </w:p>
        </w:tc>
        <w:tc>
          <w:tcPr>
            <w:tcW w:w="1260" w:type="dxa"/>
            <w:noWrap w:val="0"/>
            <w:vAlign w:val="center"/>
          </w:tcPr>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在线</w:t>
            </w:r>
            <w:r>
              <w:rPr>
                <w:rFonts w:hint="eastAsia" w:ascii="宋体" w:hAnsi="宋体"/>
                <w:kern w:val="0"/>
                <w:szCs w:val="21"/>
                <w:lang w:eastAsia="zh-CN"/>
              </w:rPr>
              <w:t>专网</w:t>
            </w:r>
            <w:r>
              <w:rPr>
                <w:rFonts w:ascii="宋体" w:hAnsi="宋体"/>
                <w:kern w:val="0"/>
                <w:szCs w:val="21"/>
              </w:rPr>
              <w:t>装置费</w:t>
            </w:r>
          </w:p>
        </w:tc>
        <w:tc>
          <w:tcPr>
            <w:tcW w:w="900" w:type="dxa"/>
            <w:noWrap w:val="0"/>
            <w:vAlign w:val="center"/>
          </w:tcPr>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现场服务费</w:t>
            </w:r>
          </w:p>
        </w:tc>
        <w:tc>
          <w:tcPr>
            <w:tcW w:w="900" w:type="dxa"/>
            <w:noWrap w:val="0"/>
            <w:vAlign w:val="center"/>
          </w:tcPr>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投标方运输费</w:t>
            </w:r>
          </w:p>
        </w:tc>
        <w:tc>
          <w:tcPr>
            <w:tcW w:w="740" w:type="dxa"/>
            <w:noWrap w:val="0"/>
            <w:vAlign w:val="center"/>
          </w:tcPr>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合计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72"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1080"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531"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531"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1097"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898"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1260"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900"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900"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740" w:type="dxa"/>
            <w:noWrap w:val="0"/>
            <w:vAlign w:val="center"/>
          </w:tcPr>
          <w:p>
            <w:pPr>
              <w:autoSpaceDE w:val="0"/>
              <w:autoSpaceDN w:val="0"/>
              <w:adjustRightInd w:val="0"/>
              <w:snapToGrid w:val="0"/>
              <w:spacing w:line="360" w:lineRule="auto"/>
              <w:jc w:val="center"/>
              <w:rPr>
                <w:rFonts w:ascii="宋体" w:hAnsi="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72"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1080"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531"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531"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1097"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898"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1260"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900"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900" w:type="dxa"/>
            <w:noWrap w:val="0"/>
            <w:vAlign w:val="center"/>
          </w:tcPr>
          <w:p>
            <w:pPr>
              <w:autoSpaceDE w:val="0"/>
              <w:autoSpaceDN w:val="0"/>
              <w:adjustRightInd w:val="0"/>
              <w:snapToGrid w:val="0"/>
              <w:spacing w:line="360" w:lineRule="auto"/>
              <w:jc w:val="center"/>
              <w:rPr>
                <w:rFonts w:ascii="宋体" w:hAnsi="宋体"/>
                <w:kern w:val="0"/>
                <w:szCs w:val="21"/>
              </w:rPr>
            </w:pPr>
          </w:p>
        </w:tc>
        <w:tc>
          <w:tcPr>
            <w:tcW w:w="740" w:type="dxa"/>
            <w:noWrap w:val="0"/>
            <w:vAlign w:val="center"/>
          </w:tcPr>
          <w:p>
            <w:pPr>
              <w:autoSpaceDE w:val="0"/>
              <w:autoSpaceDN w:val="0"/>
              <w:adjustRightInd w:val="0"/>
              <w:snapToGrid w:val="0"/>
              <w:spacing w:line="360" w:lineRule="auto"/>
              <w:jc w:val="center"/>
              <w:rPr>
                <w:rFonts w:ascii="宋体" w:hAnsi="宋体"/>
                <w:kern w:val="0"/>
                <w:szCs w:val="21"/>
              </w:rPr>
            </w:pPr>
          </w:p>
        </w:tc>
      </w:tr>
    </w:tbl>
    <w:p>
      <w:pPr>
        <w:jc w:val="both"/>
        <w:rPr>
          <w:rFonts w:hint="eastAsia" w:ascii="黑体" w:eastAsia="黑体"/>
          <w:szCs w:val="21"/>
        </w:rPr>
      </w:pPr>
    </w:p>
    <w:p>
      <w:pPr>
        <w:pStyle w:val="3"/>
        <w:numPr>
          <w:ilvl w:val="0"/>
          <w:numId w:val="0"/>
        </w:numPr>
        <w:rPr>
          <w:rFonts w:hint="default" w:ascii="Times New Roman" w:hAnsi="Times New Roman" w:eastAsia="黑体" w:cs="Times New Roman"/>
          <w:b/>
          <w:color w:val="auto"/>
          <w:sz w:val="21"/>
          <w:szCs w:val="21"/>
          <w:highlight w:val="none"/>
          <w:lang w:val="en-US" w:eastAsia="zh-CN"/>
        </w:rPr>
      </w:pPr>
      <w:bookmarkStart w:id="319" w:name="_Toc3269"/>
      <w:r>
        <w:rPr>
          <w:rFonts w:hint="eastAsia" w:ascii="Times New Roman" w:hAnsi="Times New Roman" w:eastAsia="黑体" w:cs="Times New Roman"/>
          <w:b/>
          <w:color w:val="auto"/>
          <w:sz w:val="21"/>
          <w:szCs w:val="21"/>
          <w:highlight w:val="none"/>
          <w:lang w:val="en-US" w:eastAsia="zh-CN"/>
        </w:rPr>
        <w:t>12 自主可控指标要求</w:t>
      </w:r>
      <w:bookmarkEnd w:id="319"/>
    </w:p>
    <w:p>
      <w:pPr>
        <w:keepNext w:val="0"/>
        <w:keepLines w:val="0"/>
        <w:widowControl/>
        <w:suppressLineNumbers w:val="0"/>
        <w:shd w:val="clear" w:color="auto" w:fill="auto"/>
        <w:spacing w:before="0" w:beforeAutospacing="0" w:after="0" w:afterAutospacing="0" w:line="360" w:lineRule="auto"/>
        <w:ind w:left="0" w:right="0" w:firstLine="560"/>
        <w:jc w:val="left"/>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附表1：</w:t>
      </w:r>
      <w:r>
        <w:rPr>
          <w:rFonts w:hint="eastAsia" w:ascii="宋体" w:hAnsi="宋体" w:cs="Times New Roman"/>
          <w:kern w:val="2"/>
          <w:sz w:val="21"/>
          <w:szCs w:val="21"/>
          <w:lang w:val="en-US" w:eastAsia="zh-CN" w:bidi="ar-SA"/>
        </w:rPr>
        <w:t>存储设备自主可控指标要求清单</w:t>
      </w:r>
    </w:p>
    <w:tbl>
      <w:tblPr>
        <w:tblStyle w:val="11"/>
        <w:tblW w:w="512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6"/>
        <w:gridCol w:w="1152"/>
        <w:gridCol w:w="1140"/>
        <w:gridCol w:w="2037"/>
        <w:gridCol w:w="3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575" w:type="pct"/>
            <w:tcBorders>
              <w:top w:val="single" w:color="000000" w:sz="4" w:space="0"/>
              <w:left w:val="single" w:color="000000" w:sz="4" w:space="0"/>
              <w:bottom w:val="single" w:color="auto" w:sz="4" w:space="0"/>
              <w:right w:val="single" w:color="000000"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0" w:name="_Toc31065"/>
            <w:r>
              <w:rPr>
                <w:rFonts w:hint="eastAsia" w:ascii="宋体" w:hAnsi="宋体" w:eastAsia="宋体" w:cs="Times New Roman"/>
                <w:kern w:val="2"/>
                <w:sz w:val="21"/>
                <w:szCs w:val="21"/>
                <w:lang w:val="en-US" w:eastAsia="zh-CN" w:bidi="ar-SA"/>
              </w:rPr>
              <w:t>设备类型</w:t>
            </w:r>
            <w:bookmarkEnd w:id="320"/>
          </w:p>
        </w:tc>
        <w:tc>
          <w:tcPr>
            <w:tcW w:w="667" w:type="pct"/>
            <w:tcBorders>
              <w:top w:val="single" w:color="000000" w:sz="4" w:space="0"/>
              <w:left w:val="single" w:color="000000" w:sz="4" w:space="0"/>
              <w:bottom w:val="single" w:color="auto" w:sz="4" w:space="0"/>
              <w:right w:val="single" w:color="000000" w:sz="4" w:space="0"/>
            </w:tcBorders>
            <w:noWrap w:val="0"/>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1" w:name="_Toc29619"/>
            <w:r>
              <w:rPr>
                <w:rFonts w:hint="eastAsia" w:ascii="宋体" w:hAnsi="宋体" w:eastAsia="宋体" w:cs="Times New Roman"/>
                <w:kern w:val="2"/>
                <w:sz w:val="21"/>
                <w:szCs w:val="21"/>
                <w:lang w:val="en-US" w:eastAsia="zh-CN" w:bidi="ar-SA"/>
              </w:rPr>
              <w:t>设备厂商名称</w:t>
            </w:r>
            <w:bookmarkEnd w:id="321"/>
          </w:p>
        </w:tc>
        <w:tc>
          <w:tcPr>
            <w:tcW w:w="660" w:type="pct"/>
            <w:tcBorders>
              <w:top w:val="single" w:color="000000" w:sz="4" w:space="0"/>
              <w:left w:val="single" w:color="000000" w:sz="4" w:space="0"/>
              <w:bottom w:val="single" w:color="auto" w:sz="4" w:space="0"/>
              <w:right w:val="single" w:color="000000" w:sz="4" w:space="0"/>
            </w:tcBorders>
            <w:noWrap w:val="0"/>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2" w:name="_Toc28632"/>
            <w:r>
              <w:rPr>
                <w:rFonts w:hint="eastAsia" w:ascii="宋体" w:hAnsi="宋体" w:eastAsia="宋体" w:cs="Times New Roman"/>
                <w:kern w:val="2"/>
                <w:sz w:val="21"/>
                <w:szCs w:val="21"/>
                <w:lang w:val="en-US" w:eastAsia="zh-CN" w:bidi="ar-SA"/>
              </w:rPr>
              <w:t>设备型号</w:t>
            </w:r>
            <w:bookmarkEnd w:id="322"/>
          </w:p>
        </w:tc>
        <w:tc>
          <w:tcPr>
            <w:tcW w:w="1173" w:type="pct"/>
            <w:tcBorders>
              <w:top w:val="single" w:color="000000" w:sz="4" w:space="0"/>
              <w:left w:val="single" w:color="000000" w:sz="4" w:space="0"/>
              <w:bottom w:val="single" w:color="auto" w:sz="4" w:space="0"/>
              <w:right w:val="single" w:color="000000"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3" w:name="_Toc30588"/>
            <w:r>
              <w:rPr>
                <w:rFonts w:hint="eastAsia" w:ascii="宋体" w:hAnsi="宋体" w:eastAsia="宋体" w:cs="Times New Roman"/>
                <w:kern w:val="2"/>
                <w:sz w:val="21"/>
                <w:szCs w:val="21"/>
                <w:lang w:val="en-US" w:eastAsia="zh-CN" w:bidi="ar-SA"/>
              </w:rPr>
              <w:t>芯片类型</w:t>
            </w:r>
            <w:bookmarkEnd w:id="323"/>
          </w:p>
        </w:tc>
        <w:tc>
          <w:tcPr>
            <w:tcW w:w="1923" w:type="pct"/>
            <w:tcBorders>
              <w:top w:val="single" w:color="000000" w:sz="4" w:space="0"/>
              <w:left w:val="single" w:color="000000" w:sz="4" w:space="0"/>
              <w:bottom w:val="nil"/>
              <w:right w:val="single" w:color="000000" w:sz="4" w:space="0"/>
            </w:tcBorders>
            <w:noWrap w:val="0"/>
            <w:vAlign w:val="center"/>
          </w:tcPr>
          <w:p>
            <w:pPr>
              <w:numPr>
                <w:ilvl w:val="0"/>
                <w:numId w:val="0"/>
              </w:numPr>
              <w:jc w:val="center"/>
              <w:outlineLvl w:val="0"/>
              <w:rPr>
                <w:rFonts w:hint="default" w:ascii="宋体" w:hAnsi="宋体" w:eastAsia="宋体" w:cs="Times New Roman"/>
                <w:kern w:val="2"/>
                <w:sz w:val="21"/>
                <w:szCs w:val="21"/>
                <w:lang w:val="en-US" w:eastAsia="zh-CN" w:bidi="ar-SA"/>
              </w:rPr>
            </w:pPr>
            <w:bookmarkStart w:id="324" w:name="_Toc29505"/>
            <w:r>
              <w:rPr>
                <w:rFonts w:hint="default" w:ascii="宋体" w:hAnsi="宋体" w:eastAsia="宋体" w:cs="Times New Roman"/>
                <w:kern w:val="2"/>
                <w:sz w:val="21"/>
                <w:szCs w:val="21"/>
                <w:lang w:val="en-US" w:eastAsia="zh-CN" w:bidi="ar-SA"/>
              </w:rPr>
              <w:t>自主可控情况说明</w:t>
            </w:r>
            <w:bookmarkEnd w:id="324"/>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75" w:type="pct"/>
            <w:vMerge w:val="restart"/>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5" w:name="_Toc29455"/>
            <w:r>
              <w:rPr>
                <w:rFonts w:hint="eastAsia" w:ascii="宋体" w:hAnsi="宋体" w:eastAsia="宋体" w:cs="Times New Roman"/>
                <w:kern w:val="2"/>
                <w:sz w:val="21"/>
                <w:szCs w:val="21"/>
                <w:lang w:val="en-US" w:eastAsia="zh-CN" w:bidi="ar-SA"/>
              </w:rPr>
              <w:t>存储设备</w:t>
            </w:r>
            <w:bookmarkEnd w:id="325"/>
          </w:p>
        </w:tc>
        <w:tc>
          <w:tcPr>
            <w:tcW w:w="667" w:type="pct"/>
            <w:vMerge w:val="restart"/>
            <w:tcBorders>
              <w:top w:val="single" w:color="auto" w:sz="4" w:space="0"/>
              <w:left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0" w:type="pct"/>
            <w:vMerge w:val="restart"/>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1173" w:type="pct"/>
            <w:tcBorders>
              <w:top w:val="single" w:color="auto" w:sz="4" w:space="0"/>
              <w:left w:val="single" w:color="auto" w:sz="4" w:space="0"/>
              <w:bottom w:val="single" w:color="auto" w:sz="4" w:space="0"/>
              <w:right w:val="single" w:color="auto" w:sz="4" w:space="0"/>
            </w:tcBorders>
            <w:noWrap w:val="0"/>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6" w:name="_Toc22719"/>
            <w:r>
              <w:rPr>
                <w:rFonts w:hint="eastAsia" w:ascii="宋体" w:hAnsi="宋体" w:eastAsia="宋体" w:cs="Times New Roman"/>
                <w:kern w:val="2"/>
                <w:sz w:val="21"/>
                <w:szCs w:val="21"/>
                <w:lang w:val="en-US" w:eastAsia="zh-CN" w:bidi="ar-SA"/>
              </w:rPr>
              <w:t>CPU</w:t>
            </w:r>
            <w:bookmarkEnd w:id="326"/>
          </w:p>
        </w:tc>
        <w:tc>
          <w:tcPr>
            <w:tcW w:w="1923" w:type="pct"/>
            <w:tcBorders>
              <w:top w:val="single" w:color="000000" w:sz="4" w:space="0"/>
              <w:left w:val="single" w:color="auto" w:sz="4" w:space="0"/>
              <w:bottom w:val="single" w:color="000000" w:sz="4" w:space="0"/>
              <w:right w:val="single" w:color="000000"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75"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7" w:type="pct"/>
            <w:vMerge w:val="continue"/>
            <w:tcBorders>
              <w:left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0"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1173" w:type="pct"/>
            <w:tcBorders>
              <w:top w:val="single" w:color="auto" w:sz="4" w:space="0"/>
              <w:left w:val="single" w:color="auto" w:sz="4" w:space="0"/>
              <w:bottom w:val="single" w:color="auto" w:sz="4" w:space="0"/>
              <w:right w:val="single" w:color="auto" w:sz="4" w:space="0"/>
            </w:tcBorders>
            <w:noWrap w:val="0"/>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7" w:name="_Toc32019"/>
            <w:r>
              <w:rPr>
                <w:rFonts w:hint="eastAsia" w:ascii="宋体" w:hAnsi="宋体" w:eastAsia="宋体" w:cs="Times New Roman"/>
                <w:kern w:val="2"/>
                <w:sz w:val="21"/>
                <w:szCs w:val="21"/>
                <w:lang w:val="en-US" w:eastAsia="zh-CN" w:bidi="ar-SA"/>
              </w:rPr>
              <w:t>SSD颗粒</w:t>
            </w:r>
            <w:bookmarkEnd w:id="327"/>
          </w:p>
        </w:tc>
        <w:tc>
          <w:tcPr>
            <w:tcW w:w="1923" w:type="pct"/>
            <w:tcBorders>
              <w:top w:val="single" w:color="000000" w:sz="4" w:space="0"/>
              <w:left w:val="single" w:color="auto" w:sz="4" w:space="0"/>
              <w:bottom w:val="single" w:color="000000" w:sz="4" w:space="0"/>
              <w:right w:val="single" w:color="000000"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75"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7" w:type="pct"/>
            <w:vMerge w:val="continue"/>
            <w:tcBorders>
              <w:left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0"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1173" w:type="pct"/>
            <w:tcBorders>
              <w:top w:val="single" w:color="auto" w:sz="4" w:space="0"/>
              <w:left w:val="single" w:color="auto" w:sz="4" w:space="0"/>
              <w:bottom w:val="single" w:color="auto" w:sz="4" w:space="0"/>
              <w:right w:val="single" w:color="auto" w:sz="4" w:space="0"/>
            </w:tcBorders>
            <w:noWrap w:val="0"/>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8" w:name="_Toc16862"/>
            <w:r>
              <w:rPr>
                <w:rFonts w:hint="eastAsia" w:ascii="宋体" w:hAnsi="宋体" w:eastAsia="宋体" w:cs="Times New Roman"/>
                <w:kern w:val="2"/>
                <w:sz w:val="21"/>
                <w:szCs w:val="21"/>
                <w:lang w:val="en-US" w:eastAsia="zh-CN" w:bidi="ar-SA"/>
              </w:rPr>
              <w:t>DRAM颗粒</w:t>
            </w:r>
            <w:bookmarkEnd w:id="328"/>
          </w:p>
        </w:tc>
        <w:tc>
          <w:tcPr>
            <w:tcW w:w="1923" w:type="pct"/>
            <w:tcBorders>
              <w:top w:val="single" w:color="000000" w:sz="4" w:space="0"/>
              <w:left w:val="single" w:color="auto" w:sz="4" w:space="0"/>
              <w:bottom w:val="single" w:color="000000" w:sz="4" w:space="0"/>
              <w:right w:val="single" w:color="000000"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75"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7" w:type="pct"/>
            <w:vMerge w:val="continue"/>
            <w:tcBorders>
              <w:left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0"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1173" w:type="pct"/>
            <w:tcBorders>
              <w:top w:val="single" w:color="auto" w:sz="4" w:space="0"/>
              <w:left w:val="single" w:color="auto" w:sz="4" w:space="0"/>
              <w:bottom w:val="single" w:color="auto" w:sz="4" w:space="0"/>
              <w:right w:val="single" w:color="auto" w:sz="4" w:space="0"/>
            </w:tcBorders>
            <w:noWrap w:val="0"/>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29" w:name="_Toc2142"/>
            <w:r>
              <w:rPr>
                <w:rFonts w:hint="eastAsia" w:ascii="宋体" w:hAnsi="宋体" w:eastAsia="宋体" w:cs="Times New Roman"/>
                <w:kern w:val="2"/>
                <w:sz w:val="21"/>
                <w:szCs w:val="21"/>
                <w:lang w:val="en-US" w:eastAsia="zh-CN" w:bidi="ar-SA"/>
              </w:rPr>
              <w:t>BMC</w:t>
            </w:r>
            <w:bookmarkEnd w:id="329"/>
          </w:p>
        </w:tc>
        <w:tc>
          <w:tcPr>
            <w:tcW w:w="1923" w:type="pct"/>
            <w:tcBorders>
              <w:top w:val="single" w:color="000000" w:sz="4" w:space="0"/>
              <w:left w:val="single" w:color="auto" w:sz="4" w:space="0"/>
              <w:bottom w:val="single" w:color="000000" w:sz="4" w:space="0"/>
              <w:right w:val="single" w:color="000000"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75"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7" w:type="pct"/>
            <w:vMerge w:val="continue"/>
            <w:tcBorders>
              <w:left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0"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1173" w:type="pct"/>
            <w:tcBorders>
              <w:top w:val="single" w:color="auto" w:sz="4" w:space="0"/>
              <w:left w:val="single" w:color="auto" w:sz="4" w:space="0"/>
              <w:bottom w:val="single" w:color="auto" w:sz="4" w:space="0"/>
              <w:right w:val="single" w:color="auto" w:sz="4" w:space="0"/>
            </w:tcBorders>
            <w:noWrap w:val="0"/>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30" w:name="_Toc14249"/>
            <w:r>
              <w:rPr>
                <w:rFonts w:hint="eastAsia" w:ascii="宋体" w:hAnsi="宋体" w:eastAsia="宋体" w:cs="Times New Roman"/>
                <w:kern w:val="2"/>
                <w:sz w:val="21"/>
                <w:szCs w:val="21"/>
                <w:lang w:val="en-US" w:eastAsia="zh-CN" w:bidi="ar-SA"/>
              </w:rPr>
              <w:t>网卡芯片</w:t>
            </w:r>
            <w:bookmarkEnd w:id="330"/>
          </w:p>
        </w:tc>
        <w:tc>
          <w:tcPr>
            <w:tcW w:w="1923" w:type="pct"/>
            <w:tcBorders>
              <w:top w:val="single" w:color="000000" w:sz="4" w:space="0"/>
              <w:left w:val="single" w:color="auto" w:sz="4" w:space="0"/>
              <w:bottom w:val="single" w:color="000000" w:sz="4" w:space="0"/>
              <w:right w:val="single" w:color="000000"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75"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7" w:type="pct"/>
            <w:vMerge w:val="continue"/>
            <w:tcBorders>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660" w:type="pct"/>
            <w:vMerge w:val="continue"/>
            <w:tcBorders>
              <w:top w:val="single" w:color="auto" w:sz="4" w:space="0"/>
              <w:left w:val="single" w:color="auto" w:sz="4" w:space="0"/>
              <w:bottom w:val="single" w:color="auto" w:sz="4" w:space="0"/>
              <w:right w:val="single" w:color="auto"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c>
          <w:tcPr>
            <w:tcW w:w="1173" w:type="pct"/>
            <w:tcBorders>
              <w:top w:val="single" w:color="auto" w:sz="4" w:space="0"/>
              <w:left w:val="single" w:color="auto" w:sz="4" w:space="0"/>
              <w:bottom w:val="single" w:color="auto" w:sz="4" w:space="0"/>
              <w:right w:val="single" w:color="auto" w:sz="4" w:space="0"/>
            </w:tcBorders>
            <w:noWrap w:val="0"/>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bookmarkStart w:id="331" w:name="_Toc7446"/>
            <w:r>
              <w:rPr>
                <w:rFonts w:hint="eastAsia" w:ascii="宋体" w:hAnsi="宋体" w:eastAsia="宋体" w:cs="Times New Roman"/>
                <w:kern w:val="2"/>
                <w:sz w:val="21"/>
                <w:szCs w:val="21"/>
                <w:lang w:val="en-US" w:eastAsia="zh-CN" w:bidi="ar-SA"/>
              </w:rPr>
              <w:t>电源模块控制芯片</w:t>
            </w:r>
            <w:bookmarkEnd w:id="331"/>
          </w:p>
        </w:tc>
        <w:tc>
          <w:tcPr>
            <w:tcW w:w="1923" w:type="pct"/>
            <w:tcBorders>
              <w:top w:val="single" w:color="000000" w:sz="4" w:space="0"/>
              <w:left w:val="single" w:color="auto" w:sz="4" w:space="0"/>
              <w:bottom w:val="single" w:color="000000" w:sz="4" w:space="0"/>
              <w:right w:val="single" w:color="000000" w:sz="4" w:space="0"/>
            </w:tcBorders>
            <w:noWrap/>
            <w:vAlign w:val="center"/>
          </w:tcPr>
          <w:p>
            <w:pPr>
              <w:numPr>
                <w:ilvl w:val="0"/>
                <w:numId w:val="0"/>
              </w:numPr>
              <w:jc w:val="center"/>
              <w:outlineLvl w:val="0"/>
              <w:rPr>
                <w:rFonts w:hint="eastAsia" w:ascii="宋体" w:hAnsi="宋体" w:eastAsia="宋体" w:cs="Times New Roman"/>
                <w:kern w:val="2"/>
                <w:sz w:val="21"/>
                <w:szCs w:val="21"/>
                <w:lang w:val="en-US" w:eastAsia="zh-CN" w:bidi="ar-SA"/>
              </w:rPr>
            </w:pPr>
          </w:p>
        </w:tc>
      </w:tr>
    </w:tbl>
    <w:p>
      <w:pPr>
        <w:jc w:val="both"/>
        <w:rPr>
          <w:rFonts w:hint="eastAsia" w:ascii="黑体" w:eastAsia="黑体"/>
          <w:szCs w:val="21"/>
        </w:rPr>
      </w:pPr>
    </w:p>
    <w:p>
      <w:pPr>
        <w:jc w:val="both"/>
        <w:rPr>
          <w:rFonts w:hint="eastAsia" w:ascii="黑体" w:eastAsia="黑体"/>
          <w:szCs w:val="21"/>
        </w:rPr>
      </w:pPr>
    </w:p>
    <w:p>
      <w:pPr>
        <w:adjustRightInd w:val="0"/>
        <w:snapToGrid w:val="0"/>
        <w:spacing w:line="360" w:lineRule="auto"/>
        <w:ind w:firstLine="420" w:firstLineChars="200"/>
        <w:rPr>
          <w:rFonts w:hint="default" w:eastAsia="宋体"/>
          <w:lang w:val="en-US" w:eastAsia="zh-CN"/>
        </w:rPr>
      </w:pPr>
      <w:r>
        <w:rPr>
          <w:rFonts w:hint="eastAsia" w:eastAsia="宋体"/>
          <w:lang w:val="en-US" w:eastAsia="zh-CN"/>
        </w:rPr>
        <w:t>附表2：交换机</w:t>
      </w:r>
      <w:r>
        <w:rPr>
          <w:rFonts w:hint="eastAsia" w:ascii="宋体" w:hAnsi="宋体" w:cs="Times New Roman"/>
          <w:kern w:val="2"/>
          <w:sz w:val="21"/>
          <w:szCs w:val="21"/>
          <w:lang w:val="en-US" w:eastAsia="zh-CN" w:bidi="ar-SA"/>
        </w:rPr>
        <w:t>自主可控指标要求清单</w:t>
      </w:r>
    </w:p>
    <w:tbl>
      <w:tblPr>
        <w:tblStyle w:val="11"/>
        <w:tblW w:w="509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76"/>
        <w:gridCol w:w="955"/>
        <w:gridCol w:w="1151"/>
        <w:gridCol w:w="1808"/>
        <w:gridCol w:w="3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585" w:type="pct"/>
            <w:tcBorders>
              <w:top w:val="single" w:color="000000" w:sz="4" w:space="0"/>
              <w:left w:val="single" w:color="000000" w:sz="4" w:space="0"/>
              <w:bottom w:val="single" w:color="auto" w:sz="4" w:space="0"/>
              <w:right w:val="single" w:color="000000" w:sz="4" w:space="0"/>
            </w:tcBorders>
            <w:noWrap/>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设备类型</w:t>
            </w:r>
          </w:p>
        </w:tc>
        <w:tc>
          <w:tcPr>
            <w:tcW w:w="616" w:type="pct"/>
            <w:tcBorders>
              <w:top w:val="single" w:color="000000" w:sz="4" w:space="0"/>
              <w:left w:val="single" w:color="000000" w:sz="4" w:space="0"/>
              <w:bottom w:val="single" w:color="auto" w:sz="4" w:space="0"/>
              <w:right w:val="single" w:color="000000" w:sz="4" w:space="0"/>
            </w:tcBorders>
            <w:noWrap w:val="0"/>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设备厂商名称</w:t>
            </w:r>
          </w:p>
        </w:tc>
        <w:tc>
          <w:tcPr>
            <w:tcW w:w="729" w:type="pct"/>
            <w:tcBorders>
              <w:top w:val="single" w:color="000000" w:sz="4" w:space="0"/>
              <w:left w:val="single" w:color="000000" w:sz="4" w:space="0"/>
              <w:bottom w:val="single" w:color="auto" w:sz="4" w:space="0"/>
              <w:right w:val="single" w:color="000000" w:sz="4" w:space="0"/>
            </w:tcBorders>
            <w:noWrap w:val="0"/>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设备型号</w:t>
            </w:r>
          </w:p>
        </w:tc>
        <w:tc>
          <w:tcPr>
            <w:tcW w:w="1107" w:type="pct"/>
            <w:tcBorders>
              <w:top w:val="single" w:color="000000" w:sz="4" w:space="0"/>
              <w:left w:val="single" w:color="000000" w:sz="4" w:space="0"/>
              <w:bottom w:val="single" w:color="auto" w:sz="4" w:space="0"/>
              <w:right w:val="single" w:color="000000" w:sz="4" w:space="0"/>
            </w:tcBorders>
            <w:noWrap/>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芯片类型</w:t>
            </w:r>
          </w:p>
        </w:tc>
        <w:tc>
          <w:tcPr>
            <w:tcW w:w="1959" w:type="pct"/>
            <w:tcBorders>
              <w:top w:val="single" w:color="000000" w:sz="4" w:space="0"/>
              <w:left w:val="single" w:color="000000" w:sz="4" w:space="0"/>
              <w:bottom w:val="single" w:color="auto" w:sz="4" w:space="0"/>
              <w:right w:val="single" w:color="000000" w:sz="4" w:space="0"/>
            </w:tcBorders>
            <w:noWrap w:val="0"/>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自主可控情况说明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85" w:type="pct"/>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交换机</w:t>
            </w:r>
          </w:p>
        </w:tc>
        <w:tc>
          <w:tcPr>
            <w:tcW w:w="616" w:type="pct"/>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729" w:type="pct"/>
            <w:vMerge w:val="restart"/>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110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CPU</w:t>
            </w:r>
          </w:p>
        </w:tc>
        <w:tc>
          <w:tcPr>
            <w:tcW w:w="1959"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85"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616"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729"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110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DRAM颗粒</w:t>
            </w:r>
          </w:p>
        </w:tc>
        <w:tc>
          <w:tcPr>
            <w:tcW w:w="1959"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85"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616"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729"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110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ind w:firstLine="420" w:firstLineChars="200"/>
              <w:rPr>
                <w:rFonts w:hint="eastAsia" w:eastAsia="宋体"/>
                <w:lang w:val="en-US" w:eastAsia="zh-CN"/>
              </w:rPr>
            </w:pPr>
            <w:r>
              <w:rPr>
                <w:rFonts w:hint="eastAsia" w:eastAsia="宋体"/>
                <w:lang w:val="en-US" w:eastAsia="zh-CN"/>
              </w:rPr>
              <w:t>FLASH</w:t>
            </w:r>
          </w:p>
        </w:tc>
        <w:tc>
          <w:tcPr>
            <w:tcW w:w="1959"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585"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616"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729" w:type="pct"/>
            <w:vMerge w:val="continue"/>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rPr>
                <w:rFonts w:hint="eastAsia" w:eastAsia="宋体"/>
                <w:lang w:val="en-US" w:eastAsia="zh-CN"/>
              </w:rPr>
            </w:pPr>
          </w:p>
        </w:tc>
        <w:tc>
          <w:tcPr>
            <w:tcW w:w="110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eastAsia" w:eastAsia="宋体"/>
                <w:lang w:val="en-US" w:eastAsia="zh-CN"/>
              </w:rPr>
            </w:pPr>
            <w:r>
              <w:rPr>
                <w:rFonts w:hint="eastAsia" w:eastAsia="宋体"/>
                <w:lang w:val="en-US" w:eastAsia="zh-CN"/>
              </w:rPr>
              <w:t>交换/转发芯片</w:t>
            </w:r>
          </w:p>
        </w:tc>
        <w:tc>
          <w:tcPr>
            <w:tcW w:w="1959"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spacing w:line="360" w:lineRule="auto"/>
              <w:ind w:firstLine="420" w:firstLineChars="200"/>
              <w:jc w:val="center"/>
              <w:rPr>
                <w:rFonts w:hint="eastAsia" w:eastAsia="宋体"/>
                <w:lang w:val="en-US" w:eastAsia="zh-CN"/>
              </w:rPr>
            </w:pPr>
          </w:p>
        </w:tc>
      </w:tr>
    </w:tbl>
    <w:p>
      <w:pPr>
        <w:rPr>
          <w:rFonts w:hint="eastAsia" w:ascii="黑体" w:eastAsia="黑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FBCCB"/>
    <w:multiLevelType w:val="singleLevel"/>
    <w:tmpl w:val="CE9FBCCB"/>
    <w:lvl w:ilvl="0" w:tentative="0">
      <w:start w:val="1"/>
      <w:numFmt w:val="decimal"/>
      <w:suff w:val="nothing"/>
      <w:lvlText w:val="%1）"/>
      <w:lvlJc w:val="left"/>
    </w:lvl>
  </w:abstractNum>
  <w:abstractNum w:abstractNumId="1">
    <w:nsid w:val="DDAA2994"/>
    <w:multiLevelType w:val="multilevel"/>
    <w:tmpl w:val="DDAA2994"/>
    <w:lvl w:ilvl="0" w:tentative="0">
      <w:start w:val="1"/>
      <w:numFmt w:val="chineseCounting"/>
      <w:suff w:val="nothing"/>
      <w:lvlText w:val="第%1部分 "/>
      <w:lvlJc w:val="left"/>
      <w:pPr>
        <w:tabs>
          <w:tab w:val="left" w:pos="420"/>
        </w:tabs>
        <w:ind w:left="432" w:hanging="432"/>
      </w:pPr>
      <w:rPr>
        <w:rFonts w:hint="eastAsia" w:ascii="宋体" w:hAnsi="宋体" w:eastAsia="黑体" w:cs="宋体"/>
        <w:b/>
        <w:sz w:val="30"/>
      </w:rPr>
    </w:lvl>
    <w:lvl w:ilvl="1" w:tentative="0">
      <w:start w:val="1"/>
      <w:numFmt w:val="chineseCounting"/>
      <w:lvlRestart w:val="0"/>
      <w:suff w:val="space"/>
      <w:lvlText w:val="第%2章"/>
      <w:lvlJc w:val="left"/>
      <w:pPr>
        <w:tabs>
          <w:tab w:val="left" w:pos="0"/>
        </w:tabs>
        <w:ind w:left="575" w:hanging="575"/>
      </w:pPr>
      <w:rPr>
        <w:rFonts w:hint="eastAsia" w:ascii="宋体" w:hAnsi="宋体" w:eastAsia="黑体" w:cs="宋体"/>
        <w:b/>
        <w:sz w:val="28"/>
      </w:rPr>
    </w:lvl>
    <w:lvl w:ilvl="2" w:tentative="0">
      <w:start w:val="1"/>
      <w:numFmt w:val="decimal"/>
      <w:isLgl/>
      <w:suff w:val="space"/>
      <w:lvlText w:val="%2.%3"/>
      <w:lvlJc w:val="left"/>
      <w:pPr>
        <w:tabs>
          <w:tab w:val="left" w:pos="0"/>
        </w:tabs>
        <w:ind w:left="720" w:hanging="720"/>
      </w:pPr>
      <w:rPr>
        <w:rFonts w:hint="eastAsia" w:ascii="宋体" w:hAnsi="宋体" w:eastAsia="宋体" w:cs="宋体"/>
      </w:rPr>
    </w:lvl>
    <w:lvl w:ilvl="3" w:tentative="0">
      <w:start w:val="1"/>
      <w:numFmt w:val="decimal"/>
      <w:isLgl/>
      <w:suff w:val="space"/>
      <w:lvlText w:val="%2.%3.%4"/>
      <w:lvlJc w:val="left"/>
      <w:pPr>
        <w:tabs>
          <w:tab w:val="left" w:pos="420"/>
        </w:tabs>
        <w:ind w:left="864" w:hanging="864"/>
      </w:pPr>
      <w:rPr>
        <w:rFonts w:hint="eastAsia" w:ascii="宋体" w:hAnsi="宋体" w:eastAsia="宋体" w:cs="宋体"/>
      </w:rPr>
    </w:lvl>
    <w:lvl w:ilvl="4" w:tentative="0">
      <w:start w:val="1"/>
      <w:numFmt w:val="decimal"/>
      <w:pStyle w:val="2"/>
      <w:isLgl/>
      <w:lvlText w:val="%2.%3.%4.%5"/>
      <w:lvlJc w:val="left"/>
      <w:pPr>
        <w:tabs>
          <w:tab w:val="left" w:pos="420"/>
        </w:tabs>
        <w:ind w:left="1008" w:hanging="1008"/>
      </w:pPr>
      <w:rPr>
        <w:rFonts w:hint="eastAsia" w:ascii="宋体" w:hAnsi="宋体" w:eastAsia="宋体" w:cs="宋体"/>
        <w:sz w:val="28"/>
        <w:szCs w:val="28"/>
      </w:rPr>
    </w:lvl>
    <w:lvl w:ilvl="5" w:tentative="0">
      <w:start w:val="1"/>
      <w:numFmt w:val="decimal"/>
      <w:isLgl/>
      <w:lvlText w:val="%2.%3.%4.%5.%6"/>
      <w:lvlJc w:val="left"/>
      <w:pPr>
        <w:ind w:left="1151" w:hanging="1151"/>
      </w:pPr>
      <w:rPr>
        <w:rFonts w:hint="eastAsia" w:ascii="宋体" w:hAnsi="宋体" w:eastAsia="宋体" w:cs="宋体"/>
      </w:rPr>
    </w:lvl>
    <w:lvl w:ilvl="6" w:tentative="0">
      <w:start w:val="1"/>
      <w:numFmt w:val="decimal"/>
      <w:isLgl/>
      <w:lvlText w:val="%2.%3.%4.%5.%6.%7."/>
      <w:lvlJc w:val="left"/>
      <w:pPr>
        <w:ind w:left="1296" w:hanging="1296"/>
      </w:pPr>
      <w:rPr>
        <w:rFonts w:hint="eastAsia" w:ascii="宋体" w:hAnsi="宋体" w:eastAsia="宋体" w:cs="宋体"/>
      </w:rPr>
    </w:lvl>
    <w:lvl w:ilvl="7" w:tentative="0">
      <w:start w:val="1"/>
      <w:numFmt w:val="decimal"/>
      <w:isLgl/>
      <w:lvlText w:val="%2.%3.%4.%5.%6.%7.%8."/>
      <w:lvlJc w:val="left"/>
      <w:pPr>
        <w:ind w:left="1440" w:hanging="1440"/>
      </w:pPr>
      <w:rPr>
        <w:rFonts w:hint="eastAsia" w:ascii="宋体" w:hAnsi="宋体" w:eastAsia="宋体" w:cs="宋体"/>
      </w:rPr>
    </w:lvl>
    <w:lvl w:ilvl="8" w:tentative="0">
      <w:start w:val="1"/>
      <w:numFmt w:val="decimal"/>
      <w:isLgl/>
      <w:lvlText w:val="%1.%2.%3.%4.%5.%6.%7.%8.%9."/>
      <w:lvlJc w:val="left"/>
      <w:pPr>
        <w:ind w:left="1583" w:hanging="1583"/>
      </w:pPr>
      <w:rPr>
        <w:rFonts w:hint="eastAsia" w:ascii="宋体" w:hAnsi="宋体" w:eastAsia="宋体" w:cs="宋体"/>
      </w:rPr>
    </w:lvl>
  </w:abstractNum>
  <w:abstractNum w:abstractNumId="2">
    <w:nsid w:val="0000001F"/>
    <w:multiLevelType w:val="multilevel"/>
    <w:tmpl w:val="0000001F"/>
    <w:lvl w:ilvl="0" w:tentative="0">
      <w:start w:val="1"/>
      <w:numFmt w:val="none"/>
      <w:pStyle w:val="3"/>
      <w:lvlText w:val="11"/>
      <w:lvlJc w:val="left"/>
      <w:pPr>
        <w:tabs>
          <w:tab w:val="left" w:pos="425"/>
        </w:tabs>
        <w:ind w:left="0" w:firstLine="0"/>
      </w:pPr>
      <w:rPr>
        <w:rFonts w:hint="eastAsia"/>
      </w:rPr>
    </w:lvl>
    <w:lvl w:ilvl="1" w:tentative="0">
      <w:start w:val="1"/>
      <w:numFmt w:val="upperLetter"/>
      <w:pStyle w:val="4"/>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3">
    <w:nsid w:val="656E7BB8"/>
    <w:multiLevelType w:val="multilevel"/>
    <w:tmpl w:val="656E7BB8"/>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lvlText w:val="%1%2"/>
      <w:lvlJc w:val="left"/>
      <w:pPr>
        <w:tabs>
          <w:tab w:val="left" w:pos="360"/>
        </w:tabs>
        <w:ind w:left="0" w:firstLine="0"/>
      </w:pPr>
      <w:rPr>
        <w:rFonts w:hint="eastAsia" w:ascii="黑体" w:hAnsi="Times New Roman" w:eastAsia="黑体"/>
        <w:b/>
        <w:i w:val="0"/>
        <w:sz w:val="20"/>
      </w:rPr>
    </w:lvl>
    <w:lvl w:ilvl="2" w:tentative="0">
      <w:start w:val="1"/>
      <w:numFmt w:val="decimal"/>
      <w:lvlText w:val="%1%2.%3"/>
      <w:lvlJc w:val="left"/>
      <w:pPr>
        <w:tabs>
          <w:tab w:val="left" w:pos="720"/>
        </w:tabs>
        <w:ind w:left="0" w:firstLine="0"/>
      </w:pPr>
      <w:rPr>
        <w:rFonts w:hint="eastAsia" w:ascii="黑体" w:hAnsi="Times New Roman" w:eastAsia="黑体"/>
        <w:b/>
        <w:i w:val="0"/>
        <w:sz w:val="21"/>
      </w:rPr>
    </w:lvl>
    <w:lvl w:ilvl="3" w:tentative="0">
      <w:start w:val="1"/>
      <w:numFmt w:val="decimal"/>
      <w:lvlText w:val="%1%2.%3.%4"/>
      <w:lvlJc w:val="left"/>
      <w:pPr>
        <w:tabs>
          <w:tab w:val="left" w:pos="720"/>
        </w:tabs>
        <w:ind w:left="0" w:firstLine="0"/>
      </w:pPr>
      <w:rPr>
        <w:rFonts w:hint="eastAsia" w:ascii="黑体" w:hAnsi="Times New Roman" w:eastAsia="黑体"/>
        <w:b/>
        <w:i w:val="0"/>
        <w:color w:val="auto"/>
        <w:sz w:val="21"/>
      </w:rPr>
    </w:lvl>
    <w:lvl w:ilvl="4" w:tentative="0">
      <w:start w:val="1"/>
      <w:numFmt w:val="decimal"/>
      <w:lvlText w:val="%2.%3.%4.%5"/>
      <w:lvlJc w:val="left"/>
      <w:pPr>
        <w:tabs>
          <w:tab w:val="left" w:pos="1080"/>
        </w:tabs>
        <w:ind w:left="0" w:firstLine="0"/>
      </w:pPr>
      <w:rPr>
        <w:rFonts w:hint="eastAsia" w:ascii="黑体" w:hAnsi="Times New Roman" w:eastAsia="黑体"/>
        <w:b/>
        <w:i w:val="0"/>
        <w:sz w:val="21"/>
      </w:rPr>
    </w:lvl>
    <w:lvl w:ilvl="5" w:tentative="0">
      <w:start w:val="1"/>
      <w:numFmt w:val="decimal"/>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4">
    <w:nsid w:val="77F2E773"/>
    <w:multiLevelType w:val="singleLevel"/>
    <w:tmpl w:val="77F2E773"/>
    <w:lvl w:ilvl="0" w:tentative="0">
      <w:start w:val="1"/>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2D6273"/>
    <w:rsid w:val="00733E26"/>
    <w:rsid w:val="04C82992"/>
    <w:rsid w:val="075C5614"/>
    <w:rsid w:val="07B471FE"/>
    <w:rsid w:val="07FF39F2"/>
    <w:rsid w:val="08C56E55"/>
    <w:rsid w:val="08F024B8"/>
    <w:rsid w:val="0EC248F6"/>
    <w:rsid w:val="0EF6124F"/>
    <w:rsid w:val="100E76C7"/>
    <w:rsid w:val="1C4D2115"/>
    <w:rsid w:val="1CB11549"/>
    <w:rsid w:val="1EF96508"/>
    <w:rsid w:val="1F3802BD"/>
    <w:rsid w:val="1F7E2174"/>
    <w:rsid w:val="20EF0E4F"/>
    <w:rsid w:val="214B42D7"/>
    <w:rsid w:val="21990C1B"/>
    <w:rsid w:val="23166AD4"/>
    <w:rsid w:val="27207FB4"/>
    <w:rsid w:val="28177609"/>
    <w:rsid w:val="298962E5"/>
    <w:rsid w:val="2A1F27A5"/>
    <w:rsid w:val="2AFA28CA"/>
    <w:rsid w:val="2B0A07D4"/>
    <w:rsid w:val="2BFA7026"/>
    <w:rsid w:val="2C73502A"/>
    <w:rsid w:val="2CB756A0"/>
    <w:rsid w:val="2D031F0A"/>
    <w:rsid w:val="2E114AFB"/>
    <w:rsid w:val="2F950E14"/>
    <w:rsid w:val="2FEE50F3"/>
    <w:rsid w:val="30B0516F"/>
    <w:rsid w:val="31DD5420"/>
    <w:rsid w:val="31FC33CC"/>
    <w:rsid w:val="3489363D"/>
    <w:rsid w:val="34992462"/>
    <w:rsid w:val="34B47F8E"/>
    <w:rsid w:val="370C40B1"/>
    <w:rsid w:val="380354B4"/>
    <w:rsid w:val="3DD1395F"/>
    <w:rsid w:val="41E00614"/>
    <w:rsid w:val="425A7AE7"/>
    <w:rsid w:val="46EF01ED"/>
    <w:rsid w:val="49B06B1E"/>
    <w:rsid w:val="49B136A1"/>
    <w:rsid w:val="4AF33166"/>
    <w:rsid w:val="4CE90CC5"/>
    <w:rsid w:val="4E3715BC"/>
    <w:rsid w:val="53A616BE"/>
    <w:rsid w:val="53AE40CE"/>
    <w:rsid w:val="54EF499E"/>
    <w:rsid w:val="56552F27"/>
    <w:rsid w:val="570338CA"/>
    <w:rsid w:val="57D91936"/>
    <w:rsid w:val="5A427C66"/>
    <w:rsid w:val="5C1E74F8"/>
    <w:rsid w:val="5C3E620B"/>
    <w:rsid w:val="5C62014C"/>
    <w:rsid w:val="5C961BA3"/>
    <w:rsid w:val="5CD5091E"/>
    <w:rsid w:val="5CE62B2B"/>
    <w:rsid w:val="5D7C523D"/>
    <w:rsid w:val="605264F3"/>
    <w:rsid w:val="610E43FE"/>
    <w:rsid w:val="613F521A"/>
    <w:rsid w:val="61691F7C"/>
    <w:rsid w:val="62685D90"/>
    <w:rsid w:val="63F97EEF"/>
    <w:rsid w:val="6530528B"/>
    <w:rsid w:val="6562740E"/>
    <w:rsid w:val="65CC4888"/>
    <w:rsid w:val="6A7A2B04"/>
    <w:rsid w:val="6B5E41D4"/>
    <w:rsid w:val="6BDC75FA"/>
    <w:rsid w:val="6F9957DB"/>
    <w:rsid w:val="702D6273"/>
    <w:rsid w:val="70F96E79"/>
    <w:rsid w:val="71EB6DF6"/>
    <w:rsid w:val="72645C1B"/>
    <w:rsid w:val="741B2C62"/>
    <w:rsid w:val="749375E4"/>
    <w:rsid w:val="74E41BEE"/>
    <w:rsid w:val="773C186D"/>
    <w:rsid w:val="785E1CB7"/>
    <w:rsid w:val="78F32400"/>
    <w:rsid w:val="7B5B428C"/>
    <w:rsid w:val="7DA243F4"/>
    <w:rsid w:val="7E9F2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4">
    <w:name w:val="heading 2"/>
    <w:basedOn w:val="1"/>
    <w:next w:val="5"/>
    <w:qFormat/>
    <w:uiPriority w:val="0"/>
    <w:pPr>
      <w:keepNext/>
      <w:keepLines/>
      <w:numPr>
        <w:ilvl w:val="1"/>
        <w:numId w:val="1"/>
      </w:numPr>
      <w:topLinePunct/>
      <w:outlineLvl w:val="1"/>
    </w:pPr>
    <w:rPr>
      <w:rFonts w:eastAsia="黑体"/>
    </w:rPr>
  </w:style>
  <w:style w:type="paragraph" w:styleId="2">
    <w:name w:val="heading 5"/>
    <w:basedOn w:val="1"/>
    <w:next w:val="1"/>
    <w:unhideWhenUsed/>
    <w:qFormat/>
    <w:uiPriority w:val="0"/>
    <w:pPr>
      <w:keepNext/>
      <w:keepLines/>
      <w:numPr>
        <w:ilvl w:val="4"/>
        <w:numId w:val="2"/>
      </w:numPr>
      <w:spacing w:before="120" w:after="120"/>
      <w:ind w:firstLineChars="0"/>
      <w:outlineLvl w:val="4"/>
    </w:pPr>
    <w:rPr>
      <w:rFonts w:ascii="黑体" w:hAnsi="黑体" w:eastAsia="黑体" w:cs="黑体"/>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Plain Text"/>
    <w:basedOn w:val="1"/>
    <w:qFormat/>
    <w:uiPriority w:val="0"/>
    <w:rPr>
      <w:rFonts w:ascii="宋体" w:hAnsi="Courier New"/>
    </w:r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39"/>
    <w:pPr>
      <w:tabs>
        <w:tab w:val="right" w:leader="dot" w:pos="8705"/>
      </w:tabs>
    </w:pPr>
    <w:rPr>
      <w:b/>
    </w:rPr>
  </w:style>
  <w:style w:type="paragraph" w:styleId="10">
    <w:name w:val="toc 2"/>
    <w:basedOn w:val="1"/>
    <w:next w:val="1"/>
    <w:qFormat/>
    <w:uiPriority w:val="39"/>
    <w:pPr>
      <w:tabs>
        <w:tab w:val="right" w:leader="dot" w:pos="8705"/>
      </w:tabs>
      <w:ind w:left="420" w:leftChars="200"/>
    </w:p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paragraph" w:customStyle="1" w:styleId="15">
    <w:name w:val="首行缩进"/>
    <w:basedOn w:val="1"/>
    <w:qFormat/>
    <w:uiPriority w:val="0"/>
    <w:pPr>
      <w:spacing w:line="300" w:lineRule="auto"/>
      <w:ind w:firstLine="420" w:firstLineChars="200"/>
    </w:pPr>
    <w:rPr>
      <w:rFonts w:eastAsia="方正书宋简体"/>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paragraph" w:styleId="17">
    <w:name w:val="List Paragraph"/>
    <w:basedOn w:val="1"/>
    <w:qFormat/>
    <w:uiPriority w:val="0"/>
    <w:pPr>
      <w:ind w:firstLine="420" w:firstLineChars="200"/>
    </w:pPr>
    <w:rPr>
      <w:rFonts w:ascii="Calibri" w:hAnsi="Calibri" w:eastAsia="宋体" w:cs="Times New Roman"/>
      <w:szCs w:val="22"/>
    </w:rPr>
  </w:style>
  <w:style w:type="paragraph" w:customStyle="1" w:styleId="18">
    <w:name w:val="文档正文"/>
    <w:basedOn w:val="1"/>
    <w:qFormat/>
    <w:uiPriority w:val="0"/>
    <w:pPr>
      <w:adjustRightInd w:val="0"/>
      <w:spacing w:line="480" w:lineRule="atLeast"/>
      <w:ind w:firstLine="567"/>
      <w:textAlignment w:val="baseline"/>
    </w:pPr>
    <w:rPr>
      <w:rFonts w:ascii="宋体" w:hAnsi="宋体"/>
      <w:spacing w:val="4"/>
      <w:kern w:val="0"/>
      <w:sz w:val="24"/>
    </w:rPr>
  </w:style>
  <w:style w:type="paragraph" w:customStyle="1" w:styleId="19">
    <w:name w:val="Table Paragraph"/>
    <w:basedOn w:val="1"/>
    <w:qFormat/>
    <w:uiPriority w:val="1"/>
    <w:rPr>
      <w:rFonts w:ascii="Arial" w:hAnsi="Arial" w:eastAsia="Arial" w:cs="Arial"/>
      <w:lang w:val="zh-CN" w:eastAsia="zh-CN" w:bidi="zh-CN"/>
    </w:rPr>
  </w:style>
  <w:style w:type="paragraph" w:customStyle="1" w:styleId="20">
    <w:name w:val="_Style 6"/>
    <w:basedOn w:val="1"/>
    <w:qFormat/>
    <w:uiPriority w:val="0"/>
    <w:pPr>
      <w:ind w:firstLine="420" w:firstLineChars="200"/>
    </w:pPr>
  </w:style>
  <w:style w:type="paragraph" w:customStyle="1" w:styleId="21">
    <w:name w:val="p0"/>
    <w:basedOn w:val="1"/>
    <w:qFormat/>
    <w:uiPriority w:val="0"/>
    <w:pPr>
      <w:widowControl/>
      <w:jc w:val="left"/>
    </w:pPr>
    <w:rPr>
      <w:kern w:val="0"/>
      <w:szCs w:val="21"/>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5720</Words>
  <Characters>7466</Characters>
  <Lines>0</Lines>
  <Paragraphs>0</Paragraphs>
  <TotalTime>2</TotalTime>
  <ScaleCrop>false</ScaleCrop>
  <LinksUpToDate>false</LinksUpToDate>
  <CharactersWithSpaces>7719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2025-01-22T06:38:00Z</dcterms:created>
  <dc:creator>李耀中</dc:creator>
  <cp:lastModifiedBy>chenlingqi1214</cp:lastModifiedBy>
  <dcterms:modified xsi:type="dcterms:W3CDTF">2025-04-25T01:52:11Z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D0C9C77AA3AD407CBA2FBD04107226FA</vt:lpwstr>
  </property>
  <property fmtid="{D5CDD505-2E9C-101B-9397-08002B2CF9AE}" pid="4" name="KSOTemplateDocerSaveRecord">
    <vt:lpwstr>eyJoZGlkIjoiZmU4Zjg0N2NlMjlhNWE0OWFlZGNmNDBmMjQ5MjE1ZjMiLCJ1c2VySWQiOiIxNDQyMzE1MjQ5In0=</vt:lpwstr>
  </property>
</Properties>
</file>