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91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588"/>
        <w:gridCol w:w="680"/>
        <w:gridCol w:w="1134"/>
        <w:gridCol w:w="1701"/>
        <w:gridCol w:w="2268"/>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5" w:type="dxa"/>
            <w:gridSpan w:val="7"/>
            <w:vAlign w:val="center"/>
          </w:tcPr>
          <w:p>
            <w:pPr>
              <w:keepNext w:val="0"/>
              <w:keepLines w:val="0"/>
              <w:suppressLineNumbers w:val="0"/>
              <w:spacing w:before="0" w:beforeAutospacing="0" w:after="0" w:afterAutospacing="0" w:line="400" w:lineRule="exact"/>
              <w:ind w:left="0" w:leftChars="0" w:right="0" w:rightChars="0"/>
              <w:rPr>
                <w:rFonts w:hint="default"/>
                <w:i w:val="0"/>
                <w:iCs w:val="0"/>
                <w:color w:val="auto"/>
                <w:highlight w:val="none"/>
              </w:rPr>
            </w:pPr>
            <w:r>
              <w:rPr>
                <w:rFonts w:hint="default"/>
                <w:i w:val="0"/>
                <w:iCs w:val="0"/>
                <w:color w:val="auto"/>
                <w:highlight w:val="none"/>
              </w:rPr>
              <w:t>下列评审标准适用的标</w:t>
            </w:r>
            <w:r>
              <w:rPr>
                <w:rFonts w:hint="eastAsia"/>
                <w:i w:val="0"/>
                <w:iCs w:val="0"/>
                <w:color w:val="auto"/>
                <w:highlight w:val="none"/>
                <w:lang w:val="en-US" w:eastAsia="zh-CN"/>
              </w:rPr>
              <w:t>包</w:t>
            </w:r>
            <w:r>
              <w:rPr>
                <w:rFonts w:hint="default"/>
                <w:i w:val="0"/>
                <w:iCs w:val="0"/>
                <w:color w:val="auto"/>
                <w:highlight w:val="none"/>
              </w:rPr>
              <w:t>：标的6：2025年广州供电局培训基地后勤大修[2025年广州供电局培训基地后勤大修]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8" w:type="dxa"/>
            <w:gridSpan w:val="2"/>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b/>
                <w:i w:val="0"/>
                <w:iCs w:val="0"/>
                <w:color w:val="auto"/>
                <w:highlight w:val="none"/>
              </w:rPr>
              <w:t>条款号</w:t>
            </w: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b/>
                <w:i w:val="0"/>
                <w:iCs w:val="0"/>
                <w:color w:val="auto"/>
                <w:highlight w:val="none"/>
              </w:rPr>
              <w:t>序号</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b/>
                <w:i w:val="0"/>
                <w:iCs w:val="0"/>
                <w:color w:val="auto"/>
                <w:highlight w:val="none"/>
              </w:rPr>
              <w:t>评分因素</w:t>
            </w:r>
          </w:p>
        </w:tc>
        <w:tc>
          <w:tcPr>
            <w:tcW w:w="1701"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b/>
                <w:i w:val="0"/>
                <w:iCs w:val="0"/>
                <w:color w:val="auto"/>
                <w:highlight w:val="none"/>
              </w:rPr>
              <w:t>详细评审项</w:t>
            </w:r>
          </w:p>
        </w:tc>
        <w:tc>
          <w:tcPr>
            <w:tcW w:w="2268"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b/>
                <w:i w:val="0"/>
                <w:iCs w:val="0"/>
                <w:color w:val="auto"/>
                <w:highlight w:val="none"/>
              </w:rPr>
              <w:t>详细评审分项要素</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b/>
                <w:i w:val="0"/>
                <w:iCs w:val="0"/>
                <w:color w:val="auto"/>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1（1）</w:t>
            </w:r>
          </w:p>
        </w:tc>
        <w:tc>
          <w:tcPr>
            <w:tcW w:w="1588" w:type="dxa"/>
            <w:vMerge w:val="restart"/>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商务评分 标准</w:t>
            </w: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1</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安全、质量事故指标考核</w:t>
            </w:r>
          </w:p>
        </w:tc>
        <w:tc>
          <w:tcPr>
            <w:tcW w:w="1701"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安全、质量事故指标考核（25分）</w:t>
            </w:r>
          </w:p>
        </w:tc>
        <w:tc>
          <w:tcPr>
            <w:tcW w:w="2268" w:type="dxa"/>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安全、质量事故指标考核（25分） 1.投标截止之日前36个月，没有发生过一般及以上事故、无重大安全事故得10分，否则0分。 2.投标截止之日前36个月，没有发生过一般及以上事故、无重大设备、重大质量事故得15分，否则0分。 注：提供投标人盖章承诺函</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2</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业绩要求</w:t>
            </w:r>
          </w:p>
        </w:tc>
        <w:tc>
          <w:tcPr>
            <w:tcW w:w="1701"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业绩要求(50分)</w:t>
            </w:r>
          </w:p>
        </w:tc>
        <w:tc>
          <w:tcPr>
            <w:tcW w:w="2268" w:type="dxa"/>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业绩要求(50分)</w:t>
            </w:r>
          </w:p>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2022年1月1日至投标截止之日，完成过同类工程项目每项10分，需提供合同或中标通知书（二选一）、以及项目验收报告或结算发票（二选一）等证明业绩的资料复印件/扫描件（时间、金额、印章等重要信息模糊不清的，评标委员会将视为无效材料），最多得50分。</w:t>
            </w:r>
          </w:p>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注：同类工程项目指的是输变配电工程（含基建、技改、修理）土建施工项目证明材料金额不一致的，以较高金额为准，时间、金额、印章等重要信息模糊不清的，视为无效材料。）。</w:t>
            </w:r>
          </w:p>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注：总包或分包均可。</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3</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管理体系认证</w:t>
            </w:r>
          </w:p>
        </w:tc>
        <w:tc>
          <w:tcPr>
            <w:tcW w:w="1701"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管理体系认证（25分）</w:t>
            </w:r>
          </w:p>
        </w:tc>
        <w:tc>
          <w:tcPr>
            <w:tcW w:w="2268" w:type="dxa"/>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管理体系认证（25分） A（25分）：通过质量管理体系认证、环境管理体系认证、职业健康安全管理体系认证全部三项，且在有效期内。 B（15分）：通过质量管理体系认证的基础上，并通过环境管理体系认证、职业健康安全管理体系认证中其中一项，且在有效期内。 C（10分）：通过质量管理体系认证，且在有效期内。 D（0分）：无通过认证。 注：提供证书(复印件/扫描件）</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1（2）</w:t>
            </w:r>
          </w:p>
        </w:tc>
        <w:tc>
          <w:tcPr>
            <w:tcW w:w="1588" w:type="dxa"/>
            <w:vMerge w:val="restart"/>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技术评分 标准</w:t>
            </w: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1</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施工方案与技术措施</w:t>
            </w:r>
          </w:p>
        </w:tc>
        <w:tc>
          <w:tcPr>
            <w:tcW w:w="1701"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施工方案与技术措施（40分）</w:t>
            </w:r>
          </w:p>
        </w:tc>
        <w:tc>
          <w:tcPr>
            <w:tcW w:w="2268" w:type="dxa"/>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施工方案与技术措施（40分） 横向比较各投标人： A（26-40分）：施工方案能够从施工现场材料安排、施工措施、后勤保障等方面考虑，完全符合项目实际需求，且科学合理； B（11-25分）：施工方案能够从施工现场材料安排、施工措施、后勤保障等方面考虑，基本符合项目实际需求，较为科学合理； C（0-10分）：施工方案偏离项目实际需求，不够科学合理。</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2</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质量管理体系与措施</w:t>
            </w:r>
          </w:p>
        </w:tc>
        <w:tc>
          <w:tcPr>
            <w:tcW w:w="1701"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质量管理体系与措施（15分）</w:t>
            </w:r>
          </w:p>
        </w:tc>
        <w:tc>
          <w:tcPr>
            <w:tcW w:w="2268" w:type="dxa"/>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质量管理体系与措施（15分） 横向比较各投标人： A（11-15分）：从项目实际考虑，施工质量目标、质量保证体系及措施科学合理； B（6-10分）：从项目实际考虑，施工质量目标、质量保证体系及措施基本满足要求； C（0-5分）：偏离项目实际需求，施工质量目标、质量保证体系及措施不够合理，或没有相关描述的。</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3</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安全管理体系与措施</w:t>
            </w:r>
          </w:p>
        </w:tc>
        <w:tc>
          <w:tcPr>
            <w:tcW w:w="1701"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安全管理体系与措施（15分）</w:t>
            </w:r>
          </w:p>
        </w:tc>
        <w:tc>
          <w:tcPr>
            <w:tcW w:w="2268" w:type="dxa"/>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安全管理体系与措施（15分） 横向比较各投标人： A（11-15分）：安全目标承诺符合规定，安全组织机构健全、职责清晰、制度完备，安全技术措施合理可行，对工程危险点、薄弱环节分析到位且有针对性专项措施； B（6-10分）：安全目标承诺符合规定，安全组织机构基本完善，安全技术措施基本合理可行； C（0-5分）：安全目标承诺空泛，偏离项目实际需求，技术措施缺乏针对性，或没有相关描述的。</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4</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工程进度计划与措施</w:t>
            </w:r>
          </w:p>
        </w:tc>
        <w:tc>
          <w:tcPr>
            <w:tcW w:w="1701"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工程进度计划与措施（15分）</w:t>
            </w:r>
          </w:p>
        </w:tc>
        <w:tc>
          <w:tcPr>
            <w:tcW w:w="2268" w:type="dxa"/>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工程进度计划与措施（15分） 横向比较各投标人： A（11-15分）：从项目的前期准备、实施、验收、进度控制等方面考虑，工期及施工进度安排科学合理，且符合项目实际需求； B（6-10分）：从项目的前期准备、实施、验收、进度控制等方面考虑，工期及施工进度安排较为合理，基本符合项目实际需求； C（0-5分）：工期及施工进度安排不够合理，且偏离项目实际需求，或没有相关描述的。</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680"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5</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本工程重点难点分析</w:t>
            </w:r>
          </w:p>
        </w:tc>
        <w:tc>
          <w:tcPr>
            <w:tcW w:w="1701"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 xml:space="preserve">本工程重点难点分析（15分） </w:t>
            </w:r>
          </w:p>
        </w:tc>
        <w:tc>
          <w:tcPr>
            <w:tcW w:w="2268" w:type="dxa"/>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本工程重点难点分析（15分） A（11-15分）：能够从施工安全、质量、工期、不可抗因素等方面考虑编制,针对本工程特点的重点难点进行精准全面分析，且提出合理化意见可行性高； B（6-10分）：能够从施工安全、质量、工期、不可抗因素等方面考虑编制,针对本工程特点的重点难点进行基本分析，但提出合理化意见可行性一般； C（0-5分）：不能够从施工安全、质量、工期、不可抗因素等方面针对本工程特点的重点难点进行分析，且提出的合理化意见不可行。</w:t>
            </w:r>
          </w:p>
        </w:tc>
        <w:tc>
          <w:tcPr>
            <w:tcW w:w="1134" w:type="dxa"/>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268" w:type="dxa"/>
            <w:gridSpan w:val="2"/>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b/>
                <w:i w:val="0"/>
                <w:iCs w:val="0"/>
                <w:color w:val="auto"/>
                <w:highlight w:val="none"/>
              </w:rPr>
              <w:t>条款号</w:t>
            </w:r>
          </w:p>
        </w:tc>
        <w:tc>
          <w:tcPr>
            <w:tcW w:w="3515" w:type="dxa"/>
            <w:gridSpan w:val="3"/>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b/>
                <w:i w:val="0"/>
                <w:iCs w:val="0"/>
                <w:color w:val="auto"/>
                <w:highlight w:val="none"/>
              </w:rPr>
              <w:t>评分要素</w:t>
            </w:r>
          </w:p>
        </w:tc>
        <w:tc>
          <w:tcPr>
            <w:tcW w:w="3402" w:type="dxa"/>
            <w:gridSpan w:val="2"/>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b/>
                <w:i w:val="0"/>
                <w:iCs w:val="0"/>
                <w:color w:val="auto"/>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restart"/>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1（3）</w:t>
            </w:r>
          </w:p>
        </w:tc>
        <w:tc>
          <w:tcPr>
            <w:tcW w:w="1588" w:type="dxa"/>
            <w:vMerge w:val="restart"/>
            <w:vAlign w:val="center"/>
          </w:tcPr>
          <w:p>
            <w:pPr>
              <w:keepNext w:val="0"/>
              <w:keepLines w:val="0"/>
              <w:suppressLineNumbers w:val="0"/>
              <w:spacing w:before="0" w:beforeAutospacing="0" w:after="0" w:afterAutospacing="0" w:line="400" w:lineRule="exact"/>
              <w:ind w:left="0" w:right="0"/>
              <w:jc w:val="center"/>
              <w:rPr>
                <w:rFonts w:hint="default"/>
                <w:i w:val="0"/>
                <w:iCs w:val="0"/>
                <w:color w:val="auto"/>
                <w:highlight w:val="none"/>
              </w:rPr>
            </w:pPr>
            <w:r>
              <w:rPr>
                <w:rFonts w:hint="default"/>
                <w:i w:val="0"/>
                <w:iCs w:val="0"/>
                <w:color w:val="auto"/>
                <w:highlight w:val="none"/>
              </w:rPr>
              <w:t>投标报价 评分标准</w:t>
            </w:r>
          </w:p>
        </w:tc>
        <w:tc>
          <w:tcPr>
            <w:tcW w:w="3515" w:type="dxa"/>
            <w:gridSpan w:val="3"/>
            <w:vAlign w:val="center"/>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价格分计算方法名称</w:t>
            </w:r>
          </w:p>
        </w:tc>
        <w:tc>
          <w:tcPr>
            <w:tcW w:w="3402" w:type="dxa"/>
            <w:gridSpan w:val="2"/>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单边法</w:t>
            </w:r>
          </w:p>
          <w:p>
            <w:pPr>
              <w:keepNext w:val="0"/>
              <w:keepLines w:val="0"/>
              <w:suppressLineNumbers w:val="0"/>
              <w:spacing w:before="0" w:beforeAutospacing="0" w:after="0" w:afterAutospacing="0" w:line="400" w:lineRule="exact"/>
              <w:ind w:left="0" w:leftChars="0" w:right="0" w:rightChars="0"/>
              <w:jc w:val="left"/>
              <w:rPr>
                <w:rFonts w:hint="default"/>
                <w:i w:val="0"/>
                <w:iCs w:val="0"/>
                <w:color w:val="auto"/>
                <w:highlight w:val="none"/>
              </w:rPr>
            </w:pPr>
            <w:r>
              <w:rPr>
                <w:rFonts w:hint="default"/>
                <w:i w:val="0"/>
                <w:iCs w:val="0"/>
                <w:color w:val="auto"/>
                <w:highlight w:val="none"/>
              </w:rPr>
              <w:t>以（1-投标下浮率）进行价格分计算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Align w:val="center"/>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评标基准价计算方法</w:t>
            </w:r>
          </w:p>
        </w:tc>
        <w:tc>
          <w:tcPr>
            <w:tcW w:w="3402" w:type="dxa"/>
            <w:gridSpan w:val="2"/>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1、进入价格分计算的投标人取技术商务加权总分排名前BP%的投标人，按比例HP%、LP%分别去掉最高、最低价格后（当排名前BP%的投标人个数少于等于L个时，不去最高最低价），计算平均价作为Y平均。</w:t>
            </w:r>
          </w:p>
          <w:p>
            <w:pPr>
              <w:keepNext w:val="0"/>
              <w:keepLines w:val="0"/>
              <w:suppressLineNumbers w:val="0"/>
              <w:spacing w:before="0" w:beforeAutospacing="0" w:after="0" w:afterAutospacing="0" w:line="400" w:lineRule="exact"/>
              <w:ind w:left="0" w:leftChars="0" w:right="0" w:rightChars="0"/>
              <w:jc w:val="left"/>
              <w:rPr>
                <w:rFonts w:hint="default"/>
                <w:i w:val="0"/>
                <w:iCs w:val="0"/>
                <w:color w:val="auto"/>
                <w:highlight w:val="none"/>
              </w:rPr>
            </w:pPr>
            <w:r>
              <w:rPr>
                <w:rFonts w:hint="default"/>
                <w:i w:val="0"/>
                <w:iCs w:val="0"/>
                <w:color w:val="auto"/>
                <w:highlight w:val="none"/>
              </w:rPr>
              <w:t>2、计算评标基准价，Y基准＝Y平均×（1－X），X为下浮率，Y基准按四舍五入法保留两位小数。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Align w:val="center"/>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价格分计算公式</w:t>
            </w:r>
          </w:p>
        </w:tc>
        <w:tc>
          <w:tcPr>
            <w:tcW w:w="3402" w:type="dxa"/>
            <w:gridSpan w:val="2"/>
            <w:vAlign w:val="center"/>
          </w:tcPr>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1、Yi为某投标人的投标价格；Qi为计算得分，按四舍五入法保留两位小数。</w:t>
            </w:r>
          </w:p>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2、当Yi＞Y基准，Qi＝报价满分－（Yi－Y基准）/Y基准×报价满分×RH。</w:t>
            </w:r>
          </w:p>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3、当Yi=Y基准，Qi=报价满分。</w:t>
            </w:r>
          </w:p>
          <w:p>
            <w:pPr>
              <w:keepNext w:val="0"/>
              <w:keepLines w:val="0"/>
              <w:suppressLineNumbers w:val="0"/>
              <w:spacing w:before="0" w:beforeAutospacing="0" w:after="0" w:afterAutospacing="0" w:line="400" w:lineRule="exact"/>
              <w:ind w:left="0" w:right="0"/>
              <w:jc w:val="left"/>
              <w:rPr>
                <w:rFonts w:hint="default"/>
                <w:i w:val="0"/>
                <w:iCs w:val="0"/>
                <w:color w:val="auto"/>
                <w:highlight w:val="none"/>
              </w:rPr>
            </w:pPr>
            <w:r>
              <w:rPr>
                <w:rFonts w:hint="default"/>
                <w:i w:val="0"/>
                <w:iCs w:val="0"/>
                <w:color w:val="auto"/>
                <w:highlight w:val="none"/>
              </w:rPr>
              <w:t>4、当Yi＜Y基准，Qi＝报价满分－（Y基准－Yi）/Y基准×报价满分×RL。</w:t>
            </w:r>
          </w:p>
          <w:p>
            <w:pPr>
              <w:keepNext w:val="0"/>
              <w:keepLines w:val="0"/>
              <w:suppressLineNumbers w:val="0"/>
              <w:spacing w:before="0" w:beforeAutospacing="0" w:after="0" w:afterAutospacing="0" w:line="400" w:lineRule="exact"/>
              <w:ind w:left="0" w:leftChars="0" w:right="0" w:rightChars="0"/>
              <w:jc w:val="left"/>
              <w:rPr>
                <w:rFonts w:hint="default"/>
                <w:i w:val="0"/>
                <w:iCs w:val="0"/>
                <w:color w:val="auto"/>
                <w:highlight w:val="none"/>
              </w:rPr>
            </w:pPr>
            <w:r>
              <w:rPr>
                <w:rFonts w:hint="default"/>
                <w:i w:val="0"/>
                <w:iCs w:val="0"/>
                <w:color w:val="auto"/>
                <w:highlight w:val="none"/>
              </w:rPr>
              <w:t>5、当Qi＜0，按Qi=0分计。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Align w:val="center"/>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进入价格评分厂家数量</w:t>
            </w:r>
          </w:p>
        </w:tc>
        <w:tc>
          <w:tcPr>
            <w:tcW w:w="3402" w:type="dxa"/>
            <w:gridSpan w:val="2"/>
            <w:vAlign w:val="center"/>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本次评标不设置技术商务末位淘汰。进入技术商务评分范围的投标人全部进入价格评分。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Align w:val="center"/>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下浮率</w:t>
            </w:r>
          </w:p>
        </w:tc>
        <w:tc>
          <w:tcPr>
            <w:tcW w:w="3402" w:type="dxa"/>
            <w:gridSpan w:val="2"/>
            <w:vAlign w:val="center"/>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Merge w:val="restart"/>
            <w:vAlign w:val="center"/>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参数设置</w:t>
            </w:r>
          </w:p>
        </w:tc>
        <w:tc>
          <w:tcPr>
            <w:tcW w:w="2268"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RL</w:t>
            </w:r>
          </w:p>
        </w:tc>
        <w:tc>
          <w:tcPr>
            <w:tcW w:w="1134"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b w:val="0"/>
                <w:i w:val="0"/>
                <w:iCs w:val="0"/>
                <w:color w:val="auto"/>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Merge w:val="continue"/>
            <w:vAlign w:val="center"/>
          </w:tcPr>
          <w:p>
            <w:pPr>
              <w:keepNext w:val="0"/>
              <w:keepLines w:val="0"/>
              <w:suppressLineNumbers w:val="0"/>
              <w:spacing w:before="0" w:beforeAutospacing="0" w:after="0" w:afterAutospacing="0"/>
              <w:ind w:left="0" w:leftChars="0" w:right="0" w:rightChars="0"/>
              <w:rPr>
                <w:rFonts w:hint="default"/>
                <w:i w:val="0"/>
                <w:iCs w:val="0"/>
                <w:color w:val="auto"/>
                <w:highlight w:val="none"/>
              </w:rPr>
            </w:pPr>
          </w:p>
        </w:tc>
        <w:tc>
          <w:tcPr>
            <w:tcW w:w="2268"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RH</w:t>
            </w:r>
          </w:p>
        </w:tc>
        <w:tc>
          <w:tcPr>
            <w:tcW w:w="1134"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b w:val="0"/>
                <w:i w:val="0"/>
                <w:iCs w:val="0"/>
                <w:color w:val="auto"/>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Merge w:val="continue"/>
            <w:vAlign w:val="center"/>
          </w:tcPr>
          <w:p>
            <w:pPr>
              <w:keepNext w:val="0"/>
              <w:keepLines w:val="0"/>
              <w:suppressLineNumbers w:val="0"/>
              <w:spacing w:before="0" w:beforeAutospacing="0" w:after="0" w:afterAutospacing="0"/>
              <w:ind w:left="0" w:leftChars="0" w:right="0" w:rightChars="0"/>
              <w:rPr>
                <w:rFonts w:hint="default"/>
                <w:i w:val="0"/>
                <w:iCs w:val="0"/>
                <w:color w:val="auto"/>
                <w:highlight w:val="none"/>
              </w:rPr>
            </w:pPr>
          </w:p>
        </w:tc>
        <w:tc>
          <w:tcPr>
            <w:tcW w:w="2268"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BP</w:t>
            </w:r>
          </w:p>
        </w:tc>
        <w:tc>
          <w:tcPr>
            <w:tcW w:w="1134"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b w:val="0"/>
                <w:i w:val="0"/>
                <w:iCs w:val="0"/>
                <w:color w:val="auto"/>
                <w:highlight w:val="none"/>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Merge w:val="continue"/>
            <w:vAlign w:val="center"/>
          </w:tcPr>
          <w:p>
            <w:pPr>
              <w:keepNext w:val="0"/>
              <w:keepLines w:val="0"/>
              <w:suppressLineNumbers w:val="0"/>
              <w:spacing w:before="0" w:beforeAutospacing="0" w:after="0" w:afterAutospacing="0"/>
              <w:ind w:left="0" w:leftChars="0" w:right="0" w:rightChars="0"/>
              <w:rPr>
                <w:rFonts w:hint="default"/>
                <w:i w:val="0"/>
                <w:iCs w:val="0"/>
                <w:color w:val="auto"/>
                <w:highlight w:val="none"/>
              </w:rPr>
            </w:pPr>
          </w:p>
        </w:tc>
        <w:tc>
          <w:tcPr>
            <w:tcW w:w="2268"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HP</w:t>
            </w:r>
          </w:p>
        </w:tc>
        <w:tc>
          <w:tcPr>
            <w:tcW w:w="1134"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b w:val="0"/>
                <w:i w:val="0"/>
                <w:iCs w:val="0"/>
                <w:color w:val="auto"/>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Merge w:val="continue"/>
            <w:vAlign w:val="center"/>
          </w:tcPr>
          <w:p>
            <w:pPr>
              <w:keepNext w:val="0"/>
              <w:keepLines w:val="0"/>
              <w:suppressLineNumbers w:val="0"/>
              <w:spacing w:before="0" w:beforeAutospacing="0" w:after="0" w:afterAutospacing="0"/>
              <w:ind w:left="0" w:leftChars="0" w:right="0" w:rightChars="0"/>
              <w:rPr>
                <w:rFonts w:hint="default"/>
                <w:i w:val="0"/>
                <w:iCs w:val="0"/>
                <w:color w:val="auto"/>
                <w:highlight w:val="none"/>
              </w:rPr>
            </w:pPr>
          </w:p>
        </w:tc>
        <w:tc>
          <w:tcPr>
            <w:tcW w:w="2268"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LP</w:t>
            </w:r>
          </w:p>
        </w:tc>
        <w:tc>
          <w:tcPr>
            <w:tcW w:w="1134"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b w:val="0"/>
                <w:i w:val="0"/>
                <w:iCs w:val="0"/>
                <w:color w:val="auto"/>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vAlign w:val="center"/>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Merge w:val="continue"/>
            <w:vAlign w:val="center"/>
          </w:tcPr>
          <w:p>
            <w:pPr>
              <w:keepNext w:val="0"/>
              <w:keepLines w:val="0"/>
              <w:suppressLineNumbers w:val="0"/>
              <w:spacing w:before="0" w:beforeAutospacing="0" w:after="0" w:afterAutospacing="0"/>
              <w:ind w:left="0" w:leftChars="0" w:right="0" w:rightChars="0"/>
              <w:rPr>
                <w:rFonts w:hint="default"/>
                <w:i w:val="0"/>
                <w:iCs w:val="0"/>
                <w:color w:val="auto"/>
                <w:highlight w:val="none"/>
              </w:rPr>
            </w:pPr>
          </w:p>
        </w:tc>
        <w:tc>
          <w:tcPr>
            <w:tcW w:w="2268"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L</w:t>
            </w:r>
          </w:p>
        </w:tc>
        <w:tc>
          <w:tcPr>
            <w:tcW w:w="1134" w:type="dxa"/>
            <w:vAlign w:val="top"/>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b w:val="0"/>
                <w:i w:val="0"/>
                <w:iCs w:val="0"/>
                <w:color w:val="auto"/>
                <w:highlight w:val="none"/>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1588" w:type="dxa"/>
            <w:vMerge w:val="continue"/>
          </w:tcPr>
          <w:p>
            <w:pPr>
              <w:keepNext w:val="0"/>
              <w:keepLines w:val="0"/>
              <w:suppressLineNumbers w:val="0"/>
              <w:spacing w:before="0" w:beforeAutospacing="0" w:after="0" w:afterAutospacing="0"/>
              <w:ind w:left="0" w:right="0"/>
              <w:rPr>
                <w:rFonts w:hint="default"/>
                <w:i w:val="0"/>
                <w:iCs w:val="0"/>
                <w:color w:val="auto"/>
                <w:highlight w:val="none"/>
              </w:rPr>
            </w:pPr>
          </w:p>
        </w:tc>
        <w:tc>
          <w:tcPr>
            <w:tcW w:w="3515" w:type="dxa"/>
            <w:gridSpan w:val="3"/>
            <w:vAlign w:val="center"/>
          </w:tcPr>
          <w:p>
            <w:pPr>
              <w:keepNext w:val="0"/>
              <w:keepLines w:val="0"/>
              <w:suppressLineNumbers w:val="0"/>
              <w:spacing w:before="0" w:beforeAutospacing="0" w:after="0" w:afterAutospacing="0" w:line="400" w:lineRule="exact"/>
              <w:ind w:left="0" w:leftChars="0" w:right="0" w:rightChars="0"/>
              <w:jc w:val="center"/>
              <w:rPr>
                <w:rFonts w:hint="default"/>
                <w:i w:val="0"/>
                <w:iCs w:val="0"/>
                <w:color w:val="auto"/>
                <w:highlight w:val="none"/>
              </w:rPr>
            </w:pPr>
            <w:r>
              <w:rPr>
                <w:rFonts w:hint="default"/>
                <w:i w:val="0"/>
                <w:iCs w:val="0"/>
                <w:color w:val="auto"/>
                <w:highlight w:val="none"/>
              </w:rPr>
              <w:t>参数设置说明</w:t>
            </w:r>
          </w:p>
        </w:tc>
        <w:tc>
          <w:tcPr>
            <w:tcW w:w="3402" w:type="dxa"/>
            <w:gridSpan w:val="2"/>
            <w:vAlign w:val="center"/>
          </w:tcPr>
          <w:p>
            <w:pPr>
              <w:keepNext w:val="0"/>
              <w:keepLines w:val="0"/>
              <w:suppressLineNumbers w:val="0"/>
              <w:spacing w:before="0" w:beforeAutospacing="0" w:after="0" w:afterAutospacing="0" w:line="400" w:lineRule="exact"/>
              <w:ind w:left="0" w:right="0"/>
              <w:rPr>
                <w:rFonts w:hint="default"/>
                <w:i w:val="0"/>
                <w:iCs w:val="0"/>
                <w:color w:val="auto"/>
                <w:highlight w:val="none"/>
              </w:rPr>
            </w:pPr>
            <w:r>
              <w:rPr>
                <w:rFonts w:hint="default"/>
                <w:i w:val="0"/>
                <w:iCs w:val="0"/>
                <w:color w:val="auto"/>
                <w:highlight w:val="none"/>
              </w:rPr>
              <w:t>1、0%≤X＜100%，X缺省值为2%。</w:t>
            </w:r>
          </w:p>
          <w:p>
            <w:pPr>
              <w:keepNext w:val="0"/>
              <w:keepLines w:val="0"/>
              <w:suppressLineNumbers w:val="0"/>
              <w:spacing w:before="0" w:beforeAutospacing="0" w:after="0" w:afterAutospacing="0" w:line="400" w:lineRule="exact"/>
              <w:ind w:left="0" w:right="0"/>
              <w:rPr>
                <w:rFonts w:hint="default"/>
                <w:i w:val="0"/>
                <w:iCs w:val="0"/>
                <w:color w:val="auto"/>
                <w:highlight w:val="none"/>
              </w:rPr>
            </w:pPr>
            <w:r>
              <w:rPr>
                <w:rFonts w:hint="default"/>
                <w:i w:val="0"/>
                <w:iCs w:val="0"/>
                <w:color w:val="auto"/>
                <w:highlight w:val="none"/>
              </w:rPr>
              <w:t>2、RL=0。</w:t>
            </w:r>
          </w:p>
          <w:p>
            <w:pPr>
              <w:keepNext w:val="0"/>
              <w:keepLines w:val="0"/>
              <w:suppressLineNumbers w:val="0"/>
              <w:spacing w:before="0" w:beforeAutospacing="0" w:after="0" w:afterAutospacing="0" w:line="400" w:lineRule="exact"/>
              <w:ind w:left="0" w:right="0"/>
              <w:rPr>
                <w:rFonts w:hint="default"/>
                <w:i w:val="0"/>
                <w:iCs w:val="0"/>
                <w:color w:val="auto"/>
                <w:highlight w:val="none"/>
              </w:rPr>
            </w:pPr>
            <w:r>
              <w:rPr>
                <w:rFonts w:hint="default"/>
                <w:i w:val="0"/>
                <w:iCs w:val="0"/>
                <w:color w:val="auto"/>
                <w:highlight w:val="none"/>
              </w:rPr>
              <w:t>3、0.00≤RH≤100，RH缺省值为1。</w:t>
            </w:r>
          </w:p>
          <w:p>
            <w:pPr>
              <w:keepNext w:val="0"/>
              <w:keepLines w:val="0"/>
              <w:suppressLineNumbers w:val="0"/>
              <w:spacing w:before="0" w:beforeAutospacing="0" w:after="0" w:afterAutospacing="0" w:line="400" w:lineRule="exact"/>
              <w:ind w:left="0" w:right="0"/>
              <w:rPr>
                <w:rFonts w:hint="default"/>
                <w:i w:val="0"/>
                <w:iCs w:val="0"/>
                <w:color w:val="auto"/>
                <w:highlight w:val="none"/>
              </w:rPr>
            </w:pPr>
            <w:r>
              <w:rPr>
                <w:rFonts w:hint="default"/>
                <w:i w:val="0"/>
                <w:iCs w:val="0"/>
                <w:color w:val="auto"/>
                <w:highlight w:val="none"/>
              </w:rPr>
              <w:t>4、RL＜RH。</w:t>
            </w:r>
          </w:p>
          <w:p>
            <w:pPr>
              <w:keepNext w:val="0"/>
              <w:keepLines w:val="0"/>
              <w:suppressLineNumbers w:val="0"/>
              <w:spacing w:before="0" w:beforeAutospacing="0" w:after="0" w:afterAutospacing="0" w:line="400" w:lineRule="exact"/>
              <w:ind w:left="0" w:right="0"/>
              <w:rPr>
                <w:rFonts w:hint="default"/>
                <w:i w:val="0"/>
                <w:iCs w:val="0"/>
                <w:color w:val="auto"/>
                <w:highlight w:val="none"/>
              </w:rPr>
            </w:pPr>
            <w:r>
              <w:rPr>
                <w:rFonts w:hint="default"/>
                <w:i w:val="0"/>
                <w:iCs w:val="0"/>
                <w:color w:val="auto"/>
                <w:highlight w:val="none"/>
              </w:rPr>
              <w:t>5、BP%为技术商务分排名靠前的比例，BP%缺省值为80%，进入价格分计算的投标人数量向上取整。</w:t>
            </w:r>
          </w:p>
          <w:p>
            <w:pPr>
              <w:keepNext w:val="0"/>
              <w:keepLines w:val="0"/>
              <w:suppressLineNumbers w:val="0"/>
              <w:spacing w:before="0" w:beforeAutospacing="0" w:after="0" w:afterAutospacing="0" w:line="400" w:lineRule="exact"/>
              <w:ind w:left="0" w:right="0"/>
              <w:rPr>
                <w:rFonts w:hint="default"/>
                <w:i w:val="0"/>
                <w:iCs w:val="0"/>
                <w:color w:val="auto"/>
                <w:highlight w:val="none"/>
              </w:rPr>
            </w:pPr>
            <w:r>
              <w:rPr>
                <w:rFonts w:hint="default"/>
                <w:i w:val="0"/>
                <w:iCs w:val="0"/>
                <w:color w:val="auto"/>
                <w:highlight w:val="none"/>
              </w:rPr>
              <w:t>6、HP%去掉最高价的比例，HP%缺省值为10%，计算结果按四舍五入方法取整。</w:t>
            </w:r>
          </w:p>
          <w:p>
            <w:pPr>
              <w:keepNext w:val="0"/>
              <w:keepLines w:val="0"/>
              <w:suppressLineNumbers w:val="0"/>
              <w:spacing w:before="0" w:beforeAutospacing="0" w:after="0" w:afterAutospacing="0" w:line="400" w:lineRule="exact"/>
              <w:ind w:left="0" w:right="0"/>
              <w:rPr>
                <w:rFonts w:hint="default"/>
                <w:i w:val="0"/>
                <w:iCs w:val="0"/>
                <w:color w:val="auto"/>
                <w:highlight w:val="none"/>
              </w:rPr>
            </w:pPr>
            <w:r>
              <w:rPr>
                <w:rFonts w:hint="default"/>
                <w:i w:val="0"/>
                <w:iCs w:val="0"/>
                <w:color w:val="auto"/>
                <w:highlight w:val="none"/>
              </w:rPr>
              <w:t>7、LP%为去掉最低价的比例，LP%缺省值为10%，计算结果按四舍五入方法取整。</w:t>
            </w:r>
          </w:p>
          <w:p>
            <w:pPr>
              <w:keepNext w:val="0"/>
              <w:keepLines w:val="0"/>
              <w:suppressLineNumbers w:val="0"/>
              <w:spacing w:before="0" w:beforeAutospacing="0" w:after="0" w:afterAutospacing="0" w:line="400" w:lineRule="exact"/>
              <w:ind w:left="0" w:leftChars="0" w:right="0" w:rightChars="0"/>
              <w:rPr>
                <w:rFonts w:hint="default"/>
                <w:i w:val="0"/>
                <w:iCs w:val="0"/>
                <w:color w:val="auto"/>
                <w:highlight w:val="none"/>
              </w:rPr>
            </w:pPr>
            <w:r>
              <w:rPr>
                <w:rFonts w:hint="default"/>
                <w:i w:val="0"/>
                <w:iCs w:val="0"/>
                <w:color w:val="auto"/>
                <w:highlight w:val="none"/>
              </w:rPr>
              <w:t>8、L为自定义的供应商数量临界值，L缺省值为6。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pPr>
              <w:keepNext w:val="0"/>
              <w:keepLines w:val="0"/>
              <w:suppressLineNumbers w:val="0"/>
              <w:spacing w:before="0" w:beforeAutospacing="0" w:after="0" w:afterAutospacing="0" w:line="400" w:lineRule="exact"/>
              <w:ind w:left="0" w:right="0"/>
              <w:rPr>
                <w:rFonts w:hint="default"/>
                <w:i w:val="0"/>
                <w:iCs w:val="0"/>
                <w:color w:val="auto"/>
                <w:highlight w:val="none"/>
              </w:rPr>
            </w:pPr>
            <w:r>
              <w:rPr>
                <w:rFonts w:hint="default"/>
                <w:i w:val="0"/>
                <w:iCs w:val="0"/>
                <w:color w:val="auto"/>
                <w:highlight w:val="none"/>
              </w:rPr>
              <w:t>2（1）</w:t>
            </w:r>
          </w:p>
        </w:tc>
        <w:tc>
          <w:tcPr>
            <w:tcW w:w="1588" w:type="dxa"/>
            <w:vAlign w:val="center"/>
          </w:tcPr>
          <w:p>
            <w:pPr>
              <w:keepNext w:val="0"/>
              <w:keepLines w:val="0"/>
              <w:suppressLineNumbers w:val="0"/>
              <w:spacing w:before="0" w:beforeAutospacing="0" w:after="0" w:afterAutospacing="0" w:line="400" w:lineRule="exact"/>
              <w:ind w:left="0" w:leftChars="0" w:right="0" w:rightChars="0"/>
              <w:rPr>
                <w:rFonts w:hint="default"/>
                <w:i w:val="0"/>
                <w:iCs w:val="0"/>
                <w:color w:val="auto"/>
                <w:highlight w:val="none"/>
              </w:rPr>
            </w:pPr>
            <w:r>
              <w:rPr>
                <w:rFonts w:hint="default"/>
                <w:i w:val="0"/>
                <w:iCs w:val="0"/>
                <w:color w:val="auto"/>
                <w:highlight w:val="none"/>
              </w:rPr>
              <w:t>专家技术商务分算法</w:t>
            </w:r>
          </w:p>
        </w:tc>
        <w:tc>
          <w:tcPr>
            <w:tcW w:w="6917" w:type="dxa"/>
            <w:gridSpan w:val="5"/>
            <w:vAlign w:val="center"/>
          </w:tcPr>
          <w:p>
            <w:pPr>
              <w:keepNext w:val="0"/>
              <w:keepLines w:val="0"/>
              <w:suppressLineNumbers w:val="0"/>
              <w:spacing w:before="0" w:beforeAutospacing="0" w:after="0" w:afterAutospacing="0" w:line="400" w:lineRule="exact"/>
              <w:ind w:left="0" w:leftChars="0" w:right="0" w:rightChars="0"/>
              <w:rPr>
                <w:rFonts w:hint="default"/>
                <w:i w:val="0"/>
                <w:iCs w:val="0"/>
                <w:color w:val="auto"/>
                <w:highlight w:val="none"/>
              </w:rPr>
            </w:pPr>
            <w:r>
              <w:rPr>
                <w:rFonts w:hint="default"/>
                <w:i w:val="0"/>
                <w:iCs w:val="0"/>
                <w:color w:val="auto"/>
                <w:highlight w:val="none"/>
              </w:rPr>
              <w:t>评标专家打分完毕后，计算各标包供应商的商务/技术分时，取专家打分的平均分作为该供应商的商务/技术得分。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gridSpan w:val="2"/>
            <w:vAlign w:val="center"/>
          </w:tcPr>
          <w:p>
            <w:pPr>
              <w:keepNext w:val="0"/>
              <w:keepLines w:val="0"/>
              <w:suppressLineNumbers w:val="0"/>
              <w:autoSpaceDE w:val="0"/>
              <w:autoSpaceDN w:val="0"/>
              <w:adjustRightInd w:val="0"/>
              <w:spacing w:before="48" w:beforeAutospacing="0" w:after="0" w:afterAutospacing="0"/>
              <w:ind w:left="0" w:leftChars="0" w:right="-20" w:rightChars="0"/>
              <w:jc w:val="center"/>
              <w:outlineLvl w:val="9"/>
              <w:rPr>
                <w:rFonts w:hint="default" w:ascii="Calibri" w:hAnsi="Calibri" w:eastAsia="宋体" w:cs="Times New Roman"/>
                <w:i w:val="0"/>
                <w:iCs w:val="0"/>
                <w:color w:val="auto"/>
                <w:kern w:val="2"/>
                <w:sz w:val="21"/>
                <w:szCs w:val="22"/>
                <w:highlight w:val="none"/>
                <w:lang w:val="en-US" w:eastAsia="zh-CN" w:bidi="ar-SA"/>
              </w:rPr>
            </w:pPr>
            <w:r>
              <w:rPr>
                <w:rFonts w:hint="eastAsia" w:asciiTheme="minorEastAsia" w:hAnsiTheme="minorEastAsia" w:eastAsiaTheme="minorEastAsia" w:cstheme="minorEastAsia"/>
                <w:i w:val="0"/>
                <w:iCs w:val="0"/>
                <w:color w:val="auto"/>
                <w:highlight w:val="none"/>
              </w:rPr>
              <w:t>其他因素评分标准</w:t>
            </w:r>
          </w:p>
        </w:tc>
        <w:tc>
          <w:tcPr>
            <w:tcW w:w="6917" w:type="dxa"/>
            <w:gridSpan w:val="5"/>
            <w:vAlign w:val="center"/>
          </w:tcPr>
          <w:p>
            <w:pPr>
              <w:keepNext w:val="0"/>
              <w:keepLines w:val="0"/>
              <w:suppressLineNumbers w:val="0"/>
              <w:shd w:val="clear" w:color="auto" w:fill="auto"/>
              <w:spacing w:before="0" w:beforeAutospacing="0" w:after="0" w:afterAutospacing="0"/>
              <w:ind w:left="0" w:right="0"/>
              <w:rPr>
                <w:rFonts w:hint="default" w:ascii="Times New Roman" w:hAnsi="Times New Roman" w:eastAsia="宋体" w:cs="Times New Roman"/>
                <w:bCs/>
                <w:i w:val="0"/>
                <w:iCs w:val="0"/>
                <w:color w:val="auto"/>
                <w:kern w:val="0"/>
                <w:sz w:val="21"/>
                <w:szCs w:val="21"/>
                <w:highlight w:val="none"/>
                <w:u w:val="single"/>
                <w:lang w:val="en-US" w:eastAsia="zh-CN" w:bidi="ar-SA"/>
              </w:rPr>
            </w:pPr>
            <w:r>
              <w:rPr>
                <w:rFonts w:hint="eastAsia" w:asciiTheme="minorEastAsia" w:hAnsiTheme="minorEastAsia" w:eastAsiaTheme="minorEastAsia" w:cstheme="minorEastAsia"/>
                <w:b w:val="0"/>
                <w:bCs/>
                <w:i w:val="0"/>
                <w:iCs w:val="0"/>
                <w:color w:val="auto"/>
                <w:kern w:val="0"/>
                <w:sz w:val="21"/>
                <w:szCs w:val="21"/>
                <w:highlight w:val="none"/>
                <w:u w:val="none"/>
                <w:lang w:val="en-US" w:eastAsia="zh-CN" w:bidi="ar-SA"/>
              </w:rPr>
              <w:t>供应商扣分：</w:t>
            </w:r>
            <w:r>
              <w:rPr>
                <w:rFonts w:hint="default" w:ascii="Times New Roman" w:hAnsi="Times New Roman" w:eastAsia="宋体" w:cs="Times New Roman"/>
                <w:bCs/>
                <w:i w:val="0"/>
                <w:iCs w:val="0"/>
                <w:color w:val="auto"/>
                <w:kern w:val="0"/>
                <w:sz w:val="21"/>
                <w:szCs w:val="21"/>
                <w:highlight w:val="none"/>
                <w:u w:val="single"/>
                <w:lang w:val="en-US" w:eastAsia="zh-CN" w:bidi="ar-SA"/>
              </w:rPr>
              <w:t>本项目执行《关于将服务商和非电力物资供货商失信扣分应用于采购评审环节的公告》及《关于实施&lt;南方电网公司供应商私设互联网应用失信行为扣分工作指引（试行）&gt;的公告》。南方电网系统范围内开单并生效的扣分均纳入采购评审环节应用范围，实行全品类扣减评标（评审）综合分（不按处罚品类</w:t>
            </w:r>
            <w:bookmarkStart w:id="0" w:name="_GoBack"/>
            <w:bookmarkEnd w:id="0"/>
            <w:r>
              <w:rPr>
                <w:rFonts w:hint="default" w:ascii="Times New Roman" w:hAnsi="Times New Roman" w:eastAsia="宋体" w:cs="Times New Roman"/>
                <w:bCs/>
                <w:i w:val="0"/>
                <w:iCs w:val="0"/>
                <w:color w:val="auto"/>
                <w:kern w:val="0"/>
                <w:sz w:val="21"/>
                <w:szCs w:val="21"/>
                <w:highlight w:val="none"/>
                <w:u w:val="single"/>
                <w:lang w:val="en-US" w:eastAsia="zh-CN" w:bidi="ar-SA"/>
              </w:rPr>
              <w:t>区分应用范围）。应用时效为投标（报价）截止日前（含当月）36个月（不满36个月按实际时长计算，数据读取时间节点统一为招标（采购）文件载明的投标（报价）截止日前一日的24:00）。供应商扣分分值=Σa×（n²/12），扣分结果按四舍五入保留小数点后两位。a为差异化的折算系数（根据扣分时段与投标（报价）截止日的间隔期长短应用差异化的折算系数，投标（报价）截止日前12个月内的扣分按100%折算，投标（报价）截止日前13-24个月内的扣分按50%折算，投标（报价）截止日前25-36个月内的扣分按25%折算）；n为每个间隔期的供应商失信行为扣分之和。被实施市场禁入的，将禁入期按月折算分数（禁入期满当月为第一个月往前折算，处罚生效当月不计），即禁入一个月折算为1分。各项扣分取值起点时间如下（起点前开单的扣分或列入市场禁入的不予追溯）：</w:t>
            </w:r>
          </w:p>
          <w:p>
            <w:pPr>
              <w:keepNext w:val="0"/>
              <w:keepLines w:val="0"/>
              <w:suppressLineNumbers w:val="0"/>
              <w:shd w:val="clear" w:color="auto" w:fill="auto"/>
              <w:spacing w:before="0" w:beforeAutospacing="0" w:after="0" w:afterAutospacing="0"/>
              <w:ind w:left="0" w:right="0"/>
              <w:rPr>
                <w:rFonts w:hint="default" w:ascii="Times New Roman" w:hAnsi="Times New Roman" w:eastAsia="宋体" w:cs="Times New Roman"/>
                <w:bCs/>
                <w:i w:val="0"/>
                <w:iCs w:val="0"/>
                <w:color w:val="auto"/>
                <w:kern w:val="0"/>
                <w:sz w:val="21"/>
                <w:szCs w:val="21"/>
                <w:highlight w:val="none"/>
                <w:u w:val="single"/>
                <w:lang w:val="en-US" w:eastAsia="zh-CN" w:bidi="ar-SA"/>
              </w:rPr>
            </w:pPr>
            <w:r>
              <w:rPr>
                <w:rFonts w:hint="default" w:ascii="Times New Roman" w:hAnsi="Times New Roman" w:eastAsia="宋体" w:cs="Times New Roman"/>
                <w:bCs/>
                <w:i w:val="0"/>
                <w:iCs w:val="0"/>
                <w:color w:val="auto"/>
                <w:kern w:val="0"/>
                <w:sz w:val="21"/>
                <w:szCs w:val="21"/>
                <w:highlight w:val="none"/>
                <w:u w:val="single"/>
                <w:lang w:val="en-US" w:eastAsia="zh-CN" w:bidi="ar-SA"/>
              </w:rPr>
              <w:t>1.私设互联网应用失信行为扣分：2023年6月19日（含当日）起；</w:t>
            </w:r>
          </w:p>
          <w:p>
            <w:pPr>
              <w:keepNext w:val="0"/>
              <w:keepLines w:val="0"/>
              <w:suppressLineNumbers w:val="0"/>
              <w:shd w:val="clear" w:color="auto" w:fill="auto"/>
              <w:spacing w:before="0" w:beforeAutospacing="0" w:after="0" w:afterAutospacing="0"/>
              <w:ind w:left="0" w:right="0"/>
              <w:rPr>
                <w:rFonts w:hint="default" w:ascii="Times New Roman" w:hAnsi="Times New Roman" w:eastAsia="宋体" w:cs="Times New Roman"/>
                <w:bCs/>
                <w:i w:val="0"/>
                <w:iCs w:val="0"/>
                <w:color w:val="auto"/>
                <w:kern w:val="0"/>
                <w:sz w:val="21"/>
                <w:szCs w:val="21"/>
                <w:highlight w:val="none"/>
                <w:u w:val="single"/>
                <w:lang w:val="en-US" w:eastAsia="zh-CN" w:bidi="ar-SA"/>
              </w:rPr>
            </w:pPr>
            <w:r>
              <w:rPr>
                <w:rFonts w:hint="default" w:ascii="Times New Roman" w:hAnsi="Times New Roman" w:eastAsia="宋体" w:cs="Times New Roman"/>
                <w:bCs/>
                <w:i w:val="0"/>
                <w:iCs w:val="0"/>
                <w:color w:val="auto"/>
                <w:kern w:val="0"/>
                <w:sz w:val="21"/>
                <w:szCs w:val="21"/>
                <w:highlight w:val="none"/>
                <w:u w:val="single"/>
                <w:lang w:val="en-US" w:eastAsia="zh-CN" w:bidi="ar-SA"/>
              </w:rPr>
              <w:t>2.其他按《中国南方电网有限责任公司供应商失信扣分管理细则》实施的扣分：2024年8月21日（含当日）起；</w:t>
            </w:r>
          </w:p>
          <w:p>
            <w:pPr>
              <w:pStyle w:val="4"/>
              <w:keepNext w:val="0"/>
              <w:keepLines w:val="0"/>
              <w:suppressLineNumbers w:val="0"/>
              <w:spacing w:before="0" w:beforeAutospacing="0" w:after="0" w:afterAutospacing="0"/>
              <w:ind w:left="0" w:leftChars="0" w:right="0" w:rightChars="0"/>
              <w:rPr>
                <w:rFonts w:hint="default" w:ascii="Arial" w:hAnsi="Arial" w:eastAsia="宋体" w:cs="Times New Roman"/>
                <w:b/>
                <w:i w:val="0"/>
                <w:iCs w:val="0"/>
                <w:color w:val="auto"/>
                <w:kern w:val="2"/>
                <w:sz w:val="32"/>
                <w:szCs w:val="22"/>
                <w:highlight w:val="none"/>
                <w:lang w:val="en-US" w:eastAsia="zh-CN" w:bidi="ar-SA"/>
              </w:rPr>
            </w:pPr>
            <w:r>
              <w:rPr>
                <w:rFonts w:hint="default" w:ascii="Times New Roman" w:hAnsi="Times New Roman" w:eastAsia="宋体" w:cs="Times New Roman"/>
                <w:bCs/>
                <w:i w:val="0"/>
                <w:iCs w:val="0"/>
                <w:color w:val="auto"/>
                <w:kern w:val="0"/>
                <w:sz w:val="21"/>
                <w:szCs w:val="21"/>
                <w:highlight w:val="none"/>
                <w:u w:val="single"/>
                <w:lang w:val="en-US" w:eastAsia="zh-CN" w:bidi="ar-SA"/>
              </w:rPr>
              <w:t>3.市场禁入：2024年8月21日（含当日）起。</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116A40"/>
    <w:rsid w:val="50116A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unhideWhenUsed/>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jc w:val="both"/>
    </w:pPr>
    <w:rPr>
      <w:sz w:val="21"/>
    </w:rPr>
  </w:style>
  <w:style w:type="paragraph" w:styleId="3">
    <w:name w:val="Title"/>
    <w:basedOn w:val="1"/>
    <w:next w:val="1"/>
    <w:qFormat/>
    <w:uiPriority w:val="0"/>
    <w:pPr>
      <w:spacing w:before="240" w:after="60"/>
      <w:jc w:val="center"/>
      <w:outlineLvl w:val="0"/>
    </w:pPr>
    <w:rPr>
      <w:rFonts w:ascii="Arial" w:hAnsi="Arial" w:cs="Arial"/>
      <w:b/>
      <w:bCs/>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2025-06-25T02:21:00Z</dcterms:created>
  <dc:creator>冯芷晴</dc:creator>
  <cp:lastModifiedBy>冯芷晴</cp:lastModifiedBy>
  <dcterms:modified xsi:type="dcterms:W3CDTF">2025-06-25T02:23:37Z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7A9BB605B51647D3843E59194F7CF23B</vt:lpwstr>
  </property>
</Properties>
</file>